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6CED6">
      <w:pPr>
        <w:pStyle w:val="14"/>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_GBK" w:cs="Times New Roman"/>
          <w:b/>
          <w:bCs/>
          <w:sz w:val="36"/>
          <w:szCs w:val="36"/>
          <w:lang w:val="en-US" w:eastAsia="zh-CN"/>
        </w:rPr>
      </w:pPr>
      <w:r>
        <w:rPr>
          <w:rFonts w:hint="eastAsia" w:ascii="Times New Roman" w:hAnsi="Times New Roman" w:eastAsia="方正小标宋_GBK" w:cs="Times New Roman"/>
          <w:b/>
          <w:bCs/>
          <w:sz w:val="36"/>
          <w:szCs w:val="36"/>
          <w:lang w:val="en-US" w:eastAsia="zh-CN"/>
        </w:rPr>
        <w:t>重庆大学附属仁济医院（重庆市第五人民医院）</w:t>
      </w:r>
    </w:p>
    <w:p w14:paraId="1C456F7A">
      <w:pPr>
        <w:pStyle w:val="14"/>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b w:val="0"/>
          <w:bCs w:val="0"/>
          <w:color w:val="000000" w:themeColor="text1"/>
          <w:sz w:val="36"/>
          <w:szCs w:val="36"/>
          <w14:textFill>
            <w14:solidFill>
              <w14:schemeClr w14:val="tx1"/>
            </w14:solidFill>
          </w14:textFill>
        </w:rPr>
      </w:pPr>
      <w:r>
        <w:rPr>
          <w:rFonts w:hint="eastAsia" w:ascii="Times New Roman" w:hAnsi="Times New Roman" w:eastAsia="方正小标宋_GBK" w:cs="Times New Roman"/>
          <w:b/>
          <w:bCs/>
          <w:sz w:val="36"/>
          <w:szCs w:val="36"/>
          <w:lang w:val="en-US" w:eastAsia="zh-CN"/>
        </w:rPr>
        <w:t>人工智能辅助医学影像诊断系统</w:t>
      </w:r>
      <w:r>
        <w:rPr>
          <w:rFonts w:hint="default" w:ascii="Times New Roman" w:hAnsi="Times New Roman" w:eastAsia="方正小标宋_GBK" w:cs="Times New Roman"/>
          <w:b/>
          <w:bCs/>
          <w:color w:val="000000" w:themeColor="text1"/>
          <w:sz w:val="36"/>
          <w:szCs w:val="36"/>
          <w14:textFill>
            <w14:solidFill>
              <w14:schemeClr w14:val="tx1"/>
            </w14:solidFill>
          </w14:textFill>
        </w:rPr>
        <w:t>需求调查公告</w:t>
      </w:r>
    </w:p>
    <w:p w14:paraId="511F49FC">
      <w:pPr>
        <w:pStyle w:val="14"/>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我院拟于近期采购</w:t>
      </w:r>
      <w:r>
        <w:rPr>
          <w:rFonts w:hint="eastAsia" w:ascii="Times New Roman" w:hAnsi="Times New Roman" w:cs="Times New Roman"/>
          <w:b w:val="0"/>
          <w:bCs w:val="0"/>
          <w:color w:val="auto"/>
          <w:sz w:val="24"/>
          <w:szCs w:val="24"/>
          <w:lang w:val="en-US" w:eastAsia="zh-CN"/>
        </w:rPr>
        <w:t>人工智能辅助医学影像诊断系统项目</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于采购前参考。</w:t>
      </w:r>
    </w:p>
    <w:p w14:paraId="520BA92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一、项目名称</w:t>
      </w:r>
    </w:p>
    <w:p w14:paraId="1697646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t>人工智能辅助医学影像诊断系统</w:t>
      </w:r>
    </w:p>
    <w:p w14:paraId="517D368E">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二、需求调查基本情况</w:t>
      </w:r>
    </w:p>
    <w:p w14:paraId="35245CA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（一）需求调查方式：咨询（项目推介）。</w:t>
      </w:r>
    </w:p>
    <w:p w14:paraId="5485ED5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（二）需求调查对象：</w:t>
      </w:r>
      <w:bookmarkStart w:id="0" w:name="_Hlk114039197"/>
      <w:r>
        <w:rPr>
          <w:rFonts w:hint="default" w:ascii="Times New Roman" w:hAnsi="Times New Roman" w:eastAsia="宋体" w:cs="Times New Roman"/>
          <w:color w:val="000000" w:themeColor="text1"/>
          <w:sz w:val="24"/>
          <w:szCs w:val="24"/>
          <w14:textFill>
            <w14:solidFill>
              <w14:schemeClr w14:val="tx1"/>
            </w14:solidFill>
          </w14:textFill>
        </w:rPr>
        <w:t>符合条件的潜在供应商</w:t>
      </w:r>
      <w:bookmarkEnd w:id="0"/>
      <w:r>
        <w:rPr>
          <w:rFonts w:hint="default" w:ascii="Times New Roman" w:hAnsi="Times New Roman" w:eastAsia="宋体" w:cs="Times New Roman"/>
          <w:color w:val="000000" w:themeColor="text1"/>
          <w:sz w:val="24"/>
          <w:szCs w:val="24"/>
          <w14:textFill>
            <w14:solidFill>
              <w14:schemeClr w14:val="tx1"/>
            </w14:solidFill>
          </w14:textFill>
        </w:rPr>
        <w:t>。</w:t>
      </w:r>
    </w:p>
    <w:p w14:paraId="3EAA6D5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三、项目需求概况</w:t>
      </w:r>
    </w:p>
    <w:p w14:paraId="0E3E8A8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项目概况：随着人工智能技术在放射影像方面的推广和应用，其优势已经得到国内很多大型医院专家和医生的认可。为有效辅助影像科医生提高工作效率，降低漏诊率，拟采购人工智能辅助医学影像诊断系统。</w:t>
      </w:r>
    </w:p>
    <w:p w14:paraId="0871EAA0">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szCs w:val="24"/>
          <w14:textFill>
            <w14:solidFill>
              <w14:schemeClr w14:val="tx1"/>
            </w14:solidFill>
          </w14:textFill>
        </w:rPr>
        <w:t>（概）算：</w:t>
      </w:r>
      <w:r>
        <w:rPr>
          <w:rFonts w:hint="eastAsia" w:ascii="Times New Roman" w:hAnsi="Times New Roman" w:cs="Times New Roman"/>
          <w:color w:val="000000" w:themeColor="text1"/>
          <w:sz w:val="24"/>
          <w:szCs w:val="24"/>
          <w:lang w:val="en-US" w:eastAsia="zh-CN"/>
          <w14:textFill>
            <w14:solidFill>
              <w14:schemeClr w14:val="tx1"/>
            </w14:solidFill>
          </w14:textFill>
        </w:rPr>
        <w:t>30万</w:t>
      </w:r>
      <w:r>
        <w:rPr>
          <w:rFonts w:hint="eastAsia" w:ascii="宋体" w:hAnsi="宋体" w:eastAsia="宋体" w:cs="宋体"/>
          <w:b w:val="0"/>
          <w:bCs/>
          <w:color w:val="000000" w:themeColor="text1"/>
          <w:sz w:val="24"/>
          <w:szCs w:val="24"/>
          <w:lang w:val="en-US" w:eastAsia="zh-CN"/>
          <w14:textFill>
            <w14:solidFill>
              <w14:schemeClr w14:val="tx1"/>
            </w14:solidFill>
          </w14:textFill>
        </w:rPr>
        <w:t>元。</w:t>
      </w:r>
    </w:p>
    <w:p w14:paraId="45280AA9">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采购标的汇总表</w:t>
      </w:r>
    </w:p>
    <w:tbl>
      <w:tblPr>
        <w:tblStyle w:val="18"/>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2198"/>
        <w:gridCol w:w="1398"/>
        <w:gridCol w:w="1028"/>
        <w:gridCol w:w="1590"/>
        <w:gridCol w:w="1463"/>
        <w:gridCol w:w="1201"/>
      </w:tblGrid>
      <w:tr w14:paraId="2B861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490" w:type="pct"/>
            <w:vAlign w:val="center"/>
          </w:tcPr>
          <w:p w14:paraId="0D2C6C9F">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序号</w:t>
            </w:r>
          </w:p>
        </w:tc>
        <w:tc>
          <w:tcPr>
            <w:tcW w:w="1117" w:type="pct"/>
            <w:vAlign w:val="center"/>
          </w:tcPr>
          <w:p w14:paraId="5B308DED">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标的</w:t>
            </w:r>
          </w:p>
          <w:p w14:paraId="5532E416">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名称</w:t>
            </w:r>
          </w:p>
        </w:tc>
        <w:tc>
          <w:tcPr>
            <w:tcW w:w="710" w:type="pct"/>
            <w:vAlign w:val="center"/>
          </w:tcPr>
          <w:p w14:paraId="41C170DB">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计量</w:t>
            </w:r>
          </w:p>
          <w:p w14:paraId="33CA4939">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单位</w:t>
            </w:r>
          </w:p>
        </w:tc>
        <w:tc>
          <w:tcPr>
            <w:tcW w:w="522" w:type="pct"/>
            <w:vAlign w:val="center"/>
          </w:tcPr>
          <w:p w14:paraId="249767C8">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数量</w:t>
            </w:r>
          </w:p>
        </w:tc>
        <w:tc>
          <w:tcPr>
            <w:tcW w:w="808" w:type="pct"/>
            <w:vAlign w:val="center"/>
          </w:tcPr>
          <w:p w14:paraId="5D121DDC">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单价</w:t>
            </w:r>
          </w:p>
          <w:p w14:paraId="0F84A297">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（万元</w:t>
            </w:r>
            <w:r>
              <w:rPr>
                <w:rFonts w:hint="eastAsia" w:ascii="宋体" w:hAnsi="宋体" w:cs="宋体"/>
                <w:b/>
                <w:sz w:val="24"/>
                <w:szCs w:val="24"/>
                <w:lang w:val="en-US" w:eastAsia="zh-CN"/>
              </w:rPr>
              <w:t>/套</w:t>
            </w:r>
            <w:r>
              <w:rPr>
                <w:rFonts w:hint="eastAsia" w:ascii="宋体" w:hAnsi="宋体" w:eastAsia="宋体" w:cs="宋体"/>
                <w:b/>
                <w:sz w:val="24"/>
                <w:szCs w:val="24"/>
              </w:rPr>
              <w:t>）</w:t>
            </w:r>
          </w:p>
        </w:tc>
        <w:tc>
          <w:tcPr>
            <w:tcW w:w="743" w:type="pct"/>
            <w:vAlign w:val="center"/>
          </w:tcPr>
          <w:p w14:paraId="2677ADDE">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总价</w:t>
            </w:r>
          </w:p>
          <w:p w14:paraId="02F33F19">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（万元）</w:t>
            </w:r>
          </w:p>
        </w:tc>
        <w:tc>
          <w:tcPr>
            <w:tcW w:w="607" w:type="pct"/>
            <w:vAlign w:val="center"/>
          </w:tcPr>
          <w:p w14:paraId="3205C5E8">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备注</w:t>
            </w:r>
          </w:p>
        </w:tc>
      </w:tr>
      <w:tr w14:paraId="7A03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490" w:type="pct"/>
            <w:vAlign w:val="center"/>
          </w:tcPr>
          <w:p w14:paraId="1DF745AA">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117" w:type="pct"/>
            <w:vAlign w:val="center"/>
          </w:tcPr>
          <w:p w14:paraId="5363AE9B">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b/>
                <w:sz w:val="24"/>
                <w:szCs w:val="24"/>
                <w:lang w:val="en-US" w:eastAsia="zh-CN"/>
              </w:rPr>
            </w:pPr>
            <w:r>
              <w:rPr>
                <w:rFonts w:hint="eastAsia" w:ascii="宋体" w:hAnsi="宋体" w:eastAsia="宋体" w:cs="宋体"/>
                <w:bCs/>
                <w:sz w:val="24"/>
                <w:szCs w:val="24"/>
              </w:rPr>
              <w:t>人工智能辅助医学影像诊断系统</w:t>
            </w:r>
          </w:p>
        </w:tc>
        <w:tc>
          <w:tcPr>
            <w:tcW w:w="710" w:type="pct"/>
            <w:vAlign w:val="center"/>
          </w:tcPr>
          <w:p w14:paraId="4E110A2B">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套</w:t>
            </w:r>
          </w:p>
        </w:tc>
        <w:tc>
          <w:tcPr>
            <w:tcW w:w="522" w:type="pct"/>
            <w:vAlign w:val="center"/>
          </w:tcPr>
          <w:p w14:paraId="2D1F8A4A">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1</w:t>
            </w:r>
          </w:p>
        </w:tc>
        <w:tc>
          <w:tcPr>
            <w:tcW w:w="808" w:type="pct"/>
            <w:vAlign w:val="center"/>
          </w:tcPr>
          <w:p w14:paraId="580E9445">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30</w:t>
            </w:r>
          </w:p>
        </w:tc>
        <w:tc>
          <w:tcPr>
            <w:tcW w:w="743" w:type="pct"/>
            <w:vAlign w:val="center"/>
          </w:tcPr>
          <w:p w14:paraId="655EA84F">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30</w:t>
            </w:r>
          </w:p>
        </w:tc>
        <w:tc>
          <w:tcPr>
            <w:tcW w:w="607" w:type="pct"/>
            <w:vAlign w:val="center"/>
          </w:tcPr>
          <w:p w14:paraId="4E88B881">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sz w:val="24"/>
                <w:szCs w:val="24"/>
                <w:lang w:val="en-US" w:eastAsia="zh-CN"/>
              </w:rPr>
            </w:pPr>
          </w:p>
        </w:tc>
      </w:tr>
      <w:tr w14:paraId="7FB1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000" w:type="pct"/>
            <w:gridSpan w:val="7"/>
            <w:vAlign w:val="center"/>
          </w:tcPr>
          <w:p w14:paraId="687CE827">
            <w:pPr>
              <w:keepNext w:val="0"/>
              <w:keepLines w:val="0"/>
              <w:pageBreakBefore w:val="0"/>
              <w:widowControl w:val="0"/>
              <w:tabs>
                <w:tab w:val="left" w:pos="7368"/>
              </w:tabs>
              <w:kinsoku/>
              <w:wordWrap/>
              <w:overflowPunct/>
              <w:topLinePunct w:val="0"/>
              <w:autoSpaceDE/>
              <w:autoSpaceDN/>
              <w:bidi w:val="0"/>
              <w:adjustRightInd w:val="0"/>
              <w:snapToGrid w:val="0"/>
              <w:spacing w:line="480" w:lineRule="exact"/>
              <w:jc w:val="left"/>
              <w:textAlignment w:val="auto"/>
              <w:rPr>
                <w:rFonts w:hint="eastAsia" w:ascii="宋体" w:hAnsi="宋体" w:eastAsia="宋体" w:cs="宋体"/>
                <w:sz w:val="24"/>
                <w:szCs w:val="24"/>
                <w:lang w:eastAsia="zh-CN"/>
              </w:rPr>
            </w:pPr>
            <w:r>
              <w:rPr>
                <w:rFonts w:hint="eastAsia" w:ascii="宋体" w:hAnsi="宋体" w:eastAsia="宋体" w:cs="宋体"/>
                <w:sz w:val="24"/>
                <w:szCs w:val="24"/>
              </w:rPr>
              <w:t>合计：大写：</w:t>
            </w:r>
            <w:r>
              <w:rPr>
                <w:rFonts w:hint="eastAsia" w:ascii="宋体" w:hAnsi="宋体" w:cs="宋体"/>
                <w:sz w:val="24"/>
                <w:szCs w:val="24"/>
                <w:lang w:val="en-US" w:eastAsia="zh-CN"/>
              </w:rPr>
              <w:t>叁拾万元</w:t>
            </w:r>
            <w:r>
              <w:rPr>
                <w:rFonts w:hint="eastAsia" w:ascii="宋体" w:hAnsi="宋体" w:eastAsia="宋体" w:cs="宋体"/>
                <w:sz w:val="24"/>
                <w:szCs w:val="24"/>
              </w:rPr>
              <w:t>整（¥</w:t>
            </w:r>
            <w:r>
              <w:rPr>
                <w:rFonts w:hint="eastAsia" w:ascii="宋体" w:hAnsi="宋体" w:cs="宋体"/>
                <w:sz w:val="24"/>
                <w:szCs w:val="24"/>
                <w:lang w:val="en-US" w:eastAsia="zh-CN"/>
              </w:rPr>
              <w:t>300000.00</w:t>
            </w:r>
            <w:r>
              <w:rPr>
                <w:rFonts w:hint="eastAsia" w:ascii="宋体" w:hAnsi="宋体" w:eastAsia="宋体" w:cs="宋体"/>
                <w:sz w:val="24"/>
                <w:szCs w:val="24"/>
              </w:rPr>
              <w:t>）</w:t>
            </w:r>
            <w:r>
              <w:rPr>
                <w:rFonts w:hint="eastAsia" w:ascii="宋体" w:hAnsi="宋体" w:eastAsia="宋体" w:cs="宋体"/>
                <w:sz w:val="24"/>
                <w:szCs w:val="24"/>
                <w:lang w:eastAsia="zh-CN"/>
              </w:rPr>
              <w:tab/>
            </w:r>
          </w:p>
        </w:tc>
      </w:tr>
    </w:tbl>
    <w:p w14:paraId="6DFAE66D">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基础技术规格</w:t>
      </w:r>
    </w:p>
    <w:p w14:paraId="4241CB5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highlight w:val="none"/>
          <w:lang w:val="en-US" w:eastAsia="zh-CN" w:bidi="zh-TW"/>
        </w:rPr>
      </w:pPr>
      <w:r>
        <w:rPr>
          <w:rFonts w:hint="eastAsia" w:ascii="宋体" w:hAnsi="宋体" w:eastAsia="宋体" w:cs="宋体"/>
          <w:b/>
          <w:bCs/>
          <w:kern w:val="2"/>
          <w:sz w:val="24"/>
          <w:szCs w:val="24"/>
          <w:highlight w:val="none"/>
          <w:lang w:val="en-US" w:eastAsia="zh-CN" w:bidi="zh-TW"/>
        </w:rPr>
        <w:t>（一）</w:t>
      </w:r>
      <w:r>
        <w:rPr>
          <w:rFonts w:hint="eastAsia" w:ascii="宋体" w:hAnsi="宋体" w:eastAsia="宋体" w:cs="宋体"/>
          <w:b/>
          <w:bCs/>
          <w:sz w:val="24"/>
          <w:szCs w:val="24"/>
          <w:highlight w:val="none"/>
          <w:lang w:val="en-US" w:eastAsia="zh-CN" w:bidi="zh-TW"/>
        </w:rPr>
        <w:t>总体要求</w:t>
      </w:r>
    </w:p>
    <w:p w14:paraId="22882DC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sz w:val="24"/>
          <w:szCs w:val="24"/>
          <w:highlight w:val="none"/>
          <w:lang w:val="en-US" w:eastAsia="zh-CN" w:bidi="zh-TW"/>
        </w:rPr>
        <w:t>具备第三类管理类别中华人民共和国医疗器械注册证，需提供证书复印件。</w:t>
      </w:r>
    </w:p>
    <w:p w14:paraId="1D3D119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bCs/>
          <w:sz w:val="24"/>
          <w:szCs w:val="24"/>
          <w:highlight w:val="none"/>
          <w:lang w:val="en-US" w:eastAsia="zh-CN" w:bidi="zh-TW"/>
        </w:rPr>
      </w:pPr>
      <w:r>
        <w:rPr>
          <w:rFonts w:hint="eastAsia" w:ascii="宋体" w:hAnsi="宋体" w:eastAsia="宋体" w:cs="宋体"/>
          <w:b/>
          <w:bCs/>
          <w:kern w:val="2"/>
          <w:sz w:val="24"/>
          <w:szCs w:val="24"/>
          <w:highlight w:val="none"/>
          <w:lang w:val="en-US" w:eastAsia="zh-CN" w:bidi="zh-TW"/>
        </w:rPr>
        <w:t>（二）</w:t>
      </w:r>
      <w:r>
        <w:rPr>
          <w:rFonts w:hint="eastAsia" w:ascii="宋体" w:hAnsi="宋体" w:eastAsia="宋体" w:cs="宋体"/>
          <w:b/>
          <w:bCs/>
          <w:sz w:val="24"/>
          <w:szCs w:val="24"/>
          <w:highlight w:val="none"/>
          <w:lang w:val="en-US" w:eastAsia="zh-CN" w:bidi="zh-TW"/>
        </w:rPr>
        <w:t>软件基础功能</w:t>
      </w:r>
    </w:p>
    <w:p w14:paraId="747DEA6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w:t>
      </w:r>
      <w:r>
        <w:rPr>
          <w:rFonts w:hint="eastAsia" w:ascii="宋体" w:hAnsi="宋体" w:eastAsia="宋体" w:cs="宋体"/>
          <w:b w:val="0"/>
          <w:bCs w:val="0"/>
          <w:sz w:val="24"/>
          <w:szCs w:val="24"/>
          <w:highlight w:val="none"/>
          <w:lang w:val="en-US" w:eastAsia="zh-CN" w:bidi="zh-TW"/>
        </w:rPr>
        <w:t>提供快捷调整图像窗宽、窗位，内置常用窗宽、窗位，包括骨窗、肺窗、腹窗和纵隔窗，提供预设窗宽窗位，调整后提供一键恢复至默认窗宽窗位显示。</w:t>
      </w:r>
    </w:p>
    <w:p w14:paraId="719E3F8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w:t>
      </w:r>
      <w:r>
        <w:rPr>
          <w:rFonts w:hint="eastAsia" w:ascii="宋体" w:hAnsi="宋体" w:eastAsia="宋体" w:cs="宋体"/>
          <w:b w:val="0"/>
          <w:bCs w:val="0"/>
          <w:sz w:val="24"/>
          <w:szCs w:val="24"/>
          <w:highlight w:val="none"/>
          <w:lang w:val="en-US" w:eastAsia="zh-CN" w:bidi="zh-TW"/>
        </w:rPr>
        <w:t>提供对图像进行缩放、平移、90°旋转操作，调整后提供一键恢复至默认的位置和大小，提供快捷操作设置。</w:t>
      </w:r>
    </w:p>
    <w:p w14:paraId="587EBF9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w:t>
      </w:r>
      <w:r>
        <w:rPr>
          <w:rFonts w:hint="eastAsia" w:ascii="宋体" w:hAnsi="宋体" w:eastAsia="宋体" w:cs="宋体"/>
          <w:b w:val="0"/>
          <w:bCs w:val="0"/>
          <w:sz w:val="24"/>
          <w:szCs w:val="24"/>
          <w:highlight w:val="none"/>
          <w:lang w:val="en-US" w:eastAsia="zh-CN" w:bidi="zh-TW"/>
        </w:rPr>
        <w:t>提供对图像进行灰度反色显示（正负片显示）。</w:t>
      </w:r>
    </w:p>
    <w:p w14:paraId="2E835C0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w:t>
      </w:r>
      <w:r>
        <w:rPr>
          <w:rFonts w:hint="eastAsia" w:ascii="宋体" w:hAnsi="宋体" w:eastAsia="宋体" w:cs="宋体"/>
          <w:b w:val="0"/>
          <w:bCs w:val="0"/>
          <w:sz w:val="24"/>
          <w:szCs w:val="24"/>
          <w:highlight w:val="none"/>
          <w:lang w:val="en-US" w:eastAsia="zh-CN" w:bidi="zh-TW"/>
        </w:rPr>
        <w:t>提供自动播放图像。</w:t>
      </w:r>
    </w:p>
    <w:p w14:paraId="2D721E1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5.</w:t>
      </w:r>
      <w:r>
        <w:rPr>
          <w:rFonts w:hint="eastAsia" w:ascii="宋体" w:hAnsi="宋体" w:eastAsia="宋体" w:cs="宋体"/>
          <w:b w:val="0"/>
          <w:bCs w:val="0"/>
          <w:sz w:val="24"/>
          <w:szCs w:val="24"/>
          <w:highlight w:val="none"/>
          <w:lang w:val="en-US" w:eastAsia="zh-CN" w:bidi="zh-TW"/>
        </w:rPr>
        <w:t>提供对基础阅片工具进行自定义快捷操作配置。</w:t>
      </w:r>
    </w:p>
    <w:p w14:paraId="1FD5990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6.</w:t>
      </w:r>
      <w:r>
        <w:rPr>
          <w:rFonts w:hint="eastAsia" w:ascii="宋体" w:hAnsi="宋体" w:eastAsia="宋体" w:cs="宋体"/>
          <w:b w:val="0"/>
          <w:bCs w:val="0"/>
          <w:sz w:val="24"/>
          <w:szCs w:val="24"/>
          <w:highlight w:val="none"/>
          <w:lang w:val="en-US" w:eastAsia="zh-CN" w:bidi="zh-TW"/>
        </w:rPr>
        <w:t>提供进行MPR视图与横断位视图的切换。</w:t>
      </w:r>
    </w:p>
    <w:p w14:paraId="11C1157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7.</w:t>
      </w:r>
      <w:r>
        <w:rPr>
          <w:rFonts w:hint="eastAsia" w:ascii="宋体" w:hAnsi="宋体" w:eastAsia="宋体" w:cs="宋体"/>
          <w:b w:val="0"/>
          <w:bCs w:val="0"/>
          <w:sz w:val="24"/>
          <w:szCs w:val="24"/>
          <w:highlight w:val="none"/>
          <w:lang w:val="en-US" w:eastAsia="zh-CN" w:bidi="zh-TW"/>
        </w:rPr>
        <w:t>提供医生对结节进行添加、删除及编辑，及一键恢复AI计算结果。</w:t>
      </w:r>
    </w:p>
    <w:p w14:paraId="2EE5276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8.</w:t>
      </w:r>
      <w:r>
        <w:rPr>
          <w:rFonts w:hint="eastAsia" w:ascii="宋体" w:hAnsi="宋体" w:eastAsia="宋体" w:cs="宋体"/>
          <w:b w:val="0"/>
          <w:bCs w:val="0"/>
          <w:sz w:val="24"/>
          <w:szCs w:val="24"/>
          <w:highlight w:val="none"/>
          <w:lang w:val="en-US" w:eastAsia="zh-CN" w:bidi="zh-TW"/>
        </w:rPr>
        <w:t>提供用户根据需求自定义默认显示方式和显示内容。</w:t>
      </w:r>
    </w:p>
    <w:p w14:paraId="2B9E4FE4">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9.</w:t>
      </w:r>
      <w:r>
        <w:rPr>
          <w:rFonts w:hint="eastAsia" w:ascii="宋体" w:hAnsi="宋体" w:eastAsia="宋体" w:cs="宋体"/>
          <w:b w:val="0"/>
          <w:bCs w:val="0"/>
          <w:sz w:val="24"/>
          <w:szCs w:val="24"/>
          <w:highlight w:val="none"/>
          <w:lang w:val="en-US" w:eastAsia="zh-CN" w:bidi="zh-TW"/>
        </w:rPr>
        <w:t>提供几种多窗口布局阅片方式，方便医生选择多个序列在同一界面对比查看。</w:t>
      </w:r>
    </w:p>
    <w:p w14:paraId="77042B1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bCs/>
          <w:kern w:val="2"/>
          <w:sz w:val="24"/>
          <w:szCs w:val="24"/>
          <w:highlight w:val="none"/>
          <w:lang w:val="en-US" w:eastAsia="zh-CN" w:bidi="zh-TW"/>
        </w:rPr>
        <w:t>（三）</w:t>
      </w:r>
      <w:r>
        <w:rPr>
          <w:rFonts w:hint="eastAsia" w:ascii="宋体" w:hAnsi="宋体" w:eastAsia="宋体" w:cs="宋体"/>
          <w:b/>
          <w:bCs/>
          <w:sz w:val="24"/>
          <w:szCs w:val="24"/>
          <w:highlight w:val="none"/>
          <w:lang w:val="en-US" w:eastAsia="zh-CN" w:bidi="zh-TW"/>
        </w:rPr>
        <w:t>结节分析功能</w:t>
      </w:r>
    </w:p>
    <w:p w14:paraId="5EB49B87">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w:t>
      </w:r>
      <w:r>
        <w:rPr>
          <w:rFonts w:hint="eastAsia" w:ascii="宋体" w:hAnsi="宋体" w:eastAsia="宋体" w:cs="宋体"/>
          <w:b w:val="0"/>
          <w:bCs w:val="0"/>
          <w:sz w:val="24"/>
          <w:szCs w:val="24"/>
          <w:highlight w:val="none"/>
          <w:lang w:val="en-US" w:eastAsia="zh-CN" w:bidi="zh-TW"/>
        </w:rPr>
        <w:t>系统自动识别医学CT影像中的4mm及以上肺结节，并在在最大层面上用矩形框标记。</w:t>
      </w:r>
    </w:p>
    <w:p w14:paraId="70FDDF1A">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2.</w:t>
      </w:r>
      <w:r>
        <w:rPr>
          <w:rFonts w:hint="eastAsia" w:ascii="宋体" w:hAnsi="宋体" w:eastAsia="宋体" w:cs="宋体"/>
          <w:b w:val="0"/>
          <w:bCs w:val="0"/>
          <w:sz w:val="24"/>
          <w:szCs w:val="24"/>
          <w:highlight w:val="none"/>
          <w:lang w:val="en-US" w:eastAsia="zh-CN" w:bidi="zh-TW"/>
        </w:rPr>
        <w:t>肺结节在3mm-5mm尺寸范围内的检出敏感性≥90%，肺结节在大于5mm尺寸范围内的检出敏感性≥95%，需提供第三方机构测试或文献证明。</w:t>
      </w:r>
    </w:p>
    <w:p w14:paraId="0572C4D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w:t>
      </w:r>
      <w:r>
        <w:rPr>
          <w:rFonts w:hint="eastAsia" w:ascii="宋体" w:hAnsi="宋体" w:eastAsia="宋体" w:cs="宋体"/>
          <w:b w:val="0"/>
          <w:bCs w:val="0"/>
          <w:sz w:val="24"/>
          <w:szCs w:val="24"/>
          <w:highlight w:val="none"/>
          <w:lang w:val="en-US" w:eastAsia="zh-CN" w:bidi="zh-TW"/>
        </w:rPr>
        <w:t>提供可以自动测量结节长径和短径、体积等数值。</w:t>
      </w:r>
    </w:p>
    <w:p w14:paraId="64A18EA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w:t>
      </w:r>
      <w:r>
        <w:rPr>
          <w:rFonts w:hint="eastAsia" w:ascii="宋体" w:hAnsi="宋体" w:eastAsia="宋体" w:cs="宋体"/>
          <w:b w:val="0"/>
          <w:bCs w:val="0"/>
          <w:sz w:val="24"/>
          <w:szCs w:val="24"/>
          <w:highlight w:val="none"/>
          <w:lang w:val="en-US" w:eastAsia="zh-CN" w:bidi="zh-TW"/>
        </w:rPr>
        <w:t>提供自动量化肺结节的CT值（HU值）。</w:t>
      </w:r>
    </w:p>
    <w:p w14:paraId="403A5E9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5.</w:t>
      </w:r>
      <w:r>
        <w:rPr>
          <w:rFonts w:hint="eastAsia" w:ascii="宋体" w:hAnsi="宋体" w:eastAsia="宋体" w:cs="宋体"/>
          <w:b w:val="0"/>
          <w:bCs w:val="0"/>
          <w:sz w:val="24"/>
          <w:szCs w:val="24"/>
          <w:highlight w:val="none"/>
          <w:lang w:val="en-US" w:eastAsia="zh-CN" w:bidi="zh-TW"/>
        </w:rPr>
        <w:t>自动生成检查所见文本描述，文本可编辑、可复制及一键放大，点击描述可跳转对应结节。</w:t>
      </w:r>
    </w:p>
    <w:p w14:paraId="4EA345DA">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6.</w:t>
      </w:r>
      <w:r>
        <w:rPr>
          <w:rFonts w:hint="eastAsia" w:ascii="宋体" w:hAnsi="宋体" w:eastAsia="宋体" w:cs="宋体"/>
          <w:b w:val="0"/>
          <w:bCs w:val="0"/>
          <w:sz w:val="24"/>
          <w:szCs w:val="24"/>
          <w:highlight w:val="none"/>
          <w:lang w:val="en-US" w:eastAsia="zh-CN" w:bidi="zh-TW"/>
        </w:rPr>
        <w:t>在不同的使用场景下，提供切换不同的灵敏度查看检出结节。</w:t>
      </w:r>
    </w:p>
    <w:p w14:paraId="0DB10C5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7.</w:t>
      </w:r>
      <w:r>
        <w:rPr>
          <w:rFonts w:hint="eastAsia" w:ascii="宋体" w:hAnsi="宋体" w:eastAsia="宋体" w:cs="宋体"/>
          <w:b w:val="0"/>
          <w:bCs w:val="0"/>
          <w:sz w:val="24"/>
          <w:szCs w:val="24"/>
          <w:highlight w:val="none"/>
          <w:lang w:val="en-US" w:eastAsia="zh-CN" w:bidi="zh-TW"/>
        </w:rPr>
        <w:t>提供在CT图像上手动测量长度、面积、平均CT值、最大CT值、最小CT值。</w:t>
      </w:r>
    </w:p>
    <w:p w14:paraId="78FFE04E">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8.</w:t>
      </w:r>
      <w:r>
        <w:rPr>
          <w:rFonts w:hint="eastAsia" w:ascii="宋体" w:hAnsi="宋体" w:eastAsia="宋体" w:cs="宋体"/>
          <w:b w:val="0"/>
          <w:bCs w:val="0"/>
          <w:sz w:val="24"/>
          <w:szCs w:val="24"/>
          <w:highlight w:val="none"/>
          <w:lang w:val="en-US" w:eastAsia="zh-CN" w:bidi="zh-TW"/>
        </w:rPr>
        <w:t>提供列表展示肺结节检测结果，列表与结节标记、导航条、检查所见四者联动。</w:t>
      </w:r>
    </w:p>
    <w:p w14:paraId="7B4C84E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9.</w:t>
      </w:r>
      <w:r>
        <w:rPr>
          <w:rFonts w:hint="eastAsia" w:ascii="宋体" w:hAnsi="宋体" w:eastAsia="宋体" w:cs="宋体"/>
          <w:b w:val="0"/>
          <w:bCs w:val="0"/>
          <w:sz w:val="24"/>
          <w:szCs w:val="24"/>
          <w:highlight w:val="none"/>
          <w:lang w:val="en-US" w:eastAsia="zh-CN" w:bidi="zh-TW"/>
        </w:rPr>
        <w:t>自动将所有检测出的结节在导航条上给出标记，提供一键定位结节，便于查看关键结节图像。</w:t>
      </w:r>
    </w:p>
    <w:p w14:paraId="22AA610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10.提供</w:t>
      </w:r>
      <w:r>
        <w:rPr>
          <w:rFonts w:hint="eastAsia" w:ascii="宋体" w:hAnsi="宋体" w:eastAsia="宋体" w:cs="宋体"/>
          <w:b w:val="0"/>
          <w:bCs w:val="0"/>
          <w:sz w:val="24"/>
          <w:szCs w:val="24"/>
          <w:highlight w:val="none"/>
          <w:lang w:val="en-US" w:eastAsia="zh-CN" w:bidi="zh-TW"/>
        </w:rPr>
        <w:t>自动给出结节位置信息，需精确到肺叶及肺段位置。</w:t>
      </w:r>
    </w:p>
    <w:p w14:paraId="6420660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11.</w:t>
      </w:r>
      <w:r>
        <w:rPr>
          <w:rFonts w:hint="eastAsia" w:ascii="宋体" w:hAnsi="宋体" w:eastAsia="宋体" w:cs="宋体"/>
          <w:b w:val="0"/>
          <w:bCs w:val="0"/>
          <w:sz w:val="24"/>
          <w:szCs w:val="24"/>
          <w:highlight w:val="none"/>
          <w:lang w:val="en-US" w:eastAsia="zh-CN" w:bidi="zh-TW"/>
        </w:rPr>
        <w:t>提供自动判断出结节性质信息（实性、部分实性、磨玻璃、钙化）。</w:t>
      </w:r>
    </w:p>
    <w:p w14:paraId="02123CD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12.</w:t>
      </w:r>
      <w:r>
        <w:rPr>
          <w:rFonts w:hint="eastAsia" w:ascii="宋体" w:hAnsi="宋体" w:eastAsia="宋体" w:cs="宋体"/>
          <w:b w:val="0"/>
          <w:bCs w:val="0"/>
          <w:sz w:val="24"/>
          <w:szCs w:val="24"/>
          <w:highlight w:val="none"/>
          <w:lang w:val="en-US" w:eastAsia="zh-CN" w:bidi="zh-TW"/>
        </w:rPr>
        <w:t>自动提取结节多种良恶性表征，包括：分叶、毛刺、空洞、脂肪、胸膜凹陷、空泡、钙化、血管集束、充气支气管、棘状突起。</w:t>
      </w:r>
    </w:p>
    <w:p w14:paraId="021AD588">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13.</w:t>
      </w:r>
      <w:r>
        <w:rPr>
          <w:rFonts w:hint="eastAsia" w:ascii="宋体" w:hAnsi="宋体" w:eastAsia="宋体" w:cs="宋体"/>
          <w:b w:val="0"/>
          <w:bCs w:val="0"/>
          <w:sz w:val="24"/>
          <w:szCs w:val="24"/>
          <w:highlight w:val="none"/>
          <w:lang w:val="en-US" w:eastAsia="zh-CN" w:bidi="zh-TW"/>
        </w:rPr>
        <w:t>自动计算结节至胸膜的距离，并提供添加至报告。</w:t>
      </w:r>
    </w:p>
    <w:p w14:paraId="3C4BE304">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14.</w:t>
      </w:r>
      <w:r>
        <w:rPr>
          <w:rFonts w:hint="eastAsia" w:ascii="宋体" w:hAnsi="宋体" w:eastAsia="宋体" w:cs="宋体"/>
          <w:b w:val="0"/>
          <w:bCs w:val="0"/>
          <w:sz w:val="24"/>
          <w:szCs w:val="24"/>
          <w:highlight w:val="none"/>
          <w:lang w:val="en-US" w:eastAsia="zh-CN" w:bidi="zh-TW"/>
        </w:rPr>
        <w:t>根据结节大小、层数位置、风险等级、置信度、左右肺等级提供排序展示。</w:t>
      </w:r>
    </w:p>
    <w:p w14:paraId="036AD8F7">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15.</w:t>
      </w:r>
      <w:r>
        <w:rPr>
          <w:rFonts w:hint="eastAsia" w:ascii="宋体" w:hAnsi="宋体" w:eastAsia="宋体" w:cs="宋体"/>
          <w:b w:val="0"/>
          <w:bCs w:val="0"/>
          <w:sz w:val="24"/>
          <w:szCs w:val="24"/>
          <w:highlight w:val="none"/>
          <w:lang w:val="en-US" w:eastAsia="zh-CN" w:bidi="zh-TW"/>
        </w:rPr>
        <w:t>根据结节长径、结节短径组合结节类型及危险等级进行筛选，提供自定义添加筛选范围。</w:t>
      </w:r>
    </w:p>
    <w:p w14:paraId="3DCA540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16.</w:t>
      </w:r>
      <w:r>
        <w:rPr>
          <w:rFonts w:hint="eastAsia" w:ascii="宋体" w:hAnsi="宋体" w:eastAsia="宋体" w:cs="宋体"/>
          <w:b w:val="0"/>
          <w:bCs w:val="0"/>
          <w:sz w:val="24"/>
          <w:szCs w:val="24"/>
          <w:highlight w:val="none"/>
          <w:lang w:val="en-US" w:eastAsia="zh-CN" w:bidi="zh-TW"/>
        </w:rPr>
        <w:t>系统提供对≥30mm的肿块进行筛选。</w:t>
      </w:r>
    </w:p>
    <w:p w14:paraId="4CDF5E4D">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17.</w:t>
      </w:r>
      <w:r>
        <w:rPr>
          <w:rFonts w:hint="eastAsia" w:ascii="宋体" w:hAnsi="宋体" w:eastAsia="宋体" w:cs="宋体"/>
          <w:b w:val="0"/>
          <w:bCs w:val="0"/>
          <w:sz w:val="24"/>
          <w:szCs w:val="24"/>
          <w:highlight w:val="none"/>
          <w:lang w:val="en-US" w:eastAsia="zh-CN" w:bidi="zh-TW"/>
        </w:rPr>
        <w:t>对于弥漫多发结节的病例提供结节过滤功能，显示一定数量的最大结节。</w:t>
      </w:r>
    </w:p>
    <w:p w14:paraId="094FA191">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18.</w:t>
      </w:r>
      <w:r>
        <w:rPr>
          <w:rFonts w:hint="eastAsia" w:ascii="宋体" w:hAnsi="宋体" w:eastAsia="宋体" w:cs="宋体"/>
          <w:b w:val="0"/>
          <w:bCs w:val="0"/>
          <w:sz w:val="24"/>
          <w:szCs w:val="24"/>
          <w:highlight w:val="none"/>
          <w:lang w:val="en-US" w:eastAsia="zh-CN" w:bidi="zh-TW"/>
        </w:rPr>
        <w:t>提供最大/最小密度投影功能（MaxIP/MinIP），可手动调节投影层厚。</w:t>
      </w:r>
    </w:p>
    <w:p w14:paraId="5501989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19.</w:t>
      </w:r>
      <w:r>
        <w:rPr>
          <w:rFonts w:hint="eastAsia" w:ascii="宋体" w:hAnsi="宋体" w:eastAsia="宋体" w:cs="宋体"/>
          <w:b w:val="0"/>
          <w:bCs w:val="0"/>
          <w:sz w:val="24"/>
          <w:szCs w:val="24"/>
          <w:highlight w:val="none"/>
          <w:lang w:val="en-US" w:eastAsia="zh-CN" w:bidi="zh-TW"/>
        </w:rPr>
        <w:t>不同层厚间的适配功能，对于检测到的结节，提供显示结节在不同层厚序列中所在的层面。</w:t>
      </w:r>
    </w:p>
    <w:p w14:paraId="6333D156">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20.</w:t>
      </w:r>
      <w:r>
        <w:rPr>
          <w:rFonts w:hint="eastAsia" w:ascii="宋体" w:hAnsi="宋体" w:eastAsia="宋体" w:cs="宋体"/>
          <w:b w:val="0"/>
          <w:bCs w:val="0"/>
          <w:sz w:val="24"/>
          <w:szCs w:val="24"/>
          <w:highlight w:val="none"/>
          <w:lang w:val="en-US" w:eastAsia="zh-CN" w:bidi="zh-TW"/>
        </w:rPr>
        <w:t>依据国内权威指南，提供结节风险评估结果，评估结节的高、中、低危风险等级。</w:t>
      </w:r>
    </w:p>
    <w:p w14:paraId="798C254E">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21.</w:t>
      </w:r>
      <w:r>
        <w:rPr>
          <w:rFonts w:hint="eastAsia" w:ascii="宋体" w:hAnsi="宋体" w:eastAsia="宋体" w:cs="宋体"/>
          <w:b w:val="0"/>
          <w:bCs w:val="0"/>
          <w:sz w:val="24"/>
          <w:szCs w:val="24"/>
          <w:highlight w:val="none"/>
          <w:lang w:val="en-US" w:eastAsia="zh-CN" w:bidi="zh-TW"/>
        </w:rPr>
        <w:t>提供结节良恶性预测结果，并对概率值高的结节重点提示。</w:t>
      </w:r>
    </w:p>
    <w:p w14:paraId="4A4B3DFD">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22.提供</w:t>
      </w:r>
      <w:r>
        <w:rPr>
          <w:rFonts w:hint="eastAsia" w:ascii="宋体" w:hAnsi="宋体" w:eastAsia="宋体" w:cs="宋体"/>
          <w:b w:val="0"/>
          <w:bCs w:val="0"/>
          <w:sz w:val="24"/>
          <w:szCs w:val="24"/>
          <w:highlight w:val="none"/>
          <w:lang w:val="en-US" w:eastAsia="zh-CN" w:bidi="zh-TW"/>
        </w:rPr>
        <w:t>肺结节良恶性预测准确率不低于90%，需提供第三方机构测试或文献证明。</w:t>
      </w:r>
    </w:p>
    <w:p w14:paraId="79D5713A">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23.</w:t>
      </w:r>
      <w:r>
        <w:rPr>
          <w:rFonts w:hint="eastAsia" w:ascii="宋体" w:hAnsi="宋体" w:eastAsia="宋体" w:cs="宋体"/>
          <w:b w:val="0"/>
          <w:bCs w:val="0"/>
          <w:sz w:val="24"/>
          <w:szCs w:val="24"/>
          <w:highlight w:val="none"/>
          <w:lang w:val="en-US" w:eastAsia="zh-CN" w:bidi="zh-TW"/>
        </w:rPr>
        <w:t>依据国际权威指南，提供结节的Lung-RADS等级评估结果。</w:t>
      </w:r>
    </w:p>
    <w:p w14:paraId="6544466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highlight w:val="none"/>
        </w:rPr>
      </w:pPr>
      <w:r>
        <w:rPr>
          <w:rFonts w:hint="eastAsia" w:ascii="宋体" w:hAnsi="宋体" w:eastAsia="宋体" w:cs="宋体"/>
          <w:b w:val="0"/>
          <w:bCs w:val="0"/>
          <w:kern w:val="2"/>
          <w:sz w:val="24"/>
          <w:szCs w:val="24"/>
          <w:highlight w:val="none"/>
          <w:lang w:val="en-US" w:eastAsia="zh-CN" w:bidi="zh-TW"/>
        </w:rPr>
        <w:t>24.</w:t>
      </w:r>
      <w:r>
        <w:rPr>
          <w:rFonts w:hint="eastAsia" w:ascii="宋体" w:hAnsi="宋体" w:eastAsia="宋体" w:cs="宋体"/>
          <w:b w:val="0"/>
          <w:bCs w:val="0"/>
          <w:sz w:val="24"/>
          <w:szCs w:val="24"/>
          <w:highlight w:val="none"/>
          <w:lang w:val="en-US" w:eastAsia="zh-CN" w:bidi="zh-TW"/>
        </w:rPr>
        <w:t>医生可在该模块整体查看结节的详细风险评估信息和关键量化参数。</w:t>
      </w:r>
    </w:p>
    <w:p w14:paraId="3499A5D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25.</w:t>
      </w:r>
      <w:r>
        <w:rPr>
          <w:rFonts w:hint="eastAsia" w:ascii="宋体" w:hAnsi="宋体" w:eastAsia="宋体" w:cs="宋体"/>
          <w:b w:val="0"/>
          <w:bCs w:val="0"/>
          <w:sz w:val="24"/>
          <w:szCs w:val="24"/>
          <w:highlight w:val="none"/>
          <w:lang w:val="en-US" w:eastAsia="zh-CN" w:bidi="zh-TW"/>
        </w:rPr>
        <w:t>提供全部结节的风险分析列表，列表包含结节的良恶性预测风险值、浸润性预测、基于C-Lung-RADS模型的等级评估、基于C-Lung-RADS模型的随访建议、基于Lung-RADS指南的等级评估、基于Lung-RADS指南的随访建议，需采用真实系统或测试系统进行现场演示或视频演示。</w:t>
      </w:r>
    </w:p>
    <w:p w14:paraId="37F96DDD">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26.</w:t>
      </w:r>
      <w:r>
        <w:rPr>
          <w:rFonts w:hint="eastAsia" w:ascii="宋体" w:hAnsi="宋体" w:eastAsia="宋体" w:cs="宋体"/>
          <w:b w:val="0"/>
          <w:bCs w:val="0"/>
          <w:sz w:val="24"/>
          <w:szCs w:val="24"/>
          <w:highlight w:val="none"/>
          <w:lang w:val="en-US" w:eastAsia="zh-CN" w:bidi="zh-TW"/>
        </w:rPr>
        <w:t>提供用户更新临床信息，更新C-Lung-RADS分级结果，需采用真实系统或测试系统进行现场演示或视频演示。</w:t>
      </w:r>
    </w:p>
    <w:p w14:paraId="4437CCC9">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27.提供</w:t>
      </w:r>
      <w:r>
        <w:rPr>
          <w:rFonts w:hint="eastAsia" w:ascii="宋体" w:hAnsi="宋体" w:eastAsia="宋体" w:cs="宋体"/>
          <w:b w:val="0"/>
          <w:bCs w:val="0"/>
          <w:sz w:val="24"/>
          <w:szCs w:val="24"/>
          <w:highlight w:val="none"/>
          <w:lang w:val="en-US" w:eastAsia="zh-CN" w:bidi="zh-TW"/>
        </w:rPr>
        <w:t>肺结节C-Lung-RADS模型风险预测灵敏度不低于85%，需提供第三方机构测试或文献证明。</w:t>
      </w:r>
    </w:p>
    <w:p w14:paraId="325FA9F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28.</w:t>
      </w:r>
      <w:r>
        <w:rPr>
          <w:rFonts w:hint="eastAsia" w:ascii="宋体" w:hAnsi="宋体" w:eastAsia="宋体" w:cs="宋体"/>
          <w:b w:val="0"/>
          <w:bCs w:val="0"/>
          <w:sz w:val="24"/>
          <w:szCs w:val="24"/>
          <w:highlight w:val="none"/>
          <w:lang w:val="en-US" w:eastAsia="zh-CN" w:bidi="zh-TW"/>
        </w:rPr>
        <w:t>提供结节量化分析表，表内包含关键量化指标：长短径、体积、CT值、实性成分长径、实性成分体积、实性成分占比、实性成分直径占比（CTR）；若该患者存在历史检查，在当前检查显示上述量化指标的对比分析。</w:t>
      </w:r>
    </w:p>
    <w:p w14:paraId="0554FB5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29.</w:t>
      </w:r>
      <w:r>
        <w:rPr>
          <w:rFonts w:hint="eastAsia" w:ascii="宋体" w:hAnsi="宋体" w:eastAsia="宋体" w:cs="宋体"/>
          <w:b w:val="0"/>
          <w:bCs w:val="0"/>
          <w:sz w:val="24"/>
          <w:szCs w:val="24"/>
          <w:highlight w:val="none"/>
          <w:lang w:val="en-US" w:eastAsia="zh-CN" w:bidi="zh-TW"/>
        </w:rPr>
        <w:t>提供显示列表中结节的浸润性风险、气道内播散(STAS)风险、胸膜侵犯 (VPI) 风险、淋巴结转移风险、远端转移风险的风险概率值和风险等级预测结果，需采用真实系统或测试系统进行现场演示或视频演示。</w:t>
      </w:r>
    </w:p>
    <w:p w14:paraId="26B71E6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30.</w:t>
      </w:r>
      <w:r>
        <w:rPr>
          <w:rFonts w:hint="eastAsia" w:ascii="宋体" w:hAnsi="宋体" w:eastAsia="宋体" w:cs="宋体"/>
          <w:b w:val="0"/>
          <w:bCs w:val="0"/>
          <w:sz w:val="24"/>
          <w:szCs w:val="24"/>
          <w:highlight w:val="none"/>
          <w:lang w:val="en-US" w:eastAsia="zh-CN" w:bidi="zh-TW"/>
        </w:rPr>
        <w:t>列表下提供结节的局部图像辅助进行风险评估，若结节为部分实性结节，在图像上对实性成分范围进行标记。</w:t>
      </w:r>
    </w:p>
    <w:p w14:paraId="20495B4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31.</w:t>
      </w:r>
      <w:r>
        <w:rPr>
          <w:rFonts w:hint="eastAsia" w:ascii="宋体" w:hAnsi="宋体" w:eastAsia="宋体" w:cs="宋体"/>
          <w:b w:val="0"/>
          <w:bCs w:val="0"/>
          <w:sz w:val="24"/>
          <w:szCs w:val="24"/>
          <w:highlight w:val="none"/>
          <w:lang w:val="en-US" w:eastAsia="zh-CN" w:bidi="zh-TW"/>
        </w:rPr>
        <w:t>对于部分实性结节，提供实性占比。</w:t>
      </w:r>
    </w:p>
    <w:p w14:paraId="0BA3B4A7">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32.</w:t>
      </w:r>
      <w:r>
        <w:rPr>
          <w:rFonts w:hint="eastAsia" w:ascii="宋体" w:hAnsi="宋体" w:eastAsia="宋体" w:cs="宋体"/>
          <w:b w:val="0"/>
          <w:bCs w:val="0"/>
          <w:sz w:val="24"/>
          <w:szCs w:val="24"/>
          <w:highlight w:val="none"/>
          <w:lang w:val="en-US" w:eastAsia="zh-CN" w:bidi="zh-TW"/>
        </w:rPr>
        <w:t>对于部分实性结节，自动测量和展示实性成分的长径值及占比、体积值及占比，在局部放大图中显示实性成分轮廓标记和长径标记。</w:t>
      </w:r>
    </w:p>
    <w:p w14:paraId="061959F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33.</w:t>
      </w:r>
      <w:r>
        <w:rPr>
          <w:rFonts w:hint="eastAsia" w:ascii="宋体" w:hAnsi="宋体" w:eastAsia="宋体" w:cs="宋体"/>
          <w:b w:val="0"/>
          <w:bCs w:val="0"/>
          <w:sz w:val="24"/>
          <w:szCs w:val="24"/>
          <w:highlight w:val="none"/>
          <w:lang w:val="en-US" w:eastAsia="zh-CN" w:bidi="zh-TW"/>
        </w:rPr>
        <w:t>提供影像组学分析功能分析项目≥100项。</w:t>
      </w:r>
    </w:p>
    <w:p w14:paraId="6ED210F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34.</w:t>
      </w:r>
      <w:r>
        <w:rPr>
          <w:rFonts w:hint="eastAsia" w:ascii="宋体" w:hAnsi="宋体" w:eastAsia="宋体" w:cs="宋体"/>
          <w:b w:val="0"/>
          <w:bCs w:val="0"/>
          <w:sz w:val="24"/>
          <w:szCs w:val="24"/>
          <w:highlight w:val="none"/>
          <w:lang w:val="en-US" w:eastAsia="zh-CN" w:bidi="zh-TW"/>
        </w:rPr>
        <w:t>提供对结节进行轮廓编辑，并基于编辑结果更新结节信息。</w:t>
      </w:r>
    </w:p>
    <w:p w14:paraId="498CCD1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35.</w:t>
      </w:r>
      <w:r>
        <w:rPr>
          <w:rFonts w:hint="eastAsia" w:ascii="宋体" w:hAnsi="宋体" w:eastAsia="宋体" w:cs="宋体"/>
          <w:b w:val="0"/>
          <w:bCs w:val="0"/>
          <w:sz w:val="24"/>
          <w:szCs w:val="24"/>
          <w:highlight w:val="none"/>
          <w:lang w:val="en-US" w:eastAsia="zh-CN" w:bidi="zh-TW"/>
        </w:rPr>
        <w:t>在提供平扫胸部CT计算的同时，提供对靶重建CT数据的计算。</w:t>
      </w:r>
    </w:p>
    <w:p w14:paraId="72578A66">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36.</w:t>
      </w:r>
      <w:r>
        <w:rPr>
          <w:rFonts w:hint="eastAsia" w:ascii="宋体" w:hAnsi="宋体" w:eastAsia="宋体" w:cs="宋体"/>
          <w:b w:val="0"/>
          <w:bCs w:val="0"/>
          <w:sz w:val="24"/>
          <w:szCs w:val="24"/>
          <w:highlight w:val="none"/>
          <w:lang w:val="en-US" w:eastAsia="zh-CN" w:bidi="zh-TW"/>
        </w:rPr>
        <w:t>对检出的结节预测转移概率，提供一键对肺转移结节快速查看，需采用真实系统或测试系统进行现场演示或视频演示。</w:t>
      </w:r>
    </w:p>
    <w:p w14:paraId="7274AB8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37.</w:t>
      </w:r>
      <w:r>
        <w:rPr>
          <w:rFonts w:hint="eastAsia" w:ascii="宋体" w:hAnsi="宋体" w:eastAsia="宋体" w:cs="宋体"/>
          <w:b w:val="0"/>
          <w:bCs w:val="0"/>
          <w:sz w:val="24"/>
          <w:szCs w:val="24"/>
          <w:highlight w:val="none"/>
          <w:lang w:val="en-US" w:eastAsia="zh-CN" w:bidi="zh-TW"/>
        </w:rPr>
        <w:t>提供结节与血管、胸膜等肺部结构VR重建的彩色渲染图。</w:t>
      </w:r>
    </w:p>
    <w:p w14:paraId="5F7B127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38.</w:t>
      </w:r>
      <w:r>
        <w:rPr>
          <w:rFonts w:hint="eastAsia" w:ascii="宋体" w:hAnsi="宋体" w:eastAsia="宋体" w:cs="宋体"/>
          <w:b w:val="0"/>
          <w:bCs w:val="0"/>
          <w:sz w:val="24"/>
          <w:szCs w:val="24"/>
          <w:highlight w:val="none"/>
          <w:lang w:val="en-US" w:eastAsia="zh-CN" w:bidi="zh-TW"/>
        </w:rPr>
        <w:t>提供将局部VR图像添加至归档序列，方便医生将目标图像归档至PACS。</w:t>
      </w:r>
    </w:p>
    <w:p w14:paraId="3D139966">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39.</w:t>
      </w:r>
      <w:r>
        <w:rPr>
          <w:rFonts w:hint="eastAsia" w:ascii="宋体" w:hAnsi="宋体" w:eastAsia="宋体" w:cs="宋体"/>
          <w:b w:val="0"/>
          <w:bCs w:val="0"/>
          <w:sz w:val="24"/>
          <w:szCs w:val="24"/>
          <w:highlight w:val="none"/>
          <w:lang w:val="en-US" w:eastAsia="zh-CN" w:bidi="zh-TW"/>
        </w:rPr>
        <w:t>提供典型病例库，为结节自动匹配病例库中最相似的3个典型病例，并提供相似病例的病理信息。</w:t>
      </w:r>
    </w:p>
    <w:p w14:paraId="01AC9E9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40.</w:t>
      </w:r>
      <w:r>
        <w:rPr>
          <w:rFonts w:hint="eastAsia" w:ascii="宋体" w:hAnsi="宋体" w:eastAsia="宋体" w:cs="宋体"/>
          <w:b w:val="0"/>
          <w:bCs w:val="0"/>
          <w:sz w:val="24"/>
          <w:szCs w:val="24"/>
          <w:highlight w:val="none"/>
          <w:lang w:val="en-US" w:eastAsia="zh-CN" w:bidi="zh-TW"/>
        </w:rPr>
        <w:t>提供支气管粘液栓、胸膜增厚、炎症检出，提供支气管粘液栓、胸膜增厚、炎症病灶列表，并和结节在影像上区分标记。</w:t>
      </w:r>
    </w:p>
    <w:p w14:paraId="08F50DF8">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41.</w:t>
      </w:r>
      <w:r>
        <w:rPr>
          <w:rFonts w:hint="eastAsia" w:ascii="宋体" w:hAnsi="宋体" w:eastAsia="宋体" w:cs="宋体"/>
          <w:b w:val="0"/>
          <w:bCs w:val="0"/>
          <w:sz w:val="24"/>
          <w:szCs w:val="24"/>
          <w:highlight w:val="none"/>
          <w:lang w:val="en-US" w:eastAsia="zh-CN" w:bidi="zh-TW"/>
        </w:rPr>
        <w:t>提供支气管粘液栓、胸膜增厚、炎症报告，可复制、修改。</w:t>
      </w:r>
    </w:p>
    <w:p w14:paraId="600FCD8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42.</w:t>
      </w:r>
      <w:r>
        <w:rPr>
          <w:rFonts w:hint="eastAsia" w:ascii="宋体" w:hAnsi="宋体" w:eastAsia="宋体" w:cs="宋体"/>
          <w:b w:val="0"/>
          <w:bCs w:val="0"/>
          <w:sz w:val="24"/>
          <w:szCs w:val="24"/>
          <w:highlight w:val="none"/>
          <w:lang w:val="en-US" w:eastAsia="zh-CN" w:bidi="zh-TW"/>
        </w:rPr>
        <w:t>提供支气管粘液栓、胸膜增厚、炎症病灶显示自定义。</w:t>
      </w:r>
    </w:p>
    <w:p w14:paraId="1A83D8F9">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43.</w:t>
      </w:r>
      <w:r>
        <w:rPr>
          <w:rFonts w:hint="eastAsia" w:ascii="宋体" w:hAnsi="宋体" w:eastAsia="宋体" w:cs="宋体"/>
          <w:b w:val="0"/>
          <w:bCs w:val="0"/>
          <w:sz w:val="24"/>
          <w:szCs w:val="24"/>
          <w:highlight w:val="none"/>
          <w:lang w:val="en-US" w:eastAsia="zh-CN" w:bidi="zh-TW"/>
        </w:rPr>
        <w:t>提供选取结节报告模板，模板数量≥12个，提供具体模板名称。</w:t>
      </w:r>
    </w:p>
    <w:p w14:paraId="0F448D0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bCs/>
          <w:sz w:val="24"/>
          <w:szCs w:val="24"/>
          <w:highlight w:val="none"/>
          <w:lang w:val="en-US" w:eastAsia="zh-CN" w:bidi="zh-TW"/>
        </w:rPr>
        <w:t>（四）打印与归档功能</w:t>
      </w:r>
    </w:p>
    <w:p w14:paraId="4EE96BE1">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w:t>
      </w:r>
      <w:r>
        <w:rPr>
          <w:rFonts w:hint="eastAsia" w:ascii="宋体" w:hAnsi="宋体" w:eastAsia="宋体" w:cs="宋体"/>
          <w:b w:val="0"/>
          <w:bCs w:val="0"/>
          <w:sz w:val="24"/>
          <w:szCs w:val="24"/>
          <w:highlight w:val="none"/>
          <w:lang w:val="en-US" w:eastAsia="zh-CN" w:bidi="zh-TW"/>
        </w:rPr>
        <w:t>提供手动选择有临床意义的结节，按已选择的报告模板生成图文报告并归档到PACS，提供修改、保存及导出。</w:t>
      </w:r>
    </w:p>
    <w:p w14:paraId="45A14E6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w:t>
      </w:r>
      <w:r>
        <w:rPr>
          <w:rFonts w:hint="eastAsia" w:ascii="宋体" w:hAnsi="宋体" w:eastAsia="宋体" w:cs="宋体"/>
          <w:b w:val="0"/>
          <w:bCs w:val="0"/>
          <w:sz w:val="24"/>
          <w:szCs w:val="24"/>
          <w:highlight w:val="none"/>
          <w:lang w:val="en-US" w:eastAsia="zh-CN" w:bidi="zh-TW"/>
        </w:rPr>
        <w:t>提供手动选择有临床意义的结节，将所选结节信息归档到PACS，提供无预览快捷归档。</w:t>
      </w:r>
    </w:p>
    <w:p w14:paraId="4A7980F8">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w:t>
      </w:r>
      <w:r>
        <w:rPr>
          <w:rFonts w:hint="eastAsia" w:ascii="宋体" w:hAnsi="宋体" w:eastAsia="宋体" w:cs="宋体"/>
          <w:b w:val="0"/>
          <w:bCs w:val="0"/>
          <w:sz w:val="24"/>
          <w:szCs w:val="24"/>
          <w:highlight w:val="none"/>
          <w:lang w:val="en-US" w:eastAsia="zh-CN" w:bidi="zh-TW"/>
        </w:rPr>
        <w:t>提供AI辅助分析结果自动回传至PACS，便于医生在PACS实现同步阅片。</w:t>
      </w:r>
    </w:p>
    <w:p w14:paraId="0B09CED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w:t>
      </w:r>
      <w:r>
        <w:rPr>
          <w:rFonts w:hint="eastAsia" w:ascii="宋体" w:hAnsi="宋体" w:eastAsia="宋体" w:cs="宋体"/>
          <w:b w:val="0"/>
          <w:bCs w:val="0"/>
          <w:sz w:val="24"/>
          <w:szCs w:val="24"/>
          <w:highlight w:val="none"/>
          <w:lang w:val="en-US" w:eastAsia="zh-CN" w:bidi="zh-TW"/>
        </w:rPr>
        <w:t>提供配置自动归档结节的局部放大图。</w:t>
      </w:r>
    </w:p>
    <w:p w14:paraId="65684434">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5.</w:t>
      </w:r>
      <w:r>
        <w:rPr>
          <w:rFonts w:hint="eastAsia" w:ascii="宋体" w:hAnsi="宋体" w:eastAsia="宋体" w:cs="宋体"/>
          <w:b w:val="0"/>
          <w:bCs w:val="0"/>
          <w:sz w:val="24"/>
          <w:szCs w:val="24"/>
          <w:highlight w:val="none"/>
          <w:lang w:val="en-US" w:eastAsia="zh-CN" w:bidi="zh-TW"/>
        </w:rPr>
        <w:t>提供配置自动归档固定数量的图像，间隔选取图像至归档序列。</w:t>
      </w:r>
    </w:p>
    <w:p w14:paraId="37D7A8B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6.</w:t>
      </w:r>
      <w:r>
        <w:rPr>
          <w:rFonts w:hint="eastAsia" w:ascii="宋体" w:hAnsi="宋体" w:eastAsia="宋体" w:cs="宋体"/>
          <w:b w:val="0"/>
          <w:bCs w:val="0"/>
          <w:sz w:val="24"/>
          <w:szCs w:val="24"/>
          <w:highlight w:val="none"/>
          <w:lang w:val="en-US" w:eastAsia="zh-CN" w:bidi="zh-TW"/>
        </w:rPr>
        <w:t>提供配置自动归档图像上显示或隐藏至少9种结节参数，每种结节参数可独立配置显示或隐藏。</w:t>
      </w:r>
    </w:p>
    <w:p w14:paraId="4A310C2E">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7.</w:t>
      </w:r>
      <w:r>
        <w:rPr>
          <w:rFonts w:hint="eastAsia" w:ascii="宋体" w:hAnsi="宋体" w:eastAsia="宋体" w:cs="宋体"/>
          <w:b w:val="0"/>
          <w:bCs w:val="0"/>
          <w:sz w:val="24"/>
          <w:szCs w:val="24"/>
          <w:highlight w:val="none"/>
          <w:lang w:val="en-US" w:eastAsia="zh-CN" w:bidi="zh-TW"/>
        </w:rPr>
        <w:t>提供胶片打印功能，可选取需要打印的结节，自动生成并排布结节层面打印图像，也提供阴性数据间隔选取打印，并提供多种胶片布局方式。</w:t>
      </w:r>
    </w:p>
    <w:p w14:paraId="6D07E546">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8.</w:t>
      </w:r>
      <w:r>
        <w:rPr>
          <w:rFonts w:hint="eastAsia" w:ascii="宋体" w:hAnsi="宋体" w:eastAsia="宋体" w:cs="宋体"/>
          <w:b w:val="0"/>
          <w:bCs w:val="0"/>
          <w:sz w:val="24"/>
          <w:szCs w:val="24"/>
          <w:highlight w:val="none"/>
          <w:lang w:val="en-US" w:eastAsia="zh-CN" w:bidi="zh-TW"/>
        </w:rPr>
        <w:t>每个结节提供设置选取单层或多层进行打印。提供设置固定图像数量进行自动间隔选取，适用于阴性数据打印。</w:t>
      </w:r>
    </w:p>
    <w:p w14:paraId="29167FA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9.</w:t>
      </w:r>
      <w:r>
        <w:rPr>
          <w:rFonts w:hint="eastAsia" w:ascii="宋体" w:hAnsi="宋体" w:eastAsia="宋体" w:cs="宋体"/>
          <w:b w:val="0"/>
          <w:bCs w:val="0"/>
          <w:sz w:val="24"/>
          <w:szCs w:val="24"/>
          <w:highlight w:val="none"/>
          <w:lang w:val="en-US" w:eastAsia="zh-CN" w:bidi="zh-TW"/>
        </w:rPr>
        <w:t>提供设置每个目标结节的MPR全局图像和局部放大图像加入至打印序列，可设置局部放大图的放大倍数，提供每种图像的显示/隐藏。</w:t>
      </w:r>
    </w:p>
    <w:p w14:paraId="3205D58E">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10.</w:t>
      </w:r>
      <w:r>
        <w:rPr>
          <w:rFonts w:hint="eastAsia" w:ascii="宋体" w:hAnsi="宋体" w:eastAsia="宋体" w:cs="宋体"/>
          <w:b w:val="0"/>
          <w:bCs w:val="0"/>
          <w:sz w:val="24"/>
          <w:szCs w:val="24"/>
          <w:highlight w:val="none"/>
          <w:lang w:val="en-US" w:eastAsia="zh-CN" w:bidi="zh-TW"/>
        </w:rPr>
        <w:t>提供设置打印图像中结节矩形框及十字定位线的显示/隐藏。</w:t>
      </w:r>
    </w:p>
    <w:p w14:paraId="7C56B2B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11.</w:t>
      </w:r>
      <w:r>
        <w:rPr>
          <w:rFonts w:hint="eastAsia" w:ascii="宋体" w:hAnsi="宋体" w:eastAsia="宋体" w:cs="宋体"/>
          <w:b w:val="0"/>
          <w:bCs w:val="0"/>
          <w:sz w:val="24"/>
          <w:szCs w:val="24"/>
          <w:highlight w:val="none"/>
          <w:lang w:val="en-US" w:eastAsia="zh-CN" w:bidi="zh-TW"/>
        </w:rPr>
        <w:t>提供设置自动间隔选取肺窗MPR、纵隔窗图像至打印序列。</w:t>
      </w:r>
    </w:p>
    <w:p w14:paraId="76D332B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12.</w:t>
      </w:r>
      <w:r>
        <w:rPr>
          <w:rFonts w:hint="eastAsia" w:ascii="宋体" w:hAnsi="宋体" w:eastAsia="宋体" w:cs="宋体"/>
          <w:b w:val="0"/>
          <w:bCs w:val="0"/>
          <w:sz w:val="24"/>
          <w:szCs w:val="24"/>
          <w:highlight w:val="none"/>
          <w:lang w:val="en-US" w:eastAsia="zh-CN" w:bidi="zh-TW"/>
        </w:rPr>
        <w:t>提供选取局部VR图像至打印序列。</w:t>
      </w:r>
    </w:p>
    <w:p w14:paraId="7282E248">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13.</w:t>
      </w:r>
      <w:r>
        <w:rPr>
          <w:rFonts w:hint="eastAsia" w:ascii="宋体" w:hAnsi="宋体" w:eastAsia="宋体" w:cs="宋体"/>
          <w:b w:val="0"/>
          <w:bCs w:val="0"/>
          <w:sz w:val="24"/>
          <w:szCs w:val="24"/>
          <w:highlight w:val="none"/>
          <w:lang w:val="en-US" w:eastAsia="zh-CN" w:bidi="zh-TW"/>
        </w:rPr>
        <w:t>提供在界面中手动选取目标层面添加至打印序列。</w:t>
      </w:r>
    </w:p>
    <w:p w14:paraId="3F989CF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bCs/>
          <w:sz w:val="24"/>
          <w:szCs w:val="24"/>
          <w:highlight w:val="none"/>
          <w:lang w:val="en-US" w:eastAsia="zh-CN" w:bidi="zh-TW"/>
        </w:rPr>
        <w:t>（五）结节随访分析功能</w:t>
      </w:r>
    </w:p>
    <w:p w14:paraId="0BB94B9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w:t>
      </w:r>
      <w:r>
        <w:rPr>
          <w:rFonts w:hint="eastAsia" w:ascii="宋体" w:hAnsi="宋体" w:eastAsia="宋体" w:cs="宋体"/>
          <w:b w:val="0"/>
          <w:bCs w:val="0"/>
          <w:sz w:val="24"/>
          <w:szCs w:val="24"/>
          <w:highlight w:val="none"/>
          <w:lang w:val="en-US" w:eastAsia="zh-CN" w:bidi="zh-TW"/>
        </w:rPr>
        <w:t>提供数据管理及随访管理功能。</w:t>
      </w:r>
    </w:p>
    <w:p w14:paraId="66BB38C6">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w:t>
      </w:r>
      <w:r>
        <w:rPr>
          <w:rFonts w:hint="eastAsia" w:ascii="宋体" w:hAnsi="宋体" w:eastAsia="宋体" w:cs="宋体"/>
          <w:b w:val="0"/>
          <w:bCs w:val="0"/>
          <w:sz w:val="24"/>
          <w:szCs w:val="24"/>
          <w:highlight w:val="none"/>
          <w:lang w:val="en-US" w:eastAsia="zh-CN" w:bidi="zh-TW"/>
        </w:rPr>
        <w:t>提供具备随访功能产品的中国人民共和国医疗器械注册证（不包括具备随访功能的肺炎辅助分诊软件）</w:t>
      </w:r>
    </w:p>
    <w:p w14:paraId="6FAA8664">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w:t>
      </w:r>
      <w:r>
        <w:rPr>
          <w:rFonts w:hint="eastAsia" w:ascii="宋体" w:hAnsi="宋体" w:eastAsia="宋体" w:cs="宋体"/>
          <w:b w:val="0"/>
          <w:bCs w:val="0"/>
          <w:sz w:val="24"/>
          <w:szCs w:val="24"/>
          <w:highlight w:val="none"/>
          <w:lang w:val="en-US" w:eastAsia="zh-CN" w:bidi="zh-TW"/>
        </w:rPr>
        <w:t>根据国际标准指南提供默认的随访时间建议，提供给每个病例添加随访管理计划，并且可以在随访管理模块对有随访计划的病例进行筛选、查询以进行随访状态的追踪。</w:t>
      </w:r>
    </w:p>
    <w:p w14:paraId="076AEC1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4.</w:t>
      </w:r>
      <w:r>
        <w:rPr>
          <w:rFonts w:hint="eastAsia" w:ascii="宋体" w:hAnsi="宋体" w:eastAsia="宋体" w:cs="宋体"/>
          <w:b w:val="0"/>
          <w:bCs w:val="0"/>
          <w:sz w:val="24"/>
          <w:szCs w:val="24"/>
          <w:highlight w:val="none"/>
          <w:lang w:val="en-US" w:eastAsia="zh-CN" w:bidi="zh-TW"/>
        </w:rPr>
        <w:t>汇总展示肺结节算法计算成功的所有病例，提供通过结节大小、随访状态等至少12种条件对数据进行筛选、添加至随访操作，并提供csv导出功能，需采用真实系统或测试系统进行现场演示或视频演示。</w:t>
      </w:r>
    </w:p>
    <w:p w14:paraId="4CA274B1">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5.</w:t>
      </w:r>
      <w:r>
        <w:rPr>
          <w:rFonts w:hint="eastAsia" w:ascii="宋体" w:hAnsi="宋体" w:eastAsia="宋体" w:cs="宋体"/>
          <w:b w:val="0"/>
          <w:bCs w:val="0"/>
          <w:sz w:val="24"/>
          <w:szCs w:val="24"/>
          <w:highlight w:val="none"/>
          <w:lang w:val="en-US" w:eastAsia="zh-CN" w:bidi="zh-TW"/>
        </w:rPr>
        <w:t>系统提供收藏/取消收藏目标病例，可将病例分类收藏至不同文件夹，提供修改操作信息，也提供对病例手动添加备注信息。</w:t>
      </w:r>
    </w:p>
    <w:p w14:paraId="45A2DC04">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6.</w:t>
      </w:r>
      <w:r>
        <w:rPr>
          <w:rFonts w:hint="eastAsia" w:ascii="宋体" w:hAnsi="宋体" w:eastAsia="宋体" w:cs="宋体"/>
          <w:b w:val="0"/>
          <w:bCs w:val="0"/>
          <w:sz w:val="24"/>
          <w:szCs w:val="24"/>
          <w:highlight w:val="none"/>
          <w:lang w:val="en-US" w:eastAsia="zh-CN" w:bidi="zh-TW"/>
        </w:rPr>
        <w:t>提供软件分析结果以CSV的方式导出。</w:t>
      </w:r>
    </w:p>
    <w:p w14:paraId="6BABF041">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7.</w:t>
      </w:r>
      <w:r>
        <w:rPr>
          <w:rFonts w:hint="eastAsia" w:ascii="宋体" w:hAnsi="宋体" w:eastAsia="宋体" w:cs="宋体"/>
          <w:b w:val="0"/>
          <w:bCs w:val="0"/>
          <w:sz w:val="24"/>
          <w:szCs w:val="24"/>
          <w:highlight w:val="none"/>
          <w:lang w:val="en-US" w:eastAsia="zh-CN" w:bidi="zh-TW"/>
        </w:rPr>
        <w:t>提供同屏显示2次不同时间的检查图像。</w:t>
      </w:r>
    </w:p>
    <w:p w14:paraId="6388D8B8">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8.</w:t>
      </w:r>
      <w:r>
        <w:rPr>
          <w:rFonts w:hint="eastAsia" w:ascii="宋体" w:hAnsi="宋体" w:eastAsia="宋体" w:cs="宋体"/>
          <w:b w:val="0"/>
          <w:bCs w:val="0"/>
          <w:sz w:val="24"/>
          <w:szCs w:val="24"/>
          <w:highlight w:val="none"/>
          <w:lang w:val="en-US" w:eastAsia="zh-CN" w:bidi="zh-TW"/>
        </w:rPr>
        <w:t>根据患者patient ID自动匹配两次检查。</w:t>
      </w:r>
    </w:p>
    <w:p w14:paraId="34C7E72B">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9.</w:t>
      </w:r>
      <w:r>
        <w:rPr>
          <w:rFonts w:hint="eastAsia" w:ascii="宋体" w:hAnsi="宋体" w:eastAsia="宋体" w:cs="宋体"/>
          <w:b w:val="0"/>
          <w:bCs w:val="0"/>
          <w:sz w:val="24"/>
          <w:szCs w:val="24"/>
          <w:highlight w:val="none"/>
          <w:lang w:val="en-US" w:eastAsia="zh-CN" w:bidi="zh-TW"/>
        </w:rPr>
        <w:t>实现同步阅片（翻页、平移、缩放）操作，提供快捷操作设置，提供同步MIP和MPR功能，便于用户同步观察病灶变化情况。</w:t>
      </w:r>
    </w:p>
    <w:p w14:paraId="41CA3AF7">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10.</w:t>
      </w:r>
      <w:r>
        <w:rPr>
          <w:rFonts w:hint="eastAsia" w:ascii="宋体" w:hAnsi="宋体" w:eastAsia="宋体" w:cs="宋体"/>
          <w:b w:val="0"/>
          <w:bCs w:val="0"/>
          <w:sz w:val="24"/>
          <w:szCs w:val="24"/>
          <w:highlight w:val="none"/>
          <w:lang w:val="en-US" w:eastAsia="zh-CN" w:bidi="zh-TW"/>
        </w:rPr>
        <w:t>提供随访匹配关系手动添加或修改、删除。</w:t>
      </w:r>
    </w:p>
    <w:p w14:paraId="42C6F5F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11.</w:t>
      </w:r>
      <w:r>
        <w:rPr>
          <w:rFonts w:hint="eastAsia" w:ascii="宋体" w:hAnsi="宋体" w:eastAsia="宋体" w:cs="宋体"/>
          <w:b w:val="0"/>
          <w:bCs w:val="0"/>
          <w:sz w:val="24"/>
          <w:szCs w:val="24"/>
          <w:highlight w:val="none"/>
          <w:lang w:val="en-US" w:eastAsia="zh-CN" w:bidi="zh-TW"/>
        </w:rPr>
        <w:t>自动生成随访结果文本，可编辑、复制及一键放大，点击描述可跳转对应结节。</w:t>
      </w:r>
    </w:p>
    <w:p w14:paraId="3ADF81D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12.</w:t>
      </w:r>
      <w:r>
        <w:rPr>
          <w:rFonts w:hint="eastAsia" w:ascii="宋体" w:hAnsi="宋体" w:eastAsia="宋体" w:cs="宋体"/>
          <w:b w:val="0"/>
          <w:bCs w:val="0"/>
          <w:sz w:val="24"/>
          <w:szCs w:val="24"/>
          <w:highlight w:val="none"/>
          <w:lang w:val="en-US" w:eastAsia="zh-CN" w:bidi="zh-TW"/>
        </w:rPr>
        <w:t>提供用户通过本地导入或PACS查询的方式手动添加历史数据，可手动关联同一患者不同patient ID的历史检查数据，对于手动添加的检查数据，可触发在线的随访对比分析。</w:t>
      </w:r>
    </w:p>
    <w:p w14:paraId="37F232B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13.提供</w:t>
      </w:r>
      <w:r>
        <w:rPr>
          <w:rFonts w:hint="eastAsia" w:ascii="宋体" w:hAnsi="宋体" w:eastAsia="宋体" w:cs="宋体"/>
          <w:b w:val="0"/>
          <w:bCs w:val="0"/>
          <w:sz w:val="24"/>
          <w:szCs w:val="24"/>
          <w:highlight w:val="none"/>
          <w:lang w:val="en-US" w:eastAsia="zh-CN" w:bidi="zh-TW"/>
        </w:rPr>
        <w:t>多时间点数据智能配准，对应结节智能跟踪匹配，显示匹配结节、新增、消失结节。</w:t>
      </w:r>
    </w:p>
    <w:p w14:paraId="361D3AD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14.</w:t>
      </w:r>
      <w:r>
        <w:rPr>
          <w:rFonts w:hint="eastAsia" w:ascii="宋体" w:hAnsi="宋体" w:eastAsia="宋体" w:cs="宋体"/>
          <w:b w:val="0"/>
          <w:bCs w:val="0"/>
          <w:sz w:val="24"/>
          <w:szCs w:val="24"/>
          <w:highlight w:val="none"/>
          <w:lang w:val="en-US" w:eastAsia="zh-CN" w:bidi="zh-TW"/>
        </w:rPr>
        <w:t>提供显示病灶匹配后的随访评估列表或病灶未匹配的对比列表。</w:t>
      </w:r>
    </w:p>
    <w:p w14:paraId="2097A7BD">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15.</w:t>
      </w:r>
      <w:r>
        <w:rPr>
          <w:rFonts w:hint="eastAsia" w:ascii="宋体" w:hAnsi="宋体" w:eastAsia="宋体" w:cs="宋体"/>
          <w:b w:val="0"/>
          <w:bCs w:val="0"/>
          <w:sz w:val="24"/>
          <w:szCs w:val="24"/>
          <w:highlight w:val="none"/>
          <w:lang w:val="en-US" w:eastAsia="zh-CN" w:bidi="zh-TW"/>
        </w:rPr>
        <w:t>前后片自动匹配两次检查同一结节，提供结节长短径、体积、平均CT值、实性成分等量化对比，量化病灶变化趋势，增大病灶给出倍增时间。</w:t>
      </w:r>
    </w:p>
    <w:p w14:paraId="5D363B41">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sz w:val="24"/>
          <w:szCs w:val="24"/>
          <w:highlight w:val="none"/>
          <w:lang w:eastAsia="zh-CN"/>
        </w:rPr>
        <w:t xml:space="preserve"> </w:t>
      </w:r>
      <w:r>
        <w:rPr>
          <w:rFonts w:hint="eastAsia" w:ascii="宋体" w:hAnsi="宋体" w:eastAsia="宋体" w:cs="宋体"/>
          <w:b w:val="0"/>
          <w:bCs w:val="0"/>
          <w:kern w:val="2"/>
          <w:sz w:val="24"/>
          <w:szCs w:val="24"/>
          <w:highlight w:val="none"/>
          <w:lang w:val="en-US" w:eastAsia="zh-CN" w:bidi="zh-TW"/>
        </w:rPr>
        <w:t>16.</w:t>
      </w:r>
      <w:r>
        <w:rPr>
          <w:rFonts w:hint="eastAsia" w:ascii="宋体" w:hAnsi="宋体" w:eastAsia="宋体" w:cs="宋体"/>
          <w:b w:val="0"/>
          <w:bCs w:val="0"/>
          <w:sz w:val="24"/>
          <w:szCs w:val="24"/>
          <w:highlight w:val="none"/>
          <w:lang w:val="en-US" w:eastAsia="zh-CN" w:bidi="zh-TW"/>
        </w:rPr>
        <w:t>通过直方图提供结节不同成分对比分析，同时提供不同成分的体积占比、质量占比对比分析、多维CT组学特征值对比分析，提供结节征象对比分析，需采用真实系统或测试系统进行现场演示或视频演示。</w:t>
      </w:r>
    </w:p>
    <w:p w14:paraId="13E14AD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17.</w:t>
      </w:r>
      <w:r>
        <w:rPr>
          <w:rFonts w:hint="eastAsia" w:ascii="宋体" w:hAnsi="宋体" w:eastAsia="宋体" w:cs="宋体"/>
          <w:b w:val="0"/>
          <w:bCs w:val="0"/>
          <w:sz w:val="24"/>
          <w:szCs w:val="24"/>
          <w:highlight w:val="none"/>
          <w:lang w:val="en-US" w:eastAsia="zh-CN" w:bidi="zh-TW"/>
        </w:rPr>
        <w:t>基于结节随访变化信息，提供国际标准指南建议，可复制。</w:t>
      </w:r>
    </w:p>
    <w:p w14:paraId="0538EFB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zh-TW"/>
        </w:rPr>
        <w:t>18.</w:t>
      </w:r>
      <w:r>
        <w:rPr>
          <w:rFonts w:hint="eastAsia" w:ascii="宋体" w:hAnsi="宋体" w:eastAsia="宋体" w:cs="宋体"/>
          <w:b w:val="0"/>
          <w:bCs w:val="0"/>
          <w:sz w:val="24"/>
          <w:szCs w:val="24"/>
          <w:highlight w:val="none"/>
          <w:lang w:val="en-US" w:eastAsia="zh-CN" w:bidi="zh-TW"/>
        </w:rPr>
        <w:t>提供手动选择有临床意义的结节，生成图文报告并归档到PACS，提</w:t>
      </w:r>
      <w:r>
        <w:rPr>
          <w:rFonts w:hint="eastAsia" w:ascii="宋体" w:hAnsi="宋体" w:eastAsia="宋体" w:cs="宋体"/>
          <w:bCs/>
          <w:color w:val="auto"/>
          <w:kern w:val="0"/>
          <w:sz w:val="24"/>
          <w:szCs w:val="24"/>
          <w:highlight w:val="none"/>
          <w:lang w:val="en-US" w:eastAsia="zh-CN" w:bidi="ar-SA"/>
        </w:rPr>
        <w:t>供修改、保存及导出。</w:t>
      </w:r>
    </w:p>
    <w:p w14:paraId="1B1377BF">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19.</w:t>
      </w:r>
      <w:r>
        <w:rPr>
          <w:rFonts w:hint="eastAsia" w:ascii="宋体" w:hAnsi="宋体" w:eastAsia="宋体" w:cs="宋体"/>
          <w:b w:val="0"/>
          <w:bCs w:val="0"/>
          <w:sz w:val="24"/>
          <w:szCs w:val="24"/>
          <w:highlight w:val="none"/>
          <w:lang w:val="en-US" w:eastAsia="zh-CN" w:bidi="zh-TW"/>
        </w:rPr>
        <w:t>肺叶配准后平均Dice值高于95%</w:t>
      </w:r>
    </w:p>
    <w:p w14:paraId="040C3239">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20.</w:t>
      </w:r>
      <w:r>
        <w:rPr>
          <w:rFonts w:hint="eastAsia" w:ascii="宋体" w:hAnsi="宋体" w:eastAsia="宋体" w:cs="宋体"/>
          <w:b w:val="0"/>
          <w:bCs w:val="0"/>
          <w:sz w:val="24"/>
          <w:szCs w:val="24"/>
          <w:highlight w:val="none"/>
          <w:lang w:val="en-US" w:eastAsia="zh-CN" w:bidi="zh-TW"/>
        </w:rPr>
        <w:t>随访关联病灶配准后距离小于等于3mm</w:t>
      </w:r>
    </w:p>
    <w:p w14:paraId="7D9D79A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2"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bCs/>
          <w:sz w:val="24"/>
          <w:szCs w:val="24"/>
          <w:highlight w:val="none"/>
          <w:lang w:val="en-US" w:eastAsia="zh-CN" w:bidi="zh-TW"/>
        </w:rPr>
        <w:t>（六）报告和指南建议</w:t>
      </w:r>
    </w:p>
    <w:p w14:paraId="50741FB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1.</w:t>
      </w:r>
      <w:r>
        <w:rPr>
          <w:rFonts w:hint="eastAsia" w:ascii="宋体" w:hAnsi="宋体" w:eastAsia="宋体" w:cs="宋体"/>
          <w:b w:val="0"/>
          <w:bCs w:val="0"/>
          <w:sz w:val="24"/>
          <w:szCs w:val="24"/>
          <w:highlight w:val="none"/>
          <w:lang w:val="en-US" w:eastAsia="zh-CN" w:bidi="zh-TW"/>
        </w:rPr>
        <w:t>提供肺部健康精准评估报告。</w:t>
      </w:r>
    </w:p>
    <w:p w14:paraId="77345AC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2.</w:t>
      </w:r>
      <w:r>
        <w:rPr>
          <w:rFonts w:hint="eastAsia" w:ascii="宋体" w:hAnsi="宋体" w:eastAsia="宋体" w:cs="宋体"/>
          <w:b w:val="0"/>
          <w:bCs w:val="0"/>
          <w:sz w:val="24"/>
          <w:szCs w:val="24"/>
          <w:highlight w:val="none"/>
          <w:lang w:val="en-US" w:eastAsia="zh-CN" w:bidi="zh-TW"/>
        </w:rPr>
        <w:t>提供录入病例的肺部健康史信息，自动生成肺部健康精准评估报告，展示结构化健康史信息。</w:t>
      </w:r>
    </w:p>
    <w:p w14:paraId="222A985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3.</w:t>
      </w:r>
      <w:r>
        <w:rPr>
          <w:rFonts w:hint="eastAsia" w:ascii="宋体" w:hAnsi="宋体" w:eastAsia="宋体" w:cs="宋体"/>
          <w:b w:val="0"/>
          <w:bCs w:val="0"/>
          <w:sz w:val="24"/>
          <w:szCs w:val="24"/>
          <w:highlight w:val="none"/>
          <w:lang w:val="en-US" w:eastAsia="zh-CN" w:bidi="zh-TW"/>
        </w:rPr>
        <w:t>报告提供全肺三维可视化图，可直观看到结节在全肺中的位置分布。</w:t>
      </w:r>
    </w:p>
    <w:p w14:paraId="39F58516">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4.</w:t>
      </w:r>
      <w:r>
        <w:rPr>
          <w:rFonts w:hint="eastAsia" w:ascii="宋体" w:hAnsi="宋体" w:eastAsia="宋体" w:cs="宋体"/>
          <w:b w:val="0"/>
          <w:bCs w:val="0"/>
          <w:sz w:val="24"/>
          <w:szCs w:val="24"/>
          <w:highlight w:val="none"/>
          <w:lang w:val="en-US" w:eastAsia="zh-CN" w:bidi="zh-TW"/>
        </w:rPr>
        <w:t>报告通过表格提供结节结构化信息，包括：结节位置、大小、CT值、密度类型、Lung-RADS分级、组学分析结果（≥9项）。</w:t>
      </w:r>
    </w:p>
    <w:p w14:paraId="6C4AED10">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5.</w:t>
      </w:r>
      <w:r>
        <w:rPr>
          <w:rFonts w:hint="eastAsia" w:ascii="宋体" w:hAnsi="宋体" w:eastAsia="宋体" w:cs="宋体"/>
          <w:b w:val="0"/>
          <w:bCs w:val="0"/>
          <w:sz w:val="24"/>
          <w:szCs w:val="24"/>
          <w:highlight w:val="none"/>
          <w:lang w:val="en-US" w:eastAsia="zh-CN" w:bidi="zh-TW"/>
        </w:rPr>
        <w:t>报告提供结节的肺窗MPR全局图及局部放大图，以及纵隔窗的MPR图像，并将结节在图中用矩形框标记。</w:t>
      </w:r>
    </w:p>
    <w:p w14:paraId="7A8698E5">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6.</w:t>
      </w:r>
      <w:r>
        <w:rPr>
          <w:rFonts w:hint="eastAsia" w:ascii="宋体" w:hAnsi="宋体" w:eastAsia="宋体" w:cs="宋体"/>
          <w:b w:val="0"/>
          <w:bCs w:val="0"/>
          <w:sz w:val="24"/>
          <w:szCs w:val="24"/>
          <w:highlight w:val="none"/>
          <w:lang w:val="en-US" w:eastAsia="zh-CN" w:bidi="zh-TW"/>
        </w:rPr>
        <w:t>报告提供对有随访2次检查的结节分析结果进行结构化的对比展示。</w:t>
      </w:r>
    </w:p>
    <w:p w14:paraId="02C77269">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7.</w:t>
      </w:r>
      <w:r>
        <w:rPr>
          <w:rFonts w:hint="eastAsia" w:ascii="宋体" w:hAnsi="宋体" w:eastAsia="宋体" w:cs="宋体"/>
          <w:b w:val="0"/>
          <w:bCs w:val="0"/>
          <w:sz w:val="24"/>
          <w:szCs w:val="24"/>
          <w:highlight w:val="none"/>
          <w:lang w:val="en-US" w:eastAsia="zh-CN" w:bidi="zh-TW"/>
        </w:rPr>
        <w:t>报告提供双肺、左肺、右肺以及每个肺段的体积值、体积占比和结节数量。</w:t>
      </w:r>
    </w:p>
    <w:p w14:paraId="5237B509">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8.</w:t>
      </w:r>
      <w:r>
        <w:rPr>
          <w:rFonts w:hint="eastAsia" w:ascii="宋体" w:hAnsi="宋体" w:eastAsia="宋体" w:cs="宋体"/>
          <w:b w:val="0"/>
          <w:bCs w:val="0"/>
          <w:sz w:val="24"/>
          <w:szCs w:val="24"/>
          <w:highlight w:val="none"/>
          <w:lang w:val="en-US" w:eastAsia="zh-CN" w:bidi="zh-TW"/>
        </w:rPr>
        <w:t>报告提供基本的肺健康科普知识。</w:t>
      </w:r>
    </w:p>
    <w:p w14:paraId="66501A12">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9.</w:t>
      </w:r>
      <w:r>
        <w:rPr>
          <w:rFonts w:hint="eastAsia" w:ascii="宋体" w:hAnsi="宋体" w:eastAsia="宋体" w:cs="宋体"/>
          <w:b w:val="0"/>
          <w:bCs w:val="0"/>
          <w:sz w:val="24"/>
          <w:szCs w:val="24"/>
          <w:highlight w:val="none"/>
          <w:lang w:val="en-US" w:eastAsia="zh-CN" w:bidi="zh-TW"/>
        </w:rPr>
        <w:t>提供全胸报告，提供用户个性化配置，可复制、修改。</w:t>
      </w:r>
    </w:p>
    <w:p w14:paraId="71529967">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宋体" w:hAnsi="宋体" w:eastAsia="宋体" w:cs="宋体"/>
          <w:b w:val="0"/>
          <w:bCs w:val="0"/>
          <w:kern w:val="2"/>
          <w:sz w:val="24"/>
          <w:szCs w:val="24"/>
          <w:highlight w:val="none"/>
          <w:lang w:val="en-US" w:eastAsia="zh-CN" w:bidi="zh-TW"/>
        </w:rPr>
      </w:pPr>
      <w:r>
        <w:rPr>
          <w:rFonts w:hint="eastAsia" w:ascii="宋体" w:hAnsi="宋体" w:eastAsia="宋体" w:cs="宋体"/>
          <w:b w:val="0"/>
          <w:bCs w:val="0"/>
          <w:kern w:val="2"/>
          <w:sz w:val="24"/>
          <w:szCs w:val="24"/>
          <w:highlight w:val="none"/>
          <w:lang w:val="en-US" w:eastAsia="zh-CN" w:bidi="zh-TW"/>
        </w:rPr>
        <w:t xml:space="preserve">10.提供6种或以上的指南建议，可复制。 </w:t>
      </w:r>
    </w:p>
    <w:p w14:paraId="494AC1BC">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eastAsia" w:ascii="方正仿宋_GBK" w:hAnsi="方正仿宋_GBK" w:eastAsia="方正仿宋_GBK" w:cs="方正仿宋_GBK"/>
          <w:color w:val="0000FF"/>
          <w:sz w:val="32"/>
          <w:szCs w:val="40"/>
          <w:u w:val="none"/>
          <w:lang w:val="en-US" w:eastAsia="zh-CN"/>
        </w:rPr>
      </w:pPr>
      <w:r>
        <w:rPr>
          <w:rFonts w:hint="eastAsia" w:ascii="宋体" w:hAnsi="宋体" w:eastAsia="宋体" w:cs="宋体"/>
          <w:b w:val="0"/>
          <w:bCs w:val="0"/>
          <w:kern w:val="2"/>
          <w:sz w:val="24"/>
          <w:szCs w:val="24"/>
          <w:highlight w:val="none"/>
          <w:lang w:val="en-US" w:eastAsia="zh-CN" w:bidi="zh-TW"/>
        </w:rPr>
        <w:t xml:space="preserve"> </w:t>
      </w:r>
      <w:r>
        <w:rPr>
          <w:rFonts w:hint="eastAsia" w:ascii="宋体" w:hAnsi="宋体" w:eastAsia="宋体" w:cs="宋体"/>
          <w:b/>
          <w:bCs/>
          <w:kern w:val="2"/>
          <w:sz w:val="24"/>
          <w:szCs w:val="24"/>
          <w:highlight w:val="none"/>
          <w:lang w:val="en-US" w:eastAsia="zh-CN" w:bidi="zh-TW"/>
        </w:rPr>
        <w:t xml:space="preserve">（七） 接口服务 </w:t>
      </w:r>
      <w:r>
        <w:rPr>
          <w:rFonts w:hint="eastAsia" w:ascii="宋体" w:hAnsi="宋体" w:eastAsia="宋体" w:cs="宋体"/>
          <w:b w:val="0"/>
          <w:bCs w:val="0"/>
          <w:kern w:val="2"/>
          <w:sz w:val="24"/>
          <w:szCs w:val="24"/>
          <w:highlight w:val="none"/>
          <w:lang w:val="en-US" w:eastAsia="zh-CN" w:bidi="zh-TW"/>
        </w:rPr>
        <w:t xml:space="preserve"> </w:t>
      </w:r>
      <w:r>
        <w:rPr>
          <w:rFonts w:hint="eastAsia" w:ascii="方正仿宋_GBK" w:hAnsi="方正仿宋_GBK" w:eastAsia="方正仿宋_GBK" w:cs="方正仿宋_GBK"/>
          <w:color w:val="0000FF"/>
          <w:sz w:val="32"/>
          <w:szCs w:val="40"/>
          <w:u w:val="none"/>
          <w:lang w:val="en-US" w:eastAsia="zh-CN"/>
        </w:rPr>
        <w:t xml:space="preserve">  </w:t>
      </w:r>
    </w:p>
    <w:p w14:paraId="689601F3">
      <w:pPr>
        <w:pStyle w:val="3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80" w:firstLineChars="200"/>
        <w:jc w:val="both"/>
        <w:textAlignment w:val="auto"/>
        <w:rPr>
          <w:rFonts w:hint="default" w:ascii="宋体" w:hAnsi="宋体" w:eastAsia="宋体" w:cs="宋体"/>
          <w:b w:val="0"/>
          <w:bCs w:val="0"/>
          <w:color w:val="auto"/>
          <w:kern w:val="2"/>
          <w:sz w:val="24"/>
          <w:szCs w:val="24"/>
          <w:highlight w:val="none"/>
          <w:lang w:val="en-US" w:eastAsia="zh-CN" w:bidi="zh-TW"/>
        </w:rPr>
      </w:pPr>
      <w:r>
        <w:rPr>
          <w:rFonts w:hint="eastAsia" w:ascii="宋体" w:hAnsi="宋体" w:eastAsia="宋体" w:cs="宋体"/>
          <w:b w:val="0"/>
          <w:bCs w:val="0"/>
          <w:color w:val="auto"/>
          <w:kern w:val="2"/>
          <w:sz w:val="24"/>
          <w:szCs w:val="24"/>
          <w:highlight w:val="none"/>
          <w:lang w:val="en-US" w:eastAsia="zh-CN" w:bidi="zh-TW"/>
        </w:rPr>
        <w:t>1.须与PACS系统对接，由此产生的费用由供应商承担。</w:t>
      </w:r>
    </w:p>
    <w:p w14:paraId="46CC23B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Cs/>
          <w:color w:val="auto"/>
          <w:kern w:val="0"/>
          <w:sz w:val="24"/>
          <w:szCs w:val="24"/>
          <w:lang w:val="en-US" w:eastAsia="zh-CN"/>
        </w:rPr>
      </w:pPr>
      <w:r>
        <w:rPr>
          <w:rFonts w:hint="eastAsia" w:ascii="宋体" w:hAnsi="宋体" w:eastAsia="宋体" w:cs="宋体"/>
          <w:b w:val="0"/>
          <w:bCs w:val="0"/>
          <w:color w:val="auto"/>
          <w:kern w:val="2"/>
          <w:sz w:val="24"/>
          <w:szCs w:val="24"/>
          <w:highlight w:val="none"/>
          <w:lang w:val="en-US" w:eastAsia="zh-CN" w:bidi="zh-TW"/>
        </w:rPr>
        <w:t>2.须接入核医学科影像检查设备。</w:t>
      </w:r>
    </w:p>
    <w:p w14:paraId="7D9C5DB0">
      <w:pPr>
        <w:pStyle w:val="12"/>
        <w:keepNext w:val="0"/>
        <w:keepLines w:val="0"/>
        <w:pageBreakBefore w:val="0"/>
        <w:widowControl w:val="0"/>
        <w:tabs>
          <w:tab w:val="right" w:leader="dot" w:pos="9117"/>
        </w:tabs>
        <w:kinsoku/>
        <w:wordWrap/>
        <w:overflowPunct/>
        <w:topLinePunct w:val="0"/>
        <w:autoSpaceDE/>
        <w:autoSpaceDN/>
        <w:bidi w:val="0"/>
        <w:adjustRightInd/>
        <w:snapToGrid/>
        <w:spacing w:line="480" w:lineRule="exact"/>
        <w:ind w:firstLine="482" w:firstLineChars="200"/>
        <w:textAlignment w:val="auto"/>
        <w:rPr>
          <w:rFonts w:hint="eastAsia" w:ascii="宋体" w:hAnsi="宋体" w:cs="宋体"/>
          <w:color w:val="auto"/>
          <w:sz w:val="24"/>
          <w:szCs w:val="24"/>
        </w:rPr>
      </w:pPr>
      <w:r>
        <w:rPr>
          <w:rStyle w:val="21"/>
          <w:rFonts w:hint="eastAsia" w:ascii="宋体" w:hAnsi="宋体" w:cs="宋体"/>
          <w:color w:val="000000" w:themeColor="text1"/>
          <w:sz w:val="24"/>
          <w:szCs w:val="24"/>
          <w:lang w:val="en-US" w:eastAsia="zh-CN"/>
          <w14:textFill>
            <w14:solidFill>
              <w14:schemeClr w14:val="tx1"/>
            </w14:solidFill>
          </w14:textFill>
        </w:rPr>
        <w:t>五</w:t>
      </w:r>
      <w:r>
        <w:rPr>
          <w:rStyle w:val="21"/>
          <w:rFonts w:hint="default" w:ascii="宋体" w:hAnsi="宋体" w:cs="宋体"/>
          <w:color w:val="000000" w:themeColor="text1"/>
          <w:sz w:val="24"/>
          <w:szCs w:val="24"/>
          <w14:textFill>
            <w14:solidFill>
              <w14:schemeClr w14:val="tx1"/>
            </w14:solidFill>
          </w14:textFill>
        </w:rPr>
        <w:t>、商务要求</w:t>
      </w:r>
    </w:p>
    <w:p w14:paraId="2C9F6E3C">
      <w:pPr>
        <w:pStyle w:val="12"/>
        <w:keepNext w:val="0"/>
        <w:keepLines w:val="0"/>
        <w:pageBreakBefore w:val="0"/>
        <w:widowControl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rPr>
        <w:t>（一）</w:t>
      </w:r>
      <w:r>
        <w:rPr>
          <w:rFonts w:hint="eastAsia" w:ascii="宋体" w:hAnsi="宋体" w:cs="宋体"/>
          <w:color w:val="auto"/>
          <w:sz w:val="24"/>
          <w:szCs w:val="24"/>
          <w:lang w:val="en-US" w:eastAsia="zh-CN"/>
        </w:rPr>
        <w:t>报价要求</w:t>
      </w:r>
    </w:p>
    <w:p w14:paraId="039A5890">
      <w:pPr>
        <w:pStyle w:val="12"/>
        <w:keepNext w:val="0"/>
        <w:keepLines w:val="0"/>
        <w:pageBreakBefore w:val="0"/>
        <w:widowControl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1.本项目为人民币报价，响应供应商须一次报出不得更改的价格。</w:t>
      </w:r>
    </w:p>
    <w:p w14:paraId="1D26733E">
      <w:pPr>
        <w:pStyle w:val="12"/>
        <w:keepNext w:val="0"/>
        <w:keepLines w:val="0"/>
        <w:pageBreakBefore w:val="0"/>
        <w:widowControl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 xml:space="preserve">2.报价为综合包干价，包含但不限于服务费、人工费、税费、售后服务费以及虽未载明但为完成本项目所必须的全部工作所有费用的总和，因成交供应商自身原因造成漏报、少报皆由其自行承担责任，采购人不再补偿。 </w:t>
      </w:r>
    </w:p>
    <w:p w14:paraId="499E07F3">
      <w:pPr>
        <w:pStyle w:val="12"/>
        <w:keepNext w:val="0"/>
        <w:keepLines w:val="0"/>
        <w:pageBreakBefore w:val="0"/>
        <w:widowControl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3.报价包含必须包含与PACS系统的对接费用，采购人不再支付额外费用。</w:t>
      </w:r>
    </w:p>
    <w:p w14:paraId="10410DE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（二）实施地点、时间及验收标准</w:t>
      </w:r>
    </w:p>
    <w:p w14:paraId="36CB1634">
      <w:pPr>
        <w:pStyle w:val="7"/>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1.实施</w:t>
      </w:r>
      <w:r>
        <w:rPr>
          <w:rFonts w:hint="eastAsia" w:ascii="宋体" w:hAnsi="宋体" w:eastAsia="宋体" w:cs="宋体"/>
          <w:color w:val="auto"/>
          <w:sz w:val="24"/>
          <w:szCs w:val="24"/>
        </w:rPr>
        <w:t>地点：采购人指定地点。</w:t>
      </w:r>
    </w:p>
    <w:p w14:paraId="228B00D3">
      <w:pPr>
        <w:pStyle w:val="7"/>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实施时间：合同签订后</w:t>
      </w:r>
      <w:r>
        <w:rPr>
          <w:rFonts w:hint="eastAsia" w:ascii="宋体" w:hAnsi="宋体" w:eastAsia="宋体" w:cs="宋体"/>
          <w:b/>
          <w:bCs/>
          <w:color w:val="auto"/>
          <w:sz w:val="24"/>
          <w:szCs w:val="24"/>
          <w:highlight w:val="none"/>
          <w:u w:val="single"/>
          <w:lang w:val="en-US" w:eastAsia="zh-CN"/>
        </w:rPr>
        <w:t xml:space="preserve">3个 </w:t>
      </w:r>
      <w:r>
        <w:rPr>
          <w:rFonts w:hint="eastAsia" w:ascii="宋体" w:hAnsi="宋体" w:eastAsia="宋体" w:cs="宋体"/>
          <w:color w:val="auto"/>
          <w:sz w:val="24"/>
          <w:szCs w:val="24"/>
          <w:highlight w:val="none"/>
        </w:rPr>
        <w:t>工作日内提供入场服务</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u w:val="single"/>
          <w:lang w:val="en-US" w:eastAsia="zh-CN"/>
        </w:rPr>
        <w:t>90个</w:t>
      </w:r>
      <w:r>
        <w:rPr>
          <w:rFonts w:hint="eastAsia" w:ascii="宋体" w:hAnsi="宋体" w:eastAsia="宋体" w:cs="宋体"/>
          <w:color w:val="auto"/>
          <w:sz w:val="24"/>
          <w:szCs w:val="24"/>
          <w:highlight w:val="none"/>
          <w:lang w:val="en-US" w:eastAsia="zh-CN"/>
        </w:rPr>
        <w:t>日历</w:t>
      </w:r>
      <w:r>
        <w:rPr>
          <w:rFonts w:hint="eastAsia" w:ascii="宋体" w:hAnsi="宋体" w:eastAsia="宋体" w:cs="宋体"/>
          <w:color w:val="auto"/>
          <w:sz w:val="24"/>
          <w:szCs w:val="24"/>
          <w:lang w:val="en-US" w:eastAsia="zh-CN"/>
        </w:rPr>
        <w:t>日</w:t>
      </w:r>
      <w:r>
        <w:rPr>
          <w:rFonts w:hint="eastAsia" w:ascii="宋体" w:hAnsi="宋体" w:eastAsia="宋体" w:cs="宋体"/>
          <w:color w:val="auto"/>
          <w:sz w:val="24"/>
          <w:szCs w:val="24"/>
        </w:rPr>
        <w:t>内</w:t>
      </w:r>
      <w:r>
        <w:rPr>
          <w:rFonts w:hint="eastAsia" w:ascii="宋体" w:hAnsi="宋体" w:eastAsia="宋体" w:cs="宋体"/>
          <w:color w:val="auto"/>
          <w:sz w:val="24"/>
          <w:szCs w:val="24"/>
          <w:lang w:val="en-US" w:eastAsia="zh-CN"/>
        </w:rPr>
        <w:t>完成系统上线</w:t>
      </w:r>
      <w:r>
        <w:rPr>
          <w:rFonts w:hint="eastAsia" w:ascii="宋体" w:hAnsi="宋体" w:eastAsia="宋体" w:cs="宋体"/>
          <w:color w:val="auto"/>
          <w:sz w:val="24"/>
          <w:szCs w:val="24"/>
        </w:rPr>
        <w:t>。</w:t>
      </w:r>
    </w:p>
    <w:p w14:paraId="1051C543">
      <w:pPr>
        <w:pStyle w:val="7"/>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验收标准：</w:t>
      </w:r>
    </w:p>
    <w:p w14:paraId="2C954B42">
      <w:pPr>
        <w:pStyle w:val="15"/>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（1）上线试运行</w:t>
      </w:r>
    </w:p>
    <w:p w14:paraId="7DE90838">
      <w:pPr>
        <w:pStyle w:val="16"/>
        <w:keepNext w:val="0"/>
        <w:keepLines w:val="0"/>
        <w:pageBreakBefore w:val="0"/>
        <w:widowControl w:val="0"/>
        <w:kinsoku/>
        <w:wordWrap/>
        <w:overflowPunct/>
        <w:topLinePunct w:val="0"/>
        <w:autoSpaceDE/>
        <w:autoSpaceDN/>
        <w:bidi w:val="0"/>
        <w:snapToGrid/>
        <w:spacing w:line="4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2"/>
          <w:sz w:val="24"/>
          <w:szCs w:val="24"/>
          <w:highlight w:val="none"/>
          <w:lang w:val="en-US" w:eastAsia="zh-CN" w:bidi="ar-SA"/>
        </w:rPr>
        <w:t>当满足以下条件时，采购人才向成交供应商签发上线</w:t>
      </w:r>
      <w:r>
        <w:rPr>
          <w:rFonts w:hint="eastAsia" w:eastAsia="宋体" w:cs="宋体"/>
          <w:color w:val="auto"/>
          <w:kern w:val="2"/>
          <w:sz w:val="24"/>
          <w:szCs w:val="24"/>
          <w:highlight w:val="none"/>
          <w:lang w:val="en-US" w:eastAsia="zh-CN" w:bidi="ar-SA"/>
        </w:rPr>
        <w:t>试</w:t>
      </w:r>
      <w:r>
        <w:rPr>
          <w:rFonts w:hint="eastAsia" w:ascii="宋体" w:hAnsi="宋体" w:eastAsia="宋体" w:cs="宋体"/>
          <w:color w:val="auto"/>
          <w:kern w:val="2"/>
          <w:sz w:val="24"/>
          <w:szCs w:val="24"/>
          <w:highlight w:val="none"/>
          <w:lang w:val="en-US" w:eastAsia="zh-CN" w:bidi="ar-SA"/>
        </w:rPr>
        <w:t>运行合格通知书：</w:t>
      </w:r>
    </w:p>
    <w:p w14:paraId="4A762CFE">
      <w:pPr>
        <w:pStyle w:val="15"/>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1）成交供应商在接到成交通知后3个工作日内，向采购人提供系统部署需求；</w:t>
      </w:r>
    </w:p>
    <w:p w14:paraId="3A39E95C">
      <w:pPr>
        <w:pStyle w:val="15"/>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2）成交供应商应在合同签订后，正式入场实施，进行系统部署、调试，并达到响应文件所应答状态；</w:t>
      </w:r>
    </w:p>
    <w:p w14:paraId="563E12B4">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3）成交供应商按照采购合同中规定的技术要求完成系统的安装调试工作，经采购人使用部门测试合格，使用培训完毕后</w:t>
      </w:r>
      <w:r>
        <w:rPr>
          <w:rFonts w:hint="eastAsia"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lang w:val="en-US" w:eastAsia="zh-CN" w:bidi="ar-SA"/>
        </w:rPr>
        <w:t>根据甲方要求进行培训，软件培训合格后，须</w:t>
      </w:r>
      <w:r>
        <w:rPr>
          <w:rFonts w:hint="eastAsia" w:hAnsi="宋体" w:cs="宋体"/>
          <w:color w:val="auto"/>
          <w:kern w:val="2"/>
          <w:sz w:val="24"/>
          <w:szCs w:val="24"/>
          <w:lang w:val="en-US" w:eastAsia="zh-CN" w:bidi="ar-SA"/>
        </w:rPr>
        <w:t>使用</w:t>
      </w:r>
      <w:r>
        <w:rPr>
          <w:rFonts w:hint="eastAsia" w:ascii="宋体" w:hAnsi="宋体" w:eastAsia="宋体" w:cs="宋体"/>
          <w:color w:val="auto"/>
          <w:kern w:val="2"/>
          <w:sz w:val="24"/>
          <w:szCs w:val="24"/>
          <w:lang w:val="en-US" w:eastAsia="zh-CN" w:bidi="ar-SA"/>
        </w:rPr>
        <w:t>部门签字确认</w:t>
      </w:r>
      <w:r>
        <w:rPr>
          <w:rFonts w:hint="eastAsia" w:hAnsi="宋体" w:cs="宋体"/>
          <w:color w:val="auto"/>
          <w:kern w:val="2"/>
          <w:sz w:val="24"/>
          <w:szCs w:val="24"/>
          <w:lang w:val="en-US" w:eastAsia="zh-CN" w:bidi="ar-SA"/>
        </w:rPr>
        <w:t>），</w:t>
      </w:r>
      <w:r>
        <w:rPr>
          <w:rFonts w:hint="eastAsia" w:ascii="宋体" w:hAnsi="宋体" w:eastAsia="宋体" w:cs="宋体"/>
          <w:color w:val="auto"/>
          <w:kern w:val="2"/>
          <w:sz w:val="24"/>
          <w:szCs w:val="24"/>
          <w:highlight w:val="none"/>
          <w:lang w:val="en-US" w:eastAsia="zh-CN" w:bidi="ar-SA"/>
        </w:rPr>
        <w:t>系统开始正常试运行，签署上线试运行合格通知书。</w:t>
      </w:r>
    </w:p>
    <w:p w14:paraId="0CCC60E1">
      <w:pPr>
        <w:pStyle w:val="16"/>
        <w:keepNext w:val="0"/>
        <w:keepLines w:val="0"/>
        <w:pageBreakBefore w:val="0"/>
        <w:widowControl w:val="0"/>
        <w:kinsoku/>
        <w:wordWrap/>
        <w:overflowPunct/>
        <w:topLinePunct w:val="0"/>
        <w:autoSpaceDE/>
        <w:autoSpaceDN/>
        <w:bidi w:val="0"/>
        <w:snapToGrid/>
        <w:spacing w:line="480" w:lineRule="exact"/>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（2）最终验收</w:t>
      </w:r>
    </w:p>
    <w:p w14:paraId="0CF05037">
      <w:pPr>
        <w:pStyle w:val="16"/>
        <w:keepNext w:val="0"/>
        <w:keepLines w:val="0"/>
        <w:pageBreakBefore w:val="0"/>
        <w:widowControl w:val="0"/>
        <w:kinsoku/>
        <w:wordWrap/>
        <w:overflowPunct/>
        <w:topLinePunct w:val="0"/>
        <w:autoSpaceDE/>
        <w:autoSpaceDN/>
        <w:bidi w:val="0"/>
        <w:snapToGrid/>
        <w:spacing w:line="480" w:lineRule="exact"/>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r>
        <w:rPr>
          <w:rFonts w:hint="eastAsia" w:ascii="宋体" w:hAnsi="宋体" w:eastAsia="宋体" w:cs="宋体"/>
          <w:b/>
          <w:bCs/>
          <w:color w:val="auto"/>
          <w:kern w:val="2"/>
          <w:sz w:val="24"/>
          <w:szCs w:val="24"/>
          <w:highlight w:val="none"/>
          <w:lang w:val="en-US" w:eastAsia="zh-CN" w:bidi="ar-SA"/>
        </w:rPr>
        <w:t>系统正常试运行3个月后</w:t>
      </w:r>
      <w:r>
        <w:rPr>
          <w:rFonts w:hint="eastAsia" w:ascii="宋体" w:hAnsi="宋体" w:eastAsia="宋体" w:cs="宋体"/>
          <w:color w:val="auto"/>
          <w:kern w:val="2"/>
          <w:sz w:val="24"/>
          <w:szCs w:val="24"/>
          <w:highlight w:val="none"/>
          <w:lang w:val="en-US" w:eastAsia="zh-CN" w:bidi="ar-SA"/>
        </w:rPr>
        <w:t>，成交供应商向采购人提出项目终验申请，经采购人</w:t>
      </w:r>
      <w:r>
        <w:rPr>
          <w:rFonts w:hint="eastAsia" w:ascii="Times New Roman" w:hAnsi="Times New Roman" w:eastAsia="宋体" w:cs="Times New Roman"/>
          <w:kern w:val="2"/>
          <w:sz w:val="24"/>
          <w:szCs w:val="24"/>
          <w:highlight w:val="none"/>
          <w:lang w:val="en-US" w:eastAsia="zh-CN" w:bidi="ar-SA"/>
        </w:rPr>
        <w:t>考评</w:t>
      </w:r>
      <w:r>
        <w:rPr>
          <w:rFonts w:hint="eastAsia" w:ascii="宋体" w:hAnsi="宋体" w:eastAsia="宋体" w:cs="宋体"/>
          <w:color w:val="auto"/>
          <w:kern w:val="2"/>
          <w:sz w:val="24"/>
          <w:szCs w:val="24"/>
          <w:highlight w:val="none"/>
          <w:lang w:val="en-US" w:eastAsia="zh-CN" w:bidi="ar-SA"/>
        </w:rPr>
        <w:t>验收合格后，向成交供应商签发最终验收报告，软件产品进入质保期；</w:t>
      </w:r>
    </w:p>
    <w:p w14:paraId="3AC3FF03">
      <w:pPr>
        <w:pStyle w:val="15"/>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2）成交供应商在终验前，应提供系统安装部署和操作说明；</w:t>
      </w:r>
    </w:p>
    <w:p w14:paraId="042ED12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eastAsia="宋体" w:cs="宋体"/>
          <w:color w:val="auto"/>
          <w:kern w:val="2"/>
          <w:sz w:val="24"/>
          <w:szCs w:val="24"/>
          <w:highlight w:val="none"/>
          <w:lang w:val="en-US" w:eastAsia="zh-CN" w:bidi="ar-SA"/>
        </w:rPr>
        <w:t>3）成交供应商提供的系统未达到招标文件规定要求，且对采购人造成损失的，由成交供应商承担一切责任，并赔偿所造成的损失；采购人发现所提供的系统与招标文件要求内容（包括功能模块、技术参数等）不相符，采购人可无条件退货并追究成交供应商违约责任。</w:t>
      </w:r>
    </w:p>
    <w:p w14:paraId="7646768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（三）质保期、安装测试及售后服务要求</w:t>
      </w:r>
    </w:p>
    <w:p w14:paraId="6CA27F14">
      <w:pPr>
        <w:pStyle w:val="7"/>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1.质保</w:t>
      </w:r>
      <w:r>
        <w:rPr>
          <w:rFonts w:hint="eastAsia" w:ascii="宋体" w:hAnsi="宋体" w:eastAsia="宋体" w:cs="宋体"/>
          <w:b/>
          <w:bCs/>
          <w:color w:val="auto"/>
          <w:sz w:val="24"/>
          <w:szCs w:val="24"/>
        </w:rPr>
        <w:t>期</w:t>
      </w:r>
    </w:p>
    <w:p w14:paraId="3A2466A8">
      <w:pPr>
        <w:pStyle w:val="7"/>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自</w:t>
      </w:r>
      <w:r>
        <w:rPr>
          <w:rFonts w:hint="eastAsia" w:ascii="宋体" w:hAnsi="宋体" w:eastAsia="宋体" w:cs="宋体"/>
          <w:color w:val="auto"/>
          <w:sz w:val="24"/>
          <w:szCs w:val="24"/>
          <w:lang w:val="en-US" w:eastAsia="zh-CN"/>
        </w:rPr>
        <w:t>项目最终验收</w:t>
      </w:r>
      <w:r>
        <w:rPr>
          <w:rFonts w:hint="eastAsia" w:hAnsi="宋体" w:cs="宋体"/>
          <w:color w:val="auto"/>
          <w:sz w:val="24"/>
          <w:szCs w:val="24"/>
          <w:lang w:val="en-US" w:eastAsia="zh-CN"/>
        </w:rPr>
        <w:t>合格</w:t>
      </w:r>
      <w:r>
        <w:rPr>
          <w:rFonts w:hint="eastAsia" w:ascii="宋体" w:hAnsi="宋体" w:eastAsia="宋体" w:cs="宋体"/>
          <w:color w:val="auto"/>
          <w:sz w:val="24"/>
          <w:szCs w:val="24"/>
        </w:rPr>
        <w:t>之日起</w:t>
      </w:r>
      <w:r>
        <w:rPr>
          <w:rFonts w:hint="eastAsia" w:ascii="宋体" w:hAnsi="宋体" w:eastAsia="宋体" w:cs="宋体"/>
          <w:b/>
          <w:bCs w:val="0"/>
          <w:color w:val="auto"/>
          <w:sz w:val="24"/>
          <w:szCs w:val="24"/>
          <w:highlight w:val="none"/>
          <w:u w:val="single"/>
          <w:lang w:val="en-US" w:eastAsia="zh-CN"/>
        </w:rPr>
        <w:t xml:space="preserve"> 三 </w:t>
      </w:r>
      <w:r>
        <w:rPr>
          <w:rFonts w:hint="eastAsia" w:ascii="宋体" w:hAnsi="宋体" w:eastAsia="宋体" w:cs="宋体"/>
          <w:b/>
          <w:bCs w:val="0"/>
          <w:color w:val="auto"/>
          <w:sz w:val="24"/>
          <w:szCs w:val="24"/>
          <w:highlight w:val="none"/>
          <w:u w:val="none"/>
          <w:lang w:val="en-US" w:eastAsia="zh-CN"/>
        </w:rPr>
        <w:t>年</w:t>
      </w:r>
      <w:r>
        <w:rPr>
          <w:rFonts w:hint="eastAsia" w:ascii="宋体" w:hAnsi="宋体" w:eastAsia="宋体" w:cs="宋体"/>
          <w:color w:val="auto"/>
          <w:sz w:val="24"/>
          <w:szCs w:val="24"/>
          <w:u w:val="none"/>
          <w:lang w:eastAsia="zh-CN"/>
        </w:rPr>
        <w:t>。</w:t>
      </w:r>
    </w:p>
    <w:p w14:paraId="6AC12FE8">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2.安装测试要求</w:t>
      </w:r>
    </w:p>
    <w:p w14:paraId="30CB2014">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（1）成交供应商应派遣有经验的技术人员组成的工作小组到现场实施技术服务，包括软件安装、测试等技术服务、培训服务。</w:t>
      </w:r>
    </w:p>
    <w:p w14:paraId="7C35E6B1">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（2）在安装之前，应先进行培训，开始安装时，须让有关人员参与安装、检测和排除故障。</w:t>
      </w:r>
    </w:p>
    <w:p w14:paraId="4C44D030">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（3）调试工作完成后，成交供应商应提供咨询与技术支持工作，及时将其所发现并掌握的软件的操作、故障检测、故障排除方法通知。</w:t>
      </w:r>
    </w:p>
    <w:p w14:paraId="4D46A837">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kern w:val="2"/>
          <w:sz w:val="24"/>
          <w:szCs w:val="24"/>
          <w:lang w:val="en-US" w:eastAsia="zh-CN" w:bidi="ar-SA"/>
        </w:rPr>
        <w:t>3.</w:t>
      </w:r>
      <w:r>
        <w:rPr>
          <w:rFonts w:hint="eastAsia" w:ascii="宋体" w:hAnsi="宋体" w:eastAsia="宋体" w:cs="宋体"/>
          <w:b/>
          <w:bCs/>
          <w:color w:val="auto"/>
          <w:sz w:val="24"/>
          <w:szCs w:val="24"/>
        </w:rPr>
        <w:t>售后服务要求</w:t>
      </w:r>
    </w:p>
    <w:p w14:paraId="3BE9937E">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（1）质保期内，投标人提供7×24小时的服务响应。对于电话热线或远程无法解决的问题，成交供应商根据具体情况派出具有专业资质的工作人员4小时内到现场进行解决，提供售后服务承诺函。</w:t>
      </w:r>
    </w:p>
    <w:p w14:paraId="7E27AF2A">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（2）质保期内,投标人需提供系统所有最新版本的免费升级,保证系统的稳定性，优化各服务终端使用场景。</w:t>
      </w:r>
    </w:p>
    <w:p w14:paraId="03E7238F">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（3）质保期结束后，质保期外软件维护要求：软件质保期后，如需原供应商提供维护服务，费用不高于合同总金额的</w:t>
      </w:r>
      <w:r>
        <w:rPr>
          <w:rFonts w:hint="eastAsia" w:ascii="宋体" w:hAnsi="宋体" w:eastAsia="宋体" w:cs="宋体"/>
          <w:b/>
          <w:bCs/>
          <w:color w:val="auto"/>
          <w:kern w:val="2"/>
          <w:sz w:val="24"/>
          <w:szCs w:val="24"/>
          <w:lang w:val="en-US" w:eastAsia="zh-CN" w:bidi="ar-SA"/>
        </w:rPr>
        <w:t>5%</w:t>
      </w:r>
      <w:r>
        <w:rPr>
          <w:rFonts w:hint="eastAsia" w:ascii="宋体" w:hAnsi="宋体" w:eastAsia="宋体" w:cs="宋体"/>
          <w:color w:val="auto"/>
          <w:kern w:val="2"/>
          <w:sz w:val="24"/>
          <w:szCs w:val="24"/>
          <w:lang w:val="en-US" w:eastAsia="zh-CN" w:bidi="ar-SA"/>
        </w:rPr>
        <w:t>。</w:t>
      </w:r>
    </w:p>
    <w:p w14:paraId="0B30E215">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（4）培训</w:t>
      </w:r>
    </w:p>
    <w:p w14:paraId="6B603ADE">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成交供应商提供完整的技术文档（含纸质及电子文档），包括系统软件安装文件、操作和维护手册，并对采购人使用该软件的相关人员进行使用方面的免费培训，保证项目终止前，采购人的相关人员熟练正常操作、使用系统等。</w:t>
      </w:r>
    </w:p>
    <w:p w14:paraId="4D980941">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default" w:ascii="宋体" w:hAnsi="宋体" w:eastAsia="宋体" w:cs="宋体"/>
          <w:color w:val="auto"/>
          <w:kern w:val="2"/>
          <w:sz w:val="24"/>
          <w:szCs w:val="24"/>
          <w:lang w:val="en-US" w:eastAsia="zh-CN" w:bidi="ar-SA"/>
        </w:rPr>
        <w:t>①</w:t>
      </w:r>
      <w:r>
        <w:rPr>
          <w:rFonts w:hint="eastAsia" w:ascii="宋体" w:hAnsi="宋体" w:eastAsia="宋体" w:cs="宋体"/>
          <w:color w:val="auto"/>
          <w:kern w:val="2"/>
          <w:sz w:val="24"/>
          <w:szCs w:val="24"/>
          <w:lang w:val="en-US" w:eastAsia="zh-CN" w:bidi="ar-SA"/>
        </w:rPr>
        <w:t>培训范围：</w:t>
      </w:r>
      <w:r>
        <w:rPr>
          <w:rFonts w:hint="eastAsia" w:hAnsi="宋体" w:cs="宋体"/>
          <w:color w:val="auto"/>
          <w:kern w:val="2"/>
          <w:sz w:val="24"/>
          <w:szCs w:val="24"/>
          <w:lang w:val="en-US" w:eastAsia="zh-CN" w:bidi="ar-SA"/>
        </w:rPr>
        <w:t>使用</w:t>
      </w:r>
      <w:r>
        <w:rPr>
          <w:rFonts w:hint="eastAsia" w:ascii="宋体" w:hAnsi="宋体" w:eastAsia="宋体" w:cs="宋体"/>
          <w:color w:val="auto"/>
          <w:kern w:val="2"/>
          <w:sz w:val="24"/>
          <w:szCs w:val="24"/>
          <w:lang w:val="en-US" w:eastAsia="zh-CN" w:bidi="ar-SA"/>
        </w:rPr>
        <w:t>科室工作人员，信息技术部工程师</w:t>
      </w:r>
      <w:r>
        <w:rPr>
          <w:rFonts w:hint="eastAsia" w:hAnsi="宋体" w:cs="宋体"/>
          <w:color w:val="auto"/>
          <w:kern w:val="2"/>
          <w:sz w:val="24"/>
          <w:szCs w:val="24"/>
          <w:lang w:val="en-US" w:eastAsia="zh-CN" w:bidi="ar-SA"/>
        </w:rPr>
        <w:t>；</w:t>
      </w:r>
    </w:p>
    <w:p w14:paraId="4E16A455">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default" w:ascii="宋体" w:hAnsi="宋体" w:eastAsia="宋体" w:cs="宋体"/>
          <w:color w:val="auto"/>
          <w:kern w:val="2"/>
          <w:sz w:val="24"/>
          <w:szCs w:val="24"/>
          <w:lang w:val="en-US" w:eastAsia="zh-CN" w:bidi="ar-SA"/>
        </w:rPr>
        <w:t>②</w:t>
      </w:r>
      <w:r>
        <w:rPr>
          <w:rFonts w:hint="eastAsia" w:ascii="宋体" w:hAnsi="宋体" w:eastAsia="宋体" w:cs="宋体"/>
          <w:color w:val="auto"/>
          <w:kern w:val="2"/>
          <w:sz w:val="24"/>
          <w:szCs w:val="24"/>
          <w:lang w:val="en-US" w:eastAsia="zh-CN" w:bidi="ar-SA"/>
        </w:rPr>
        <w:t>受训人数：按实际参会人员</w:t>
      </w:r>
      <w:r>
        <w:rPr>
          <w:rFonts w:hint="eastAsia" w:hAnsi="宋体" w:cs="宋体"/>
          <w:color w:val="auto"/>
          <w:kern w:val="2"/>
          <w:sz w:val="24"/>
          <w:szCs w:val="24"/>
          <w:lang w:val="en-US" w:eastAsia="zh-CN" w:bidi="ar-SA"/>
        </w:rPr>
        <w:t>。</w:t>
      </w:r>
    </w:p>
    <w:p w14:paraId="438FBEE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eastAsia="zh-CN"/>
        </w:rPr>
        <w:t>四</w:t>
      </w:r>
      <w:r>
        <w:rPr>
          <w:rFonts w:hint="eastAsia" w:ascii="宋体" w:hAnsi="宋体" w:cs="宋体"/>
          <w:color w:val="auto"/>
          <w:sz w:val="24"/>
          <w:szCs w:val="24"/>
        </w:rPr>
        <w:t>）</w:t>
      </w:r>
      <w:r>
        <w:rPr>
          <w:rFonts w:hint="eastAsia" w:ascii="宋体" w:hAnsi="宋体" w:cs="宋体"/>
          <w:color w:val="auto"/>
          <w:sz w:val="24"/>
          <w:szCs w:val="24"/>
          <w:lang w:val="en-US" w:eastAsia="zh-CN"/>
        </w:rPr>
        <w:t>付款方式</w:t>
      </w:r>
      <w:r>
        <w:rPr>
          <w:rFonts w:hint="eastAsia" w:ascii="宋体" w:hAnsi="宋体" w:cs="宋体"/>
          <w:color w:val="auto"/>
          <w:sz w:val="24"/>
          <w:szCs w:val="24"/>
        </w:rPr>
        <w:t xml:space="preserve">                                         </w:t>
      </w:r>
    </w:p>
    <w:p w14:paraId="0CC8C87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最终验收合格后15个工作日内支付95%；剩余5%于最终验收合格</w:t>
      </w:r>
      <w:r>
        <w:rPr>
          <w:rFonts w:hint="eastAsia" w:ascii="宋体" w:hAnsi="宋体" w:cs="宋体"/>
          <w:color w:val="auto"/>
          <w:sz w:val="24"/>
          <w:szCs w:val="24"/>
          <w:u w:val="single"/>
          <w:lang w:val="en-US" w:eastAsia="zh-CN"/>
        </w:rPr>
        <w:t xml:space="preserve"> </w:t>
      </w:r>
      <w:r>
        <w:rPr>
          <w:rFonts w:hint="eastAsia" w:ascii="宋体" w:hAnsi="宋体" w:cs="宋体"/>
          <w:b/>
          <w:bCs/>
          <w:color w:val="auto"/>
          <w:sz w:val="24"/>
          <w:szCs w:val="24"/>
          <w:u w:val="single"/>
          <w:lang w:val="en-US" w:eastAsia="zh-CN"/>
        </w:rPr>
        <w:t>三</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lang w:val="en-US" w:eastAsia="zh-CN"/>
        </w:rPr>
        <w:t>年后经采购人考评合格后支付。</w:t>
      </w:r>
    </w:p>
    <w:p w14:paraId="01B867F9">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ascii="宋体" w:hAnsi="宋体" w:eastAsia="宋体" w:cs="宋体"/>
          <w:b/>
          <w:bCs/>
          <w:color w:val="000000" w:themeColor="text1"/>
          <w:kern w:val="0"/>
          <w:sz w:val="24"/>
          <w:szCs w:val="24"/>
          <w:lang w:val="en-US" w:eastAsia="zh-CN" w:bidi="ar"/>
          <w14:textFill>
            <w14:solidFill>
              <w14:schemeClr w14:val="tx1"/>
            </w14:solidFill>
          </w14:textFill>
        </w:rPr>
      </w:pPr>
      <w:r>
        <w:rPr>
          <w:rStyle w:val="21"/>
          <w:rFonts w:hint="eastAsia" w:ascii="宋体" w:hAnsi="宋体" w:cs="宋体"/>
          <w:bCs/>
          <w:color w:val="000000" w:themeColor="text1"/>
          <w:kern w:val="0"/>
          <w:sz w:val="24"/>
          <w:szCs w:val="24"/>
          <w:lang w:val="en-US" w:eastAsia="zh-CN" w:bidi="ar-SA"/>
          <w14:textFill>
            <w14:solidFill>
              <w14:schemeClr w14:val="tx1"/>
            </w14:solidFill>
          </w14:textFill>
        </w:rPr>
        <w:t>六</w:t>
      </w:r>
      <w:r>
        <w:rPr>
          <w:rStyle w:val="21"/>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1AC7E48E">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各供应商须严格按照下述要求编制项目推介书，标注推介书完整目录和页码，加盖报名单位公章，将项目推介书扫描件、PPT（如有）在“行采家”平台（https://www.gec123.com）需求调查板块上传</w:t>
      </w:r>
      <w:r>
        <w:rPr>
          <w:rFonts w:hint="eastAsia" w:ascii="宋体" w:hAnsi="宋体" w:eastAsia="宋体" w:cs="宋体"/>
          <w:b/>
          <w:bCs/>
          <w:color w:val="000000" w:themeColor="text1"/>
          <w:spacing w:val="23"/>
          <w:kern w:val="0"/>
          <w:sz w:val="24"/>
          <w:lang w:bidi="ar"/>
          <w14:textFill>
            <w14:solidFill>
              <w14:schemeClr w14:val="tx1"/>
            </w14:solidFill>
          </w14:textFill>
        </w:rPr>
        <w:t>，</w:t>
      </w:r>
      <w:r>
        <w:rPr>
          <w:rFonts w:hint="eastAsia" w:ascii="宋体" w:hAnsi="宋体" w:eastAsia="宋体" w:cs="宋体"/>
          <w:b/>
          <w:bCs/>
          <w:color w:val="000000" w:themeColor="text1"/>
          <w:spacing w:val="23"/>
          <w:kern w:val="0"/>
          <w:sz w:val="24"/>
          <w:u w:val="single"/>
          <w:lang w:bidi="ar"/>
          <w14:textFill>
            <w14:solidFill>
              <w14:schemeClr w14:val="tx1"/>
            </w14:solidFill>
          </w14:textFill>
        </w:rPr>
        <w:t>各潜在供应商不得违规参加需求调查，否则直接退出本项目采购活动，并视情节轻重，纳入供应商诚信管理</w:t>
      </w:r>
      <w:r>
        <w:rPr>
          <w:rFonts w:hint="eastAsia" w:ascii="宋体" w:hAnsi="宋体" w:cs="宋体"/>
          <w:b/>
          <w:bCs/>
          <w:color w:val="000000" w:themeColor="text1"/>
          <w:spacing w:val="23"/>
          <w:kern w:val="0"/>
          <w:sz w:val="24"/>
          <w:u w:val="single"/>
          <w:lang w:val="en-US" w:eastAsia="zh-CN" w:bidi="ar"/>
          <w14:textFill>
            <w14:solidFill>
              <w14:schemeClr w14:val="tx1"/>
            </w14:solidFill>
          </w14:textFill>
        </w:rPr>
        <w:t>处理</w:t>
      </w:r>
      <w:r>
        <w:rPr>
          <w:rFonts w:hint="eastAsia" w:ascii="宋体" w:hAnsi="宋体" w:eastAsia="宋体" w:cs="宋体"/>
          <w:b/>
          <w:bCs/>
          <w:color w:val="000000" w:themeColor="text1"/>
          <w:spacing w:val="23"/>
          <w:kern w:val="0"/>
          <w:sz w:val="24"/>
          <w:lang w:bidi="ar"/>
          <w14:textFill>
            <w14:solidFill>
              <w14:schemeClr w14:val="tx1"/>
            </w14:solidFill>
          </w14:textFill>
        </w:rPr>
        <w:t>。</w:t>
      </w:r>
    </w:p>
    <w:p w14:paraId="63E2B83E">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推荐书编制要求：</w:t>
      </w:r>
    </w:p>
    <w:p w14:paraId="6B37DFE0">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756F6DB7">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hint="eastAsia" w:ascii="宋体" w:hAnsi="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p>
    <w:p w14:paraId="3B2D62FA">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三</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0448D442">
      <w:pPr>
        <w:pStyle w:val="13"/>
        <w:widowControl/>
        <w:spacing w:before="0" w:beforeAutospacing="0" w:after="0" w:afterAutospacing="0" w:line="320" w:lineRule="exact"/>
        <w:ind w:firstLine="570"/>
        <w:jc w:val="both"/>
        <w:rPr>
          <w:rFonts w:ascii="宋体" w:hAnsi="宋体" w:cs="微软雅黑"/>
          <w:color w:val="000000"/>
          <w:spacing w:val="23"/>
        </w:rPr>
      </w:pPr>
      <w:r>
        <w:rPr>
          <w:rFonts w:ascii="宋体" w:hAnsi="宋体" w:cs="微软雅黑"/>
          <w:color w:val="000000"/>
          <w:spacing w:val="23"/>
        </w:rPr>
        <w:t>1.</w:t>
      </w:r>
      <w:r>
        <w:rPr>
          <w:rFonts w:hint="eastAsia" w:ascii="宋体" w:hAnsi="宋体" w:cs="微软雅黑"/>
          <w:color w:val="000000"/>
          <w:spacing w:val="23"/>
        </w:rPr>
        <w:t>报价：</w:t>
      </w:r>
    </w:p>
    <w:tbl>
      <w:tblPr>
        <w:tblStyle w:val="18"/>
        <w:tblW w:w="49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750"/>
        <w:gridCol w:w="812"/>
        <w:gridCol w:w="1225"/>
        <w:gridCol w:w="1225"/>
        <w:gridCol w:w="2075"/>
        <w:gridCol w:w="2014"/>
      </w:tblGrid>
      <w:tr w14:paraId="24DE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369" w:type="pct"/>
            <w:noWrap w:val="0"/>
            <w:vAlign w:val="center"/>
          </w:tcPr>
          <w:p w14:paraId="4D18D5AF">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序号</w:t>
            </w:r>
          </w:p>
        </w:tc>
        <w:tc>
          <w:tcPr>
            <w:tcW w:w="890" w:type="pct"/>
            <w:noWrap w:val="0"/>
            <w:vAlign w:val="center"/>
          </w:tcPr>
          <w:p w14:paraId="6A9B16FD">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名称</w:t>
            </w:r>
          </w:p>
        </w:tc>
        <w:tc>
          <w:tcPr>
            <w:tcW w:w="413" w:type="pct"/>
            <w:noWrap w:val="0"/>
            <w:vAlign w:val="center"/>
          </w:tcPr>
          <w:p w14:paraId="32EBCEAA">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数量</w:t>
            </w:r>
          </w:p>
        </w:tc>
        <w:tc>
          <w:tcPr>
            <w:tcW w:w="623" w:type="pct"/>
            <w:noWrap w:val="0"/>
            <w:vAlign w:val="center"/>
          </w:tcPr>
          <w:p w14:paraId="3A160BAB">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单价</w:t>
            </w:r>
          </w:p>
          <w:p w14:paraId="66EE57A6">
            <w:pPr>
              <w:spacing w:line="320" w:lineRule="exact"/>
              <w:jc w:val="center"/>
              <w:rPr>
                <w:rFonts w:hint="eastAsia" w:ascii="宋体" w:hAnsi="宋体" w:eastAsia="宋体" w:cs="宋体"/>
                <w:b/>
                <w:color w:val="000000"/>
                <w:sz w:val="24"/>
                <w:lang w:eastAsia="zh-CN"/>
              </w:rPr>
            </w:pPr>
            <w:r>
              <w:rPr>
                <w:rFonts w:hint="eastAsia" w:ascii="宋体" w:hAnsi="宋体" w:cs="宋体"/>
                <w:b/>
                <w:color w:val="000000"/>
                <w:sz w:val="24"/>
                <w:lang w:eastAsia="zh-CN"/>
              </w:rPr>
              <w:t>（</w:t>
            </w:r>
            <w:r>
              <w:rPr>
                <w:rFonts w:hint="eastAsia" w:ascii="宋体" w:hAnsi="宋体" w:cs="宋体"/>
                <w:b/>
                <w:color w:val="000000"/>
                <w:sz w:val="24"/>
                <w:lang w:val="en-US" w:eastAsia="zh-CN"/>
              </w:rPr>
              <w:t>万元</w:t>
            </w:r>
            <w:r>
              <w:rPr>
                <w:rFonts w:hint="eastAsia" w:ascii="宋体" w:hAnsi="宋体" w:cs="宋体"/>
                <w:b/>
                <w:color w:val="000000"/>
                <w:sz w:val="24"/>
                <w:lang w:eastAsia="zh-CN"/>
              </w:rPr>
              <w:t>）</w:t>
            </w:r>
          </w:p>
        </w:tc>
        <w:tc>
          <w:tcPr>
            <w:tcW w:w="623" w:type="pct"/>
            <w:noWrap w:val="0"/>
            <w:vAlign w:val="center"/>
          </w:tcPr>
          <w:p w14:paraId="1E21B724">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合计</w:t>
            </w:r>
          </w:p>
          <w:p w14:paraId="61A85A98">
            <w:pPr>
              <w:spacing w:line="320" w:lineRule="exact"/>
              <w:jc w:val="center"/>
              <w:rPr>
                <w:rFonts w:hint="eastAsia" w:ascii="宋体" w:hAnsi="宋体" w:eastAsia="宋体" w:cs="宋体"/>
                <w:b/>
                <w:color w:val="000000"/>
                <w:sz w:val="24"/>
                <w:lang w:eastAsia="zh-CN"/>
              </w:rPr>
            </w:pPr>
            <w:r>
              <w:rPr>
                <w:rFonts w:hint="eastAsia" w:ascii="宋体" w:hAnsi="宋体" w:cs="宋体"/>
                <w:b/>
                <w:color w:val="000000"/>
                <w:sz w:val="24"/>
                <w:lang w:eastAsia="zh-CN"/>
              </w:rPr>
              <w:t>（</w:t>
            </w:r>
            <w:r>
              <w:rPr>
                <w:rFonts w:hint="eastAsia" w:ascii="宋体" w:hAnsi="宋体" w:cs="宋体"/>
                <w:b/>
                <w:color w:val="000000"/>
                <w:sz w:val="24"/>
                <w:lang w:val="en-US" w:eastAsia="zh-CN"/>
              </w:rPr>
              <w:t>万元</w:t>
            </w:r>
            <w:r>
              <w:rPr>
                <w:rFonts w:hint="eastAsia" w:ascii="宋体" w:hAnsi="宋体" w:cs="宋体"/>
                <w:b/>
                <w:color w:val="000000"/>
                <w:sz w:val="24"/>
                <w:lang w:eastAsia="zh-CN"/>
              </w:rPr>
              <w:t>）</w:t>
            </w:r>
          </w:p>
        </w:tc>
        <w:tc>
          <w:tcPr>
            <w:tcW w:w="1055" w:type="pct"/>
            <w:noWrap w:val="0"/>
            <w:vAlign w:val="center"/>
          </w:tcPr>
          <w:p w14:paraId="47ADA83A">
            <w:pPr>
              <w:spacing w:line="320" w:lineRule="exact"/>
              <w:jc w:val="center"/>
              <w:rPr>
                <w:rFonts w:hint="default" w:ascii="宋体" w:hAnsi="宋体" w:eastAsia="宋体" w:cs="宋体"/>
                <w:b/>
                <w:color w:val="000000"/>
                <w:sz w:val="24"/>
                <w:lang w:val="en-US" w:eastAsia="zh-CN"/>
              </w:rPr>
            </w:pPr>
            <w:r>
              <w:rPr>
                <w:rFonts w:hint="eastAsia" w:ascii="宋体" w:hAnsi="宋体" w:cs="宋体"/>
                <w:b/>
                <w:color w:val="000000"/>
                <w:sz w:val="24"/>
                <w:lang w:val="en-US" w:eastAsia="zh-CN"/>
              </w:rPr>
              <w:t>品牌、型号</w:t>
            </w:r>
          </w:p>
        </w:tc>
        <w:tc>
          <w:tcPr>
            <w:tcW w:w="1024" w:type="pct"/>
            <w:noWrap w:val="0"/>
            <w:vAlign w:val="center"/>
          </w:tcPr>
          <w:p w14:paraId="5D3E9C78">
            <w:pPr>
              <w:spacing w:line="320" w:lineRule="exact"/>
              <w:jc w:val="center"/>
              <w:rPr>
                <w:rFonts w:hint="eastAsia" w:ascii="宋体" w:hAnsi="宋体" w:eastAsia="宋体" w:cs="宋体"/>
                <w:b/>
                <w:color w:val="000000"/>
                <w:sz w:val="24"/>
                <w:lang w:val="en-US" w:eastAsia="zh-CN"/>
              </w:rPr>
            </w:pPr>
            <w:r>
              <w:rPr>
                <w:rFonts w:hint="eastAsia" w:ascii="宋体" w:hAnsi="宋体" w:cs="宋体"/>
                <w:b/>
                <w:color w:val="000000"/>
                <w:sz w:val="24"/>
                <w:lang w:val="en-US" w:eastAsia="zh-CN"/>
              </w:rPr>
              <w:t>制造商</w:t>
            </w:r>
          </w:p>
        </w:tc>
      </w:tr>
      <w:tr w14:paraId="6610A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4A57AE0E">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1</w:t>
            </w:r>
          </w:p>
        </w:tc>
        <w:tc>
          <w:tcPr>
            <w:tcW w:w="890" w:type="pct"/>
            <w:noWrap w:val="0"/>
            <w:vAlign w:val="center"/>
          </w:tcPr>
          <w:p w14:paraId="17E935FD">
            <w:pPr>
              <w:spacing w:line="320" w:lineRule="exact"/>
              <w:jc w:val="center"/>
              <w:rPr>
                <w:rFonts w:hint="eastAsia" w:ascii="宋体" w:hAnsi="宋体" w:eastAsia="宋体" w:cs="宋体"/>
                <w:color w:val="000000"/>
                <w:sz w:val="24"/>
              </w:rPr>
            </w:pPr>
          </w:p>
        </w:tc>
        <w:tc>
          <w:tcPr>
            <w:tcW w:w="413" w:type="pct"/>
            <w:noWrap w:val="0"/>
            <w:vAlign w:val="center"/>
          </w:tcPr>
          <w:p w14:paraId="27CB4878">
            <w:pPr>
              <w:spacing w:line="320" w:lineRule="exact"/>
              <w:jc w:val="center"/>
              <w:rPr>
                <w:rFonts w:hint="eastAsia" w:ascii="宋体" w:hAnsi="宋体" w:eastAsia="宋体" w:cs="宋体"/>
                <w:color w:val="000000"/>
                <w:sz w:val="24"/>
              </w:rPr>
            </w:pPr>
          </w:p>
        </w:tc>
        <w:tc>
          <w:tcPr>
            <w:tcW w:w="623" w:type="pct"/>
            <w:noWrap w:val="0"/>
            <w:vAlign w:val="top"/>
          </w:tcPr>
          <w:p w14:paraId="34027F04">
            <w:pPr>
              <w:spacing w:line="320" w:lineRule="exact"/>
              <w:jc w:val="center"/>
              <w:rPr>
                <w:rFonts w:hint="eastAsia" w:ascii="宋体" w:hAnsi="宋体" w:eastAsia="宋体" w:cs="宋体"/>
                <w:color w:val="000000"/>
                <w:sz w:val="24"/>
              </w:rPr>
            </w:pPr>
          </w:p>
        </w:tc>
        <w:tc>
          <w:tcPr>
            <w:tcW w:w="623" w:type="pct"/>
            <w:noWrap w:val="0"/>
            <w:vAlign w:val="top"/>
          </w:tcPr>
          <w:p w14:paraId="5341CCCD">
            <w:pPr>
              <w:spacing w:line="320" w:lineRule="exact"/>
              <w:jc w:val="center"/>
              <w:rPr>
                <w:rFonts w:hint="eastAsia" w:ascii="宋体" w:hAnsi="宋体" w:eastAsia="宋体" w:cs="宋体"/>
                <w:color w:val="000000"/>
                <w:sz w:val="24"/>
              </w:rPr>
            </w:pPr>
          </w:p>
        </w:tc>
        <w:tc>
          <w:tcPr>
            <w:tcW w:w="1055" w:type="pct"/>
            <w:noWrap w:val="0"/>
            <w:vAlign w:val="top"/>
          </w:tcPr>
          <w:p w14:paraId="5D24A26C">
            <w:pPr>
              <w:spacing w:line="320" w:lineRule="exact"/>
              <w:jc w:val="center"/>
              <w:rPr>
                <w:rFonts w:hint="eastAsia" w:ascii="宋体" w:hAnsi="宋体" w:eastAsia="宋体" w:cs="宋体"/>
                <w:color w:val="000000"/>
                <w:sz w:val="24"/>
              </w:rPr>
            </w:pPr>
          </w:p>
        </w:tc>
        <w:tc>
          <w:tcPr>
            <w:tcW w:w="1024" w:type="pct"/>
            <w:noWrap w:val="0"/>
            <w:vAlign w:val="top"/>
          </w:tcPr>
          <w:p w14:paraId="44DBEF16">
            <w:pPr>
              <w:spacing w:line="320" w:lineRule="exact"/>
              <w:jc w:val="center"/>
              <w:rPr>
                <w:rFonts w:hint="eastAsia" w:ascii="宋体" w:hAnsi="宋体" w:eastAsia="宋体" w:cs="宋体"/>
                <w:color w:val="000000"/>
                <w:sz w:val="24"/>
              </w:rPr>
            </w:pPr>
          </w:p>
        </w:tc>
      </w:tr>
      <w:tr w14:paraId="4D691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7B9902B7">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2</w:t>
            </w:r>
          </w:p>
        </w:tc>
        <w:tc>
          <w:tcPr>
            <w:tcW w:w="890" w:type="pct"/>
            <w:noWrap w:val="0"/>
            <w:vAlign w:val="center"/>
          </w:tcPr>
          <w:p w14:paraId="6D9FEDD9">
            <w:pPr>
              <w:spacing w:line="320" w:lineRule="exact"/>
              <w:jc w:val="center"/>
              <w:rPr>
                <w:rFonts w:hint="eastAsia" w:ascii="宋体" w:hAnsi="宋体" w:eastAsia="宋体" w:cs="宋体"/>
                <w:color w:val="000000"/>
                <w:sz w:val="24"/>
              </w:rPr>
            </w:pPr>
          </w:p>
        </w:tc>
        <w:tc>
          <w:tcPr>
            <w:tcW w:w="413" w:type="pct"/>
            <w:noWrap w:val="0"/>
            <w:vAlign w:val="center"/>
          </w:tcPr>
          <w:p w14:paraId="5859CFC2">
            <w:pPr>
              <w:spacing w:line="320" w:lineRule="exact"/>
              <w:jc w:val="center"/>
              <w:rPr>
                <w:rFonts w:hint="eastAsia" w:ascii="宋体" w:hAnsi="宋体" w:eastAsia="宋体" w:cs="宋体"/>
                <w:color w:val="000000"/>
                <w:sz w:val="24"/>
              </w:rPr>
            </w:pPr>
          </w:p>
        </w:tc>
        <w:tc>
          <w:tcPr>
            <w:tcW w:w="623" w:type="pct"/>
            <w:noWrap w:val="0"/>
            <w:vAlign w:val="top"/>
          </w:tcPr>
          <w:p w14:paraId="58069A5E">
            <w:pPr>
              <w:spacing w:line="320" w:lineRule="exact"/>
              <w:jc w:val="center"/>
              <w:rPr>
                <w:rFonts w:hint="eastAsia" w:ascii="宋体" w:hAnsi="宋体" w:eastAsia="宋体" w:cs="宋体"/>
                <w:color w:val="000000"/>
                <w:sz w:val="24"/>
              </w:rPr>
            </w:pPr>
          </w:p>
        </w:tc>
        <w:tc>
          <w:tcPr>
            <w:tcW w:w="623" w:type="pct"/>
            <w:noWrap w:val="0"/>
            <w:vAlign w:val="top"/>
          </w:tcPr>
          <w:p w14:paraId="4631CDA8">
            <w:pPr>
              <w:spacing w:line="320" w:lineRule="exact"/>
              <w:jc w:val="center"/>
              <w:rPr>
                <w:rFonts w:hint="eastAsia" w:ascii="宋体" w:hAnsi="宋体" w:eastAsia="宋体" w:cs="宋体"/>
                <w:color w:val="000000"/>
                <w:sz w:val="24"/>
              </w:rPr>
            </w:pPr>
          </w:p>
        </w:tc>
        <w:tc>
          <w:tcPr>
            <w:tcW w:w="1055" w:type="pct"/>
            <w:noWrap w:val="0"/>
            <w:vAlign w:val="top"/>
          </w:tcPr>
          <w:p w14:paraId="45471CB2">
            <w:pPr>
              <w:spacing w:line="320" w:lineRule="exact"/>
              <w:jc w:val="center"/>
              <w:rPr>
                <w:rFonts w:hint="eastAsia" w:ascii="宋体" w:hAnsi="宋体" w:eastAsia="宋体" w:cs="宋体"/>
                <w:color w:val="000000"/>
                <w:sz w:val="24"/>
              </w:rPr>
            </w:pPr>
          </w:p>
        </w:tc>
        <w:tc>
          <w:tcPr>
            <w:tcW w:w="1024" w:type="pct"/>
            <w:noWrap w:val="0"/>
            <w:vAlign w:val="top"/>
          </w:tcPr>
          <w:p w14:paraId="180B7662">
            <w:pPr>
              <w:spacing w:line="320" w:lineRule="exact"/>
              <w:jc w:val="center"/>
              <w:rPr>
                <w:rFonts w:hint="eastAsia" w:ascii="宋体" w:hAnsi="宋体" w:eastAsia="宋体" w:cs="宋体"/>
                <w:color w:val="000000"/>
                <w:sz w:val="24"/>
              </w:rPr>
            </w:pPr>
          </w:p>
        </w:tc>
      </w:tr>
      <w:tr w14:paraId="7ACB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52CB38CB">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3</w:t>
            </w:r>
          </w:p>
        </w:tc>
        <w:tc>
          <w:tcPr>
            <w:tcW w:w="890" w:type="pct"/>
            <w:noWrap w:val="0"/>
            <w:vAlign w:val="center"/>
          </w:tcPr>
          <w:p w14:paraId="7A843C5E">
            <w:pPr>
              <w:spacing w:line="320" w:lineRule="exact"/>
              <w:jc w:val="center"/>
              <w:rPr>
                <w:rFonts w:hint="eastAsia" w:ascii="宋体" w:hAnsi="宋体" w:eastAsia="宋体" w:cs="宋体"/>
                <w:color w:val="000000"/>
                <w:sz w:val="24"/>
              </w:rPr>
            </w:pPr>
          </w:p>
        </w:tc>
        <w:tc>
          <w:tcPr>
            <w:tcW w:w="413" w:type="pct"/>
            <w:noWrap w:val="0"/>
            <w:vAlign w:val="center"/>
          </w:tcPr>
          <w:p w14:paraId="1377727C">
            <w:pPr>
              <w:spacing w:line="320" w:lineRule="exact"/>
              <w:jc w:val="center"/>
              <w:rPr>
                <w:rFonts w:hint="eastAsia" w:ascii="宋体" w:hAnsi="宋体" w:eastAsia="宋体" w:cs="宋体"/>
                <w:color w:val="000000"/>
                <w:sz w:val="24"/>
              </w:rPr>
            </w:pPr>
          </w:p>
        </w:tc>
        <w:tc>
          <w:tcPr>
            <w:tcW w:w="623" w:type="pct"/>
            <w:noWrap w:val="0"/>
            <w:vAlign w:val="top"/>
          </w:tcPr>
          <w:p w14:paraId="327AF6AD">
            <w:pPr>
              <w:spacing w:line="320" w:lineRule="exact"/>
              <w:jc w:val="center"/>
              <w:rPr>
                <w:rFonts w:hint="eastAsia" w:ascii="宋体" w:hAnsi="宋体" w:eastAsia="宋体" w:cs="宋体"/>
                <w:color w:val="000000"/>
                <w:sz w:val="24"/>
              </w:rPr>
            </w:pPr>
          </w:p>
        </w:tc>
        <w:tc>
          <w:tcPr>
            <w:tcW w:w="623" w:type="pct"/>
            <w:noWrap w:val="0"/>
            <w:vAlign w:val="top"/>
          </w:tcPr>
          <w:p w14:paraId="5AB9720C">
            <w:pPr>
              <w:spacing w:line="320" w:lineRule="exact"/>
              <w:jc w:val="center"/>
              <w:rPr>
                <w:rFonts w:hint="eastAsia" w:ascii="宋体" w:hAnsi="宋体" w:eastAsia="宋体" w:cs="宋体"/>
                <w:color w:val="000000"/>
                <w:sz w:val="24"/>
              </w:rPr>
            </w:pPr>
          </w:p>
        </w:tc>
        <w:tc>
          <w:tcPr>
            <w:tcW w:w="1055" w:type="pct"/>
            <w:noWrap w:val="0"/>
            <w:vAlign w:val="top"/>
          </w:tcPr>
          <w:p w14:paraId="00A1AE1F">
            <w:pPr>
              <w:spacing w:line="320" w:lineRule="exact"/>
              <w:jc w:val="center"/>
              <w:rPr>
                <w:rFonts w:hint="eastAsia" w:ascii="宋体" w:hAnsi="宋体" w:eastAsia="宋体" w:cs="宋体"/>
                <w:color w:val="000000"/>
                <w:sz w:val="24"/>
              </w:rPr>
            </w:pPr>
          </w:p>
        </w:tc>
        <w:tc>
          <w:tcPr>
            <w:tcW w:w="1024" w:type="pct"/>
            <w:noWrap w:val="0"/>
            <w:vAlign w:val="top"/>
          </w:tcPr>
          <w:p w14:paraId="457FDEA1">
            <w:pPr>
              <w:spacing w:line="320" w:lineRule="exact"/>
              <w:jc w:val="center"/>
              <w:rPr>
                <w:rFonts w:hint="eastAsia" w:ascii="宋体" w:hAnsi="宋体" w:eastAsia="宋体" w:cs="宋体"/>
                <w:color w:val="000000"/>
                <w:sz w:val="24"/>
              </w:rPr>
            </w:pPr>
          </w:p>
        </w:tc>
      </w:tr>
      <w:tr w14:paraId="6FE7E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4A44FBA1">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4</w:t>
            </w:r>
          </w:p>
        </w:tc>
        <w:tc>
          <w:tcPr>
            <w:tcW w:w="890" w:type="pct"/>
            <w:noWrap w:val="0"/>
            <w:vAlign w:val="center"/>
          </w:tcPr>
          <w:p w14:paraId="0694D681">
            <w:pPr>
              <w:spacing w:line="320" w:lineRule="exact"/>
              <w:jc w:val="center"/>
              <w:rPr>
                <w:rFonts w:hint="eastAsia" w:ascii="宋体" w:hAnsi="宋体" w:eastAsia="宋体" w:cs="宋体"/>
                <w:color w:val="000000"/>
                <w:sz w:val="24"/>
              </w:rPr>
            </w:pPr>
          </w:p>
        </w:tc>
        <w:tc>
          <w:tcPr>
            <w:tcW w:w="413" w:type="pct"/>
            <w:noWrap w:val="0"/>
            <w:vAlign w:val="center"/>
          </w:tcPr>
          <w:p w14:paraId="73172D58">
            <w:pPr>
              <w:spacing w:line="320" w:lineRule="exact"/>
              <w:jc w:val="center"/>
              <w:rPr>
                <w:rFonts w:hint="eastAsia" w:ascii="宋体" w:hAnsi="宋体" w:eastAsia="宋体" w:cs="宋体"/>
                <w:color w:val="000000"/>
                <w:sz w:val="24"/>
              </w:rPr>
            </w:pPr>
          </w:p>
        </w:tc>
        <w:tc>
          <w:tcPr>
            <w:tcW w:w="623" w:type="pct"/>
            <w:noWrap w:val="0"/>
            <w:vAlign w:val="top"/>
          </w:tcPr>
          <w:p w14:paraId="2025408F">
            <w:pPr>
              <w:spacing w:line="320" w:lineRule="exact"/>
              <w:jc w:val="center"/>
              <w:rPr>
                <w:rFonts w:hint="eastAsia" w:ascii="宋体" w:hAnsi="宋体" w:eastAsia="宋体" w:cs="宋体"/>
                <w:color w:val="000000"/>
                <w:sz w:val="24"/>
              </w:rPr>
            </w:pPr>
          </w:p>
        </w:tc>
        <w:tc>
          <w:tcPr>
            <w:tcW w:w="623" w:type="pct"/>
            <w:noWrap w:val="0"/>
            <w:vAlign w:val="top"/>
          </w:tcPr>
          <w:p w14:paraId="383DE2B0">
            <w:pPr>
              <w:spacing w:line="320" w:lineRule="exact"/>
              <w:jc w:val="center"/>
              <w:rPr>
                <w:rFonts w:hint="eastAsia" w:ascii="宋体" w:hAnsi="宋体" w:eastAsia="宋体" w:cs="宋体"/>
                <w:color w:val="000000"/>
                <w:sz w:val="24"/>
              </w:rPr>
            </w:pPr>
          </w:p>
        </w:tc>
        <w:tc>
          <w:tcPr>
            <w:tcW w:w="1055" w:type="pct"/>
            <w:noWrap w:val="0"/>
            <w:vAlign w:val="top"/>
          </w:tcPr>
          <w:p w14:paraId="14D01763">
            <w:pPr>
              <w:spacing w:line="320" w:lineRule="exact"/>
              <w:jc w:val="center"/>
              <w:rPr>
                <w:rFonts w:hint="eastAsia" w:ascii="宋体" w:hAnsi="宋体" w:eastAsia="宋体" w:cs="宋体"/>
                <w:color w:val="000000"/>
                <w:sz w:val="24"/>
              </w:rPr>
            </w:pPr>
          </w:p>
        </w:tc>
        <w:tc>
          <w:tcPr>
            <w:tcW w:w="1024" w:type="pct"/>
            <w:noWrap w:val="0"/>
            <w:vAlign w:val="top"/>
          </w:tcPr>
          <w:p w14:paraId="48356FC3">
            <w:pPr>
              <w:spacing w:line="320" w:lineRule="exact"/>
              <w:jc w:val="center"/>
              <w:rPr>
                <w:rFonts w:hint="eastAsia" w:ascii="宋体" w:hAnsi="宋体" w:eastAsia="宋体" w:cs="宋体"/>
                <w:color w:val="000000"/>
                <w:sz w:val="24"/>
              </w:rPr>
            </w:pPr>
          </w:p>
        </w:tc>
      </w:tr>
      <w:tr w14:paraId="30F43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42346F7C">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5</w:t>
            </w:r>
          </w:p>
        </w:tc>
        <w:tc>
          <w:tcPr>
            <w:tcW w:w="890" w:type="pct"/>
            <w:noWrap w:val="0"/>
            <w:vAlign w:val="center"/>
          </w:tcPr>
          <w:p w14:paraId="07D58E47">
            <w:pPr>
              <w:spacing w:line="320" w:lineRule="exact"/>
              <w:jc w:val="center"/>
              <w:rPr>
                <w:rFonts w:hint="eastAsia" w:ascii="宋体" w:hAnsi="宋体" w:eastAsia="宋体" w:cs="宋体"/>
                <w:color w:val="000000"/>
                <w:sz w:val="24"/>
              </w:rPr>
            </w:pPr>
          </w:p>
        </w:tc>
        <w:tc>
          <w:tcPr>
            <w:tcW w:w="413" w:type="pct"/>
            <w:noWrap w:val="0"/>
            <w:vAlign w:val="center"/>
          </w:tcPr>
          <w:p w14:paraId="6F6B6CF7">
            <w:pPr>
              <w:spacing w:line="320" w:lineRule="exact"/>
              <w:jc w:val="center"/>
              <w:rPr>
                <w:rFonts w:hint="eastAsia" w:ascii="宋体" w:hAnsi="宋体" w:eastAsia="宋体" w:cs="宋体"/>
                <w:color w:val="000000"/>
                <w:sz w:val="24"/>
              </w:rPr>
            </w:pPr>
          </w:p>
        </w:tc>
        <w:tc>
          <w:tcPr>
            <w:tcW w:w="623" w:type="pct"/>
            <w:noWrap w:val="0"/>
            <w:vAlign w:val="top"/>
          </w:tcPr>
          <w:p w14:paraId="595BA886">
            <w:pPr>
              <w:spacing w:line="320" w:lineRule="exact"/>
              <w:jc w:val="center"/>
              <w:rPr>
                <w:rFonts w:hint="eastAsia" w:ascii="宋体" w:hAnsi="宋体" w:eastAsia="宋体" w:cs="宋体"/>
                <w:color w:val="000000"/>
                <w:sz w:val="24"/>
              </w:rPr>
            </w:pPr>
          </w:p>
        </w:tc>
        <w:tc>
          <w:tcPr>
            <w:tcW w:w="623" w:type="pct"/>
            <w:noWrap w:val="0"/>
            <w:vAlign w:val="top"/>
          </w:tcPr>
          <w:p w14:paraId="356FB894">
            <w:pPr>
              <w:spacing w:line="320" w:lineRule="exact"/>
              <w:jc w:val="center"/>
              <w:rPr>
                <w:rFonts w:hint="eastAsia" w:ascii="宋体" w:hAnsi="宋体" w:eastAsia="宋体" w:cs="宋体"/>
                <w:color w:val="000000"/>
                <w:sz w:val="24"/>
              </w:rPr>
            </w:pPr>
          </w:p>
        </w:tc>
        <w:tc>
          <w:tcPr>
            <w:tcW w:w="1055" w:type="pct"/>
            <w:noWrap w:val="0"/>
            <w:vAlign w:val="top"/>
          </w:tcPr>
          <w:p w14:paraId="41CEA116">
            <w:pPr>
              <w:spacing w:line="320" w:lineRule="exact"/>
              <w:jc w:val="center"/>
              <w:rPr>
                <w:rFonts w:hint="eastAsia" w:ascii="宋体" w:hAnsi="宋体" w:eastAsia="宋体" w:cs="宋体"/>
                <w:color w:val="000000"/>
                <w:sz w:val="24"/>
              </w:rPr>
            </w:pPr>
          </w:p>
        </w:tc>
        <w:tc>
          <w:tcPr>
            <w:tcW w:w="1024" w:type="pct"/>
            <w:noWrap w:val="0"/>
            <w:vAlign w:val="top"/>
          </w:tcPr>
          <w:p w14:paraId="5B943B18">
            <w:pPr>
              <w:spacing w:line="320" w:lineRule="exact"/>
              <w:jc w:val="center"/>
              <w:rPr>
                <w:rFonts w:hint="eastAsia" w:ascii="宋体" w:hAnsi="宋体" w:eastAsia="宋体" w:cs="宋体"/>
                <w:color w:val="000000"/>
                <w:sz w:val="24"/>
              </w:rPr>
            </w:pPr>
          </w:p>
        </w:tc>
      </w:tr>
      <w:tr w14:paraId="130E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117A903E">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6</w:t>
            </w:r>
          </w:p>
        </w:tc>
        <w:tc>
          <w:tcPr>
            <w:tcW w:w="890" w:type="pct"/>
            <w:noWrap w:val="0"/>
            <w:vAlign w:val="center"/>
          </w:tcPr>
          <w:p w14:paraId="527F083E">
            <w:pPr>
              <w:spacing w:line="320" w:lineRule="exact"/>
              <w:jc w:val="center"/>
              <w:rPr>
                <w:rFonts w:hint="eastAsia" w:ascii="宋体" w:hAnsi="宋体" w:eastAsia="宋体" w:cs="宋体"/>
                <w:color w:val="000000"/>
                <w:sz w:val="24"/>
              </w:rPr>
            </w:pPr>
            <w:r>
              <w:rPr>
                <w:rFonts w:hint="eastAsia" w:ascii="宋体" w:hAnsi="宋体" w:eastAsia="宋体" w:cs="宋体"/>
                <w:color w:val="000000"/>
                <w:sz w:val="24"/>
              </w:rPr>
              <w:t>……</w:t>
            </w:r>
          </w:p>
        </w:tc>
        <w:tc>
          <w:tcPr>
            <w:tcW w:w="413" w:type="pct"/>
            <w:noWrap w:val="0"/>
            <w:vAlign w:val="center"/>
          </w:tcPr>
          <w:p w14:paraId="3440FA5E">
            <w:pPr>
              <w:spacing w:line="320" w:lineRule="exact"/>
              <w:jc w:val="center"/>
              <w:rPr>
                <w:rFonts w:hint="eastAsia" w:ascii="宋体" w:hAnsi="宋体" w:eastAsia="宋体" w:cs="宋体"/>
                <w:color w:val="000000"/>
                <w:sz w:val="24"/>
              </w:rPr>
            </w:pPr>
          </w:p>
        </w:tc>
        <w:tc>
          <w:tcPr>
            <w:tcW w:w="623" w:type="pct"/>
            <w:noWrap w:val="0"/>
            <w:vAlign w:val="top"/>
          </w:tcPr>
          <w:p w14:paraId="114C55BC">
            <w:pPr>
              <w:spacing w:line="320" w:lineRule="exact"/>
              <w:jc w:val="center"/>
              <w:rPr>
                <w:rFonts w:hint="eastAsia" w:ascii="宋体" w:hAnsi="宋体" w:eastAsia="宋体" w:cs="宋体"/>
                <w:color w:val="000000"/>
                <w:sz w:val="24"/>
              </w:rPr>
            </w:pPr>
          </w:p>
        </w:tc>
        <w:tc>
          <w:tcPr>
            <w:tcW w:w="623" w:type="pct"/>
            <w:noWrap w:val="0"/>
            <w:vAlign w:val="top"/>
          </w:tcPr>
          <w:p w14:paraId="7514C971">
            <w:pPr>
              <w:spacing w:line="320" w:lineRule="exact"/>
              <w:jc w:val="center"/>
              <w:rPr>
                <w:rFonts w:hint="eastAsia" w:ascii="宋体" w:hAnsi="宋体" w:eastAsia="宋体" w:cs="宋体"/>
                <w:color w:val="000000"/>
                <w:sz w:val="24"/>
              </w:rPr>
            </w:pPr>
          </w:p>
        </w:tc>
        <w:tc>
          <w:tcPr>
            <w:tcW w:w="1055" w:type="pct"/>
            <w:noWrap w:val="0"/>
            <w:vAlign w:val="top"/>
          </w:tcPr>
          <w:p w14:paraId="0C8AC44A">
            <w:pPr>
              <w:spacing w:line="320" w:lineRule="exact"/>
              <w:jc w:val="center"/>
              <w:rPr>
                <w:rFonts w:hint="eastAsia" w:ascii="宋体" w:hAnsi="宋体" w:eastAsia="宋体" w:cs="宋体"/>
                <w:color w:val="000000"/>
                <w:sz w:val="24"/>
              </w:rPr>
            </w:pPr>
          </w:p>
        </w:tc>
        <w:tc>
          <w:tcPr>
            <w:tcW w:w="1024" w:type="pct"/>
            <w:noWrap w:val="0"/>
            <w:vAlign w:val="top"/>
          </w:tcPr>
          <w:p w14:paraId="378F22F5">
            <w:pPr>
              <w:spacing w:line="320" w:lineRule="exact"/>
              <w:jc w:val="center"/>
              <w:rPr>
                <w:rFonts w:hint="eastAsia" w:ascii="宋体" w:hAnsi="宋体" w:eastAsia="宋体" w:cs="宋体"/>
                <w:color w:val="000000"/>
                <w:sz w:val="24"/>
              </w:rPr>
            </w:pPr>
          </w:p>
        </w:tc>
      </w:tr>
      <w:tr w14:paraId="595F3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08A37B70">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12</w:t>
            </w:r>
          </w:p>
        </w:tc>
        <w:tc>
          <w:tcPr>
            <w:tcW w:w="890" w:type="pct"/>
            <w:noWrap w:val="0"/>
            <w:vAlign w:val="center"/>
          </w:tcPr>
          <w:p w14:paraId="53D50E09">
            <w:pPr>
              <w:spacing w:line="320" w:lineRule="exact"/>
              <w:jc w:val="center"/>
              <w:rPr>
                <w:rFonts w:hint="eastAsia" w:ascii="宋体" w:hAnsi="宋体" w:eastAsia="宋体" w:cs="宋体"/>
                <w:color w:val="000000"/>
                <w:sz w:val="24"/>
              </w:rPr>
            </w:pPr>
            <w:r>
              <w:rPr>
                <w:rFonts w:hint="eastAsia" w:ascii="宋体" w:hAnsi="宋体" w:eastAsia="宋体" w:cs="宋体"/>
                <w:color w:val="000000"/>
                <w:sz w:val="24"/>
              </w:rPr>
              <w:t>合计</w:t>
            </w:r>
          </w:p>
        </w:tc>
        <w:tc>
          <w:tcPr>
            <w:tcW w:w="413" w:type="pct"/>
            <w:noWrap w:val="0"/>
            <w:vAlign w:val="center"/>
          </w:tcPr>
          <w:p w14:paraId="697D29D5">
            <w:pPr>
              <w:spacing w:line="320" w:lineRule="exact"/>
              <w:jc w:val="center"/>
              <w:rPr>
                <w:rFonts w:hint="eastAsia" w:ascii="宋体" w:hAnsi="宋体" w:eastAsia="宋体" w:cs="宋体"/>
                <w:color w:val="000000"/>
                <w:sz w:val="24"/>
              </w:rPr>
            </w:pPr>
          </w:p>
        </w:tc>
        <w:tc>
          <w:tcPr>
            <w:tcW w:w="623" w:type="pct"/>
            <w:noWrap w:val="0"/>
            <w:vAlign w:val="top"/>
          </w:tcPr>
          <w:p w14:paraId="056A4BB3">
            <w:pPr>
              <w:spacing w:line="320" w:lineRule="exact"/>
              <w:jc w:val="center"/>
              <w:rPr>
                <w:rFonts w:hint="eastAsia" w:ascii="宋体" w:hAnsi="宋体" w:eastAsia="宋体" w:cs="宋体"/>
                <w:color w:val="000000"/>
                <w:sz w:val="24"/>
              </w:rPr>
            </w:pPr>
          </w:p>
        </w:tc>
        <w:tc>
          <w:tcPr>
            <w:tcW w:w="623" w:type="pct"/>
            <w:noWrap w:val="0"/>
            <w:vAlign w:val="top"/>
          </w:tcPr>
          <w:p w14:paraId="3A0C8A56">
            <w:pPr>
              <w:spacing w:line="320" w:lineRule="exact"/>
              <w:jc w:val="center"/>
              <w:rPr>
                <w:rFonts w:hint="eastAsia" w:ascii="宋体" w:hAnsi="宋体" w:eastAsia="宋体" w:cs="宋体"/>
                <w:color w:val="000000"/>
                <w:sz w:val="24"/>
              </w:rPr>
            </w:pPr>
          </w:p>
        </w:tc>
        <w:tc>
          <w:tcPr>
            <w:tcW w:w="1055" w:type="pct"/>
            <w:noWrap w:val="0"/>
            <w:vAlign w:val="top"/>
          </w:tcPr>
          <w:p w14:paraId="069F5708">
            <w:pPr>
              <w:spacing w:line="320" w:lineRule="exact"/>
              <w:jc w:val="center"/>
              <w:rPr>
                <w:rFonts w:hint="eastAsia" w:ascii="宋体" w:hAnsi="宋体" w:eastAsia="宋体" w:cs="宋体"/>
                <w:color w:val="000000"/>
                <w:sz w:val="24"/>
              </w:rPr>
            </w:pPr>
          </w:p>
        </w:tc>
        <w:tc>
          <w:tcPr>
            <w:tcW w:w="1024" w:type="pct"/>
            <w:noWrap w:val="0"/>
            <w:vAlign w:val="top"/>
          </w:tcPr>
          <w:p w14:paraId="62FCC76D">
            <w:pPr>
              <w:spacing w:line="320" w:lineRule="exact"/>
              <w:jc w:val="center"/>
              <w:rPr>
                <w:rFonts w:hint="eastAsia" w:ascii="宋体" w:hAnsi="宋体" w:eastAsia="宋体" w:cs="宋体"/>
                <w:color w:val="000000"/>
                <w:sz w:val="24"/>
              </w:rPr>
            </w:pPr>
          </w:p>
        </w:tc>
      </w:tr>
    </w:tbl>
    <w:p w14:paraId="1941B3EF">
      <w:pPr>
        <w:widowControl/>
        <w:spacing w:line="370" w:lineRule="exact"/>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2.同类采购项目历史成交信息（不少于3个</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提供合同、中标通知书、中标公告截图等）</w:t>
      </w:r>
      <w:r>
        <w:rPr>
          <w:rFonts w:hint="eastAsia" w:ascii="宋体" w:hAnsi="宋体" w:cs="宋体"/>
          <w:color w:val="000000" w:themeColor="text1"/>
          <w:sz w:val="24"/>
          <w:lang w:val="en-US" w:eastAsia="zh-CN"/>
          <w14:textFill>
            <w14:solidFill>
              <w14:schemeClr w14:val="tx1"/>
            </w14:solidFill>
          </w14:textFill>
        </w:rPr>
        <w:t>如果有。</w:t>
      </w:r>
    </w:p>
    <w:p w14:paraId="213CB314">
      <w:pPr>
        <w:pStyle w:val="2"/>
        <w:rPr>
          <w:rFonts w:hint="default"/>
          <w:lang w:val="en-US" w:eastAsia="zh-CN"/>
        </w:rPr>
      </w:pPr>
      <w:r>
        <w:rPr>
          <w:rFonts w:hint="eastAsia"/>
          <w:lang w:val="en-US" w:eastAsia="zh-CN"/>
        </w:rPr>
        <w:t xml:space="preserve">   </w:t>
      </w:r>
      <w:r>
        <w:rPr>
          <w:rStyle w:val="21"/>
          <w:rFonts w:hint="eastAsia" w:ascii="宋体" w:hAnsi="宋体" w:eastAsia="宋体" w:cs="宋体"/>
          <w:b/>
          <w:bCs/>
          <w:color w:val="000000" w:themeColor="text1"/>
          <w:kern w:val="2"/>
          <w:sz w:val="24"/>
          <w:szCs w:val="24"/>
          <w:lang w:val="en-US" w:eastAsia="zh-CN" w:bidi="ar-SA"/>
          <w14:textFill>
            <w14:solidFill>
              <w14:schemeClr w14:val="tx1"/>
            </w14:solidFill>
          </w14:textFill>
        </w:rPr>
        <w:t>注：须提供合同金额或中标金额。</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0A620F0C">
      <w:pPr>
        <w:spacing w:line="370" w:lineRule="exact"/>
        <w:ind w:firstLine="572" w:firstLineChars="200"/>
        <w:jc w:val="center"/>
        <w:rPr>
          <w:rStyle w:val="21"/>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8"/>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034B0700">
            <w:pPr>
              <w:tabs>
                <w:tab w:val="left" w:pos="6300"/>
              </w:tabs>
              <w:snapToGrid w:val="0"/>
              <w:spacing w:line="370" w:lineRule="exact"/>
              <w:jc w:val="center"/>
              <w:outlineLvl w:val="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spacing w:line="370" w:lineRule="exact"/>
        <w:rPr>
          <w:rStyle w:val="21"/>
          <w:rFonts w:ascii="宋体" w:hAnsi="宋体" w:eastAsia="宋体" w:cs="宋体"/>
          <w:b w:val="0"/>
          <w:color w:val="000000" w:themeColor="text1"/>
          <w:sz w:val="24"/>
          <w14:textFill>
            <w14:solidFill>
              <w14:schemeClr w14:val="tx1"/>
            </w14:solidFill>
          </w14:textFill>
        </w:rPr>
      </w:pPr>
    </w:p>
    <w:p w14:paraId="1C0EDAE7">
      <w:pPr>
        <w:spacing w:line="370" w:lineRule="exact"/>
        <w:ind w:firstLine="480" w:firstLineChars="200"/>
        <w:rPr>
          <w:rStyle w:val="21"/>
          <w:rFonts w:hint="eastAsia" w:ascii="宋体" w:hAnsi="宋体" w:eastAsia="宋体" w:cs="宋体"/>
          <w:b w:val="0"/>
          <w:color w:val="000000" w:themeColor="text1"/>
          <w:sz w:val="24"/>
          <w14:textFill>
            <w14:solidFill>
              <w14:schemeClr w14:val="tx1"/>
            </w14:solidFill>
          </w14:textFill>
        </w:rPr>
      </w:pPr>
      <w:r>
        <w:rPr>
          <w:rStyle w:val="21"/>
          <w:rFonts w:hint="eastAsia" w:ascii="宋体" w:hAnsi="宋体" w:eastAsia="宋体" w:cs="宋体"/>
          <w:b w:val="0"/>
          <w:color w:val="000000" w:themeColor="text1"/>
          <w:sz w:val="24"/>
          <w14:textFill>
            <w14:solidFill>
              <w14:schemeClr w14:val="tx1"/>
            </w14:solidFill>
          </w14:textFill>
        </w:rPr>
        <w:t>注：</w:t>
      </w:r>
      <w:r>
        <w:rPr>
          <w:rStyle w:val="21"/>
          <w:rFonts w:hint="eastAsia" w:ascii="宋体" w:hAnsi="宋体" w:eastAsia="宋体" w:cs="宋体"/>
          <w:b w:val="0"/>
          <w:color w:val="000000" w:themeColor="text1"/>
          <w:sz w:val="24"/>
          <w:lang w:val="en-US" w:eastAsia="zh-CN"/>
          <w14:textFill>
            <w14:solidFill>
              <w14:schemeClr w14:val="tx1"/>
            </w14:solidFill>
          </w14:textFill>
        </w:rPr>
        <w:t>1.</w:t>
      </w:r>
      <w:r>
        <w:rPr>
          <w:rStyle w:val="21"/>
          <w:rFonts w:hint="eastAsia" w:ascii="宋体" w:hAnsi="宋体" w:eastAsia="宋体" w:cs="宋体"/>
          <w:b w:val="0"/>
          <w:color w:val="000000" w:themeColor="text1"/>
          <w:sz w:val="24"/>
          <w14:textFill>
            <w14:solidFill>
              <w14:schemeClr w14:val="tx1"/>
            </w14:solidFill>
          </w14:textFill>
        </w:rPr>
        <w:t>潜在供应商须按</w:t>
      </w:r>
      <w:r>
        <w:rPr>
          <w:rStyle w:val="21"/>
          <w:rFonts w:hint="eastAsia" w:ascii="宋体" w:hAnsi="宋体" w:eastAsia="宋体" w:cs="宋体"/>
          <w:bCs/>
          <w:color w:val="000000" w:themeColor="text1"/>
          <w:sz w:val="24"/>
          <w14:textFill>
            <w14:solidFill>
              <w14:schemeClr w14:val="tx1"/>
            </w14:solidFill>
          </w14:textFill>
        </w:rPr>
        <w:t>“</w:t>
      </w:r>
      <w:r>
        <w:rPr>
          <w:rStyle w:val="21"/>
          <w:rFonts w:hint="eastAsia" w:ascii="宋体" w:hAnsi="宋体" w:cs="宋体"/>
          <w:bCs/>
          <w:color w:val="000000" w:themeColor="text1"/>
          <w:sz w:val="24"/>
          <w:lang w:val="en-US" w:eastAsia="zh-CN"/>
          <w14:textFill>
            <w14:solidFill>
              <w14:schemeClr w14:val="tx1"/>
            </w14:solidFill>
          </w14:textFill>
        </w:rPr>
        <w:t>四</w:t>
      </w:r>
      <w:r>
        <w:rPr>
          <w:rStyle w:val="21"/>
          <w:rFonts w:hint="eastAsia" w:ascii="宋体" w:hAnsi="宋体" w:eastAsia="宋体" w:cs="宋体"/>
          <w:bCs/>
          <w:color w:val="000000" w:themeColor="text1"/>
          <w:sz w:val="24"/>
          <w:lang w:val="en-US" w:eastAsia="zh-CN"/>
          <w14:textFill>
            <w14:solidFill>
              <w14:schemeClr w14:val="tx1"/>
            </w14:solidFill>
          </w14:textFill>
        </w:rPr>
        <w:t>、</w:t>
      </w:r>
      <w:r>
        <w:rPr>
          <w:rStyle w:val="21"/>
          <w:rFonts w:hint="eastAsia" w:ascii="宋体" w:hAnsi="宋体" w:eastAsia="宋体" w:cs="宋体"/>
          <w:bCs/>
          <w:color w:val="000000" w:themeColor="text1"/>
          <w:sz w:val="24"/>
          <w14:textFill>
            <w14:solidFill>
              <w14:schemeClr w14:val="tx1"/>
            </w14:solidFill>
          </w14:textFill>
        </w:rPr>
        <w:t>基础技术规格”</w:t>
      </w:r>
      <w:r>
        <w:rPr>
          <w:rStyle w:val="21"/>
          <w:rFonts w:hint="eastAsia" w:ascii="宋体" w:hAnsi="宋体" w:eastAsia="宋体" w:cs="宋体"/>
          <w:b w:val="0"/>
          <w:color w:val="000000" w:themeColor="text1"/>
          <w:sz w:val="24"/>
          <w14:textFill>
            <w14:solidFill>
              <w14:schemeClr w14:val="tx1"/>
            </w14:solidFill>
          </w14:textFill>
        </w:rPr>
        <w:t>所列条款逐条响应，同时可提出优化建议。</w:t>
      </w:r>
    </w:p>
    <w:p w14:paraId="7A684A55">
      <w:pPr>
        <w:spacing w:line="370" w:lineRule="exact"/>
        <w:ind w:firstLine="480" w:firstLineChars="200"/>
        <w:rPr>
          <w:rStyle w:val="21"/>
          <w:rFonts w:hint="eastAsia" w:ascii="宋体" w:hAnsi="宋体" w:cs="宋体"/>
          <w:b w:val="0"/>
          <w:color w:val="000000" w:themeColor="text1"/>
          <w:sz w:val="24"/>
          <w:lang w:val="en-US" w:eastAsia="zh-CN"/>
          <w14:textFill>
            <w14:solidFill>
              <w14:schemeClr w14:val="tx1"/>
            </w14:solidFill>
          </w14:textFill>
        </w:rPr>
      </w:pPr>
      <w:r>
        <w:rPr>
          <w:rStyle w:val="21"/>
          <w:rFonts w:hint="eastAsia" w:ascii="宋体" w:hAnsi="宋体" w:cs="宋体"/>
          <w:b w:val="0"/>
          <w:color w:val="000000" w:themeColor="text1"/>
          <w:sz w:val="24"/>
          <w:lang w:val="en-US" w:eastAsia="zh-CN"/>
          <w14:textFill>
            <w14:solidFill>
              <w14:schemeClr w14:val="tx1"/>
            </w14:solidFill>
          </w14:textFill>
        </w:rPr>
        <w:t>（五）商务需求响应表：</w:t>
      </w:r>
    </w:p>
    <w:p w14:paraId="4445BEA0">
      <w:pPr>
        <w:spacing w:line="370" w:lineRule="exact"/>
        <w:jc w:val="center"/>
        <w:rPr>
          <w:rStyle w:val="21"/>
          <w:rFonts w:hint="eastAsia" w:ascii="宋体" w:hAnsi="宋体" w:cs="宋体"/>
          <w:b w:val="0"/>
          <w:color w:val="000000" w:themeColor="text1"/>
          <w:sz w:val="24"/>
          <w:lang w:val="en-US" w:eastAsia="zh-CN"/>
          <w14:textFill>
            <w14:solidFill>
              <w14:schemeClr w14:val="tx1"/>
            </w14:solidFill>
          </w14:textFill>
        </w:rPr>
      </w:pPr>
      <w:r>
        <w:rPr>
          <w:rStyle w:val="21"/>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eastAsia="宋体" w:cs="微软雅黑"/>
                <w:color w:val="000000" w:themeColor="text1"/>
                <w:spacing w:val="23"/>
                <w:kern w:val="0"/>
                <w:sz w:val="24"/>
                <w:szCs w:val="24"/>
                <w:lang w:eastAsia="zh-CN"/>
                <w14:textFill>
                  <w14:solidFill>
                    <w14:schemeClr w14:val="tx1"/>
                  </w14:solidFill>
                </w14:textFill>
              </w:rPr>
            </w:pPr>
            <w:r>
              <w:rPr>
                <w:rFonts w:hint="eastAsia" w:ascii="宋体" w:hAnsi="宋体" w:cs="微软雅黑"/>
                <w:color w:val="000000" w:themeColor="text1"/>
                <w:spacing w:val="23"/>
                <w:kern w:val="0"/>
                <w:sz w:val="24"/>
                <w:szCs w:val="24"/>
                <w:lang w:val="en-US" w:eastAsia="zh-CN"/>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340496A8">
      <w:pPr>
        <w:spacing w:beforeLines="0" w:afterLines="0" w:line="370" w:lineRule="exact"/>
        <w:ind w:firstLine="720" w:firstLineChars="300"/>
        <w:rPr>
          <w:rFonts w:hint="eastAsia" w:ascii="宋体" w:hAnsi="宋体" w:cs="宋体"/>
          <w:color w:val="000000" w:themeColor="text1"/>
          <w:spacing w:val="23"/>
          <w:kern w:val="0"/>
          <w:sz w:val="24"/>
          <w:lang w:val="en-US" w:eastAsia="zh-CN"/>
          <w14:textFill>
            <w14:solidFill>
              <w14:schemeClr w14:val="tx1"/>
            </w14:solidFill>
          </w14:textFill>
        </w:rPr>
      </w:pPr>
      <w:r>
        <w:rPr>
          <w:rStyle w:val="21"/>
          <w:rFonts w:hint="default" w:ascii="宋体" w:hAnsi="宋体" w:cs="宋体"/>
          <w:b w:val="0"/>
          <w:color w:val="000000" w:themeColor="text1"/>
          <w:sz w:val="24"/>
          <w:szCs w:val="24"/>
          <w14:textFill>
            <w14:solidFill>
              <w14:schemeClr w14:val="tx1"/>
            </w14:solidFill>
          </w14:textFill>
        </w:rPr>
        <w:t>注：1.潜在供应商须按</w:t>
      </w:r>
      <w:r>
        <w:rPr>
          <w:rStyle w:val="21"/>
          <w:rFonts w:hint="default" w:ascii="宋体" w:hAnsi="宋体" w:cs="宋体"/>
          <w:color w:val="000000" w:themeColor="text1"/>
          <w:sz w:val="24"/>
          <w:szCs w:val="24"/>
          <w14:textFill>
            <w14:solidFill>
              <w14:schemeClr w14:val="tx1"/>
            </w14:solidFill>
          </w14:textFill>
        </w:rPr>
        <w:t>“</w:t>
      </w:r>
      <w:r>
        <w:rPr>
          <w:rStyle w:val="21"/>
          <w:rFonts w:hint="eastAsia" w:ascii="宋体" w:hAnsi="宋体" w:cs="宋体"/>
          <w:color w:val="000000" w:themeColor="text1"/>
          <w:sz w:val="24"/>
          <w:szCs w:val="24"/>
          <w:lang w:val="en-US" w:eastAsia="zh-CN"/>
          <w14:textFill>
            <w14:solidFill>
              <w14:schemeClr w14:val="tx1"/>
            </w14:solidFill>
          </w14:textFill>
        </w:rPr>
        <w:t>五</w:t>
      </w:r>
      <w:r>
        <w:rPr>
          <w:rStyle w:val="21"/>
          <w:rFonts w:hint="default" w:ascii="宋体" w:hAnsi="宋体" w:cs="宋体"/>
          <w:color w:val="000000" w:themeColor="text1"/>
          <w:sz w:val="24"/>
          <w:szCs w:val="24"/>
          <w14:textFill>
            <w14:solidFill>
              <w14:schemeClr w14:val="tx1"/>
            </w14:solidFill>
          </w14:textFill>
        </w:rPr>
        <w:t>、商务要求”</w:t>
      </w:r>
      <w:r>
        <w:rPr>
          <w:rStyle w:val="21"/>
          <w:rFonts w:hint="default" w:ascii="宋体" w:hAnsi="宋体" w:cs="宋体"/>
          <w:b w:val="0"/>
          <w:color w:val="000000" w:themeColor="text1"/>
          <w:sz w:val="24"/>
          <w:szCs w:val="24"/>
          <w14:textFill>
            <w14:solidFill>
              <w14:schemeClr w14:val="tx1"/>
            </w14:solidFill>
          </w14:textFill>
        </w:rPr>
        <w:t>所列条款逐条响应，同时可提出优化建议。</w:t>
      </w:r>
    </w:p>
    <w:p w14:paraId="03711ACA">
      <w:pPr>
        <w:numPr>
          <w:ilvl w:val="0"/>
          <w:numId w:val="0"/>
        </w:numPr>
        <w:spacing w:line="370" w:lineRule="exact"/>
        <w:rPr>
          <w:rFonts w:hint="default" w:ascii="宋体" w:hAnsi="宋体" w:eastAsia="宋体" w:cs="宋体"/>
          <w:b/>
          <w:bCs/>
          <w:color w:val="000000" w:themeColor="text1"/>
          <w:spacing w:val="23"/>
          <w:kern w:val="0"/>
          <w:sz w:val="24"/>
          <w:lang w:val="en-US" w:eastAsia="zh-CN"/>
          <w14:textFill>
            <w14:solidFill>
              <w14:schemeClr w14:val="tx1"/>
            </w14:solidFill>
          </w14:textFill>
        </w:rPr>
      </w:pPr>
    </w:p>
    <w:p w14:paraId="3EA72EB4">
      <w:pPr>
        <w:keepNext w:val="0"/>
        <w:keepLines w:val="0"/>
        <w:pageBreakBefore w:val="0"/>
        <w:widowControl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七</w:t>
      </w:r>
      <w:r>
        <w:rPr>
          <w:rStyle w:val="21"/>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20</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23</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:00</w:t>
      </w:r>
    </w:p>
    <w:p w14:paraId="029D1A3A">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49214DDF">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五</w:t>
      </w:r>
      <w:r>
        <w:rPr>
          <w:rFonts w:hint="eastAsia" w:ascii="宋体" w:hAnsi="宋体" w:eastAsia="宋体" w:cs="宋体"/>
          <w:color w:val="000000" w:themeColor="text1"/>
          <w:spacing w:val="23"/>
          <w:sz w:val="24"/>
          <w14:textFill>
            <w14:solidFill>
              <w14:schemeClr w14:val="tx1"/>
            </w14:solidFill>
          </w14:textFill>
        </w:rPr>
        <w:t>）联系方式：</w:t>
      </w:r>
    </w:p>
    <w:p w14:paraId="1D777A80">
      <w:pPr>
        <w:keepNext w:val="0"/>
        <w:keepLines w:val="0"/>
        <w:pageBreakBefore w:val="0"/>
        <w:kinsoku/>
        <w:wordWrap/>
        <w:overflowPunct/>
        <w:topLinePunct w:val="0"/>
        <w:autoSpaceDE/>
        <w:autoSpaceDN/>
        <w:bidi w:val="0"/>
        <w:adjustRightInd/>
        <w:snapToGrid/>
        <w:spacing w:line="400" w:lineRule="exact"/>
        <w:ind w:firstLine="858" w:firstLineChars="300"/>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黄</w:t>
      </w:r>
      <w:r>
        <w:rPr>
          <w:rFonts w:hint="eastAsia" w:ascii="宋体" w:hAnsi="宋体" w:eastAsia="宋体" w:cs="宋体"/>
          <w:color w:val="000000" w:themeColor="text1"/>
          <w:spacing w:val="23"/>
          <w:sz w:val="24"/>
          <w14:textFill>
            <w14:solidFill>
              <w14:schemeClr w14:val="tx1"/>
            </w14:solidFill>
          </w14:textFill>
        </w:rPr>
        <w:t>老师</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124C8B1E">
      <w:pPr>
        <w:keepNext w:val="0"/>
        <w:keepLines w:val="0"/>
        <w:pageBreakBefore w:val="0"/>
        <w:kinsoku/>
        <w:wordWrap/>
        <w:overflowPunct/>
        <w:topLinePunct w:val="0"/>
        <w:autoSpaceDE/>
        <w:autoSpaceDN/>
        <w:bidi w:val="0"/>
        <w:adjustRightInd/>
        <w:snapToGrid/>
        <w:spacing w:line="400" w:lineRule="exact"/>
        <w:ind w:firstLine="858" w:firstLineChars="300"/>
        <w:textAlignment w:val="auto"/>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联系人：汪老师        联系电话：023-62896015.</w:t>
      </w:r>
    </w:p>
    <w:p w14:paraId="40B4EB08">
      <w:pPr>
        <w:keepNext w:val="0"/>
        <w:keepLines w:val="0"/>
        <w:pageBreakBefore w:val="0"/>
        <w:kinsoku/>
        <w:wordWrap/>
        <w:overflowPunct/>
        <w:topLinePunct w:val="0"/>
        <w:autoSpaceDE/>
        <w:autoSpaceDN/>
        <w:bidi w:val="0"/>
        <w:adjustRightInd/>
        <w:snapToGrid/>
        <w:spacing w:line="400" w:lineRule="exact"/>
        <w:ind w:firstLine="858" w:firstLineChars="300"/>
        <w:textAlignment w:val="auto"/>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w:t>
      </w:r>
      <w:r>
        <w:rPr>
          <w:rFonts w:hint="eastAsia" w:ascii="宋体" w:hAnsi="宋体" w:cs="宋体"/>
          <w:color w:val="000000" w:themeColor="text1"/>
          <w:spacing w:val="23"/>
          <w:sz w:val="24"/>
          <w:lang w:val="en-US" w:eastAsia="zh-CN"/>
          <w14:textFill>
            <w14:solidFill>
              <w14:schemeClr w14:val="tx1"/>
            </w14:solidFill>
          </w14:textFill>
        </w:rPr>
        <w:t>77213</w:t>
      </w:r>
      <w:r>
        <w:rPr>
          <w:rFonts w:hint="eastAsia" w:ascii="宋体" w:hAnsi="宋体" w:eastAsia="宋体" w:cs="宋体"/>
          <w:color w:val="000000" w:themeColor="text1"/>
          <w:spacing w:val="23"/>
          <w:sz w:val="24"/>
          <w14:textFill>
            <w14:solidFill>
              <w14:schemeClr w14:val="tx1"/>
            </w14:solidFill>
          </w14:textFill>
        </w:rPr>
        <w:t>（纪委办公室）</w:t>
      </w:r>
    </w:p>
    <w:p w14:paraId="1F21E297">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26BF2357">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7AF6DEC3">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3ECE7AEA">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391D2428">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color w:val="000000" w:themeColor="text1"/>
          <w:spacing w:val="23"/>
          <w:sz w:val="24"/>
          <w14:textFill>
            <w14:solidFill>
              <w14:schemeClr w14:val="tx1"/>
            </w14:solidFill>
          </w14:textFill>
        </w:rPr>
      </w:pPr>
      <w:r>
        <w:rPr>
          <w:rFonts w:hint="eastAsia" w:ascii="宋体" w:hAnsi="宋体" w:cs="宋体"/>
          <w:bCs/>
          <w:color w:val="000000" w:themeColor="text1"/>
          <w:spacing w:val="23"/>
          <w:sz w:val="24"/>
          <w:lang w:val="en-US" w:eastAsia="zh-CN"/>
          <w14:textFill>
            <w14:solidFill>
              <w14:schemeClr w14:val="tx1"/>
            </w14:solidFill>
          </w14:textFill>
        </w:rPr>
        <w:t xml:space="preserve">                                </w:t>
      </w:r>
      <w:r>
        <w:rPr>
          <w:rFonts w:hint="eastAsia" w:ascii="宋体" w:hAnsi="宋体" w:eastAsia="宋体" w:cs="宋体"/>
          <w:bCs/>
          <w:color w:val="000000" w:themeColor="text1"/>
          <w:spacing w:val="23"/>
          <w:sz w:val="24"/>
          <w14:textFill>
            <w14:solidFill>
              <w14:schemeClr w14:val="tx1"/>
            </w14:solidFill>
          </w14:textFill>
        </w:rPr>
        <w:t>重庆市第五人民医院</w:t>
      </w:r>
    </w:p>
    <w:p w14:paraId="7F61FBBD">
      <w:pPr>
        <w:spacing w:after="120" w:line="370" w:lineRule="exact"/>
        <w:ind w:right="263" w:firstLine="858" w:firstLineChars="300"/>
        <w:jc w:val="center"/>
        <w:rPr>
          <w:rFonts w:hint="eastAsia" w:ascii="Times New Roman" w:hAnsi="Times New Roman" w:eastAsia="宋体" w:cs="Times New Roman"/>
          <w:spacing w:val="23"/>
          <w:sz w:val="24"/>
          <w:szCs w:val="24"/>
          <w:lang w:eastAsia="zh-CN"/>
        </w:rPr>
      </w:pPr>
      <w:r>
        <w:rPr>
          <w:rFonts w:hint="eastAsia" w:ascii="宋体" w:hAnsi="宋体" w:cs="宋体"/>
          <w:bCs/>
          <w:color w:val="000000" w:themeColor="text1"/>
          <w:spacing w:val="23"/>
          <w:sz w:val="24"/>
          <w:lang w:val="en-US" w:eastAsia="zh-CN"/>
          <w14:textFill>
            <w14:solidFill>
              <w14:schemeClr w14:val="tx1"/>
            </w14:solidFill>
          </w14:textFill>
        </w:rPr>
        <w:t xml:space="preserve">                                  </w:t>
      </w:r>
      <w:r>
        <w:rPr>
          <w:rFonts w:hint="eastAsia" w:ascii="宋体" w:hAnsi="宋体" w:eastAsia="宋体" w:cs="宋体"/>
          <w:bCs/>
          <w:color w:val="000000" w:themeColor="text1"/>
          <w:spacing w:val="23"/>
          <w:sz w:val="24"/>
          <w14:textFill>
            <w14:solidFill>
              <w14:schemeClr w14:val="tx1"/>
            </w14:solidFill>
          </w14:textFill>
        </w:rPr>
        <w:t>202</w:t>
      </w:r>
      <w:r>
        <w:rPr>
          <w:rFonts w:hint="eastAsia" w:ascii="宋体" w:hAnsi="宋体" w:cs="宋体"/>
          <w:bCs/>
          <w:color w:val="000000" w:themeColor="text1"/>
          <w:spacing w:val="23"/>
          <w:sz w:val="24"/>
          <w:lang w:val="en-US" w:eastAsia="zh-CN"/>
          <w14:textFill>
            <w14:solidFill>
              <w14:schemeClr w14:val="tx1"/>
            </w14:solidFill>
          </w14:textFill>
        </w:rPr>
        <w:t>5</w:t>
      </w:r>
      <w:r>
        <w:rPr>
          <w:rFonts w:hint="eastAsia" w:ascii="宋体" w:hAnsi="宋体" w:eastAsia="宋体" w:cs="宋体"/>
          <w:bCs/>
          <w:color w:val="000000" w:themeColor="text1"/>
          <w:spacing w:val="23"/>
          <w:sz w:val="24"/>
          <w14:textFill>
            <w14:solidFill>
              <w14:schemeClr w14:val="tx1"/>
            </w14:solidFill>
          </w14:textFill>
        </w:rPr>
        <w:t>年</w:t>
      </w:r>
      <w:r>
        <w:rPr>
          <w:rFonts w:hint="eastAsia" w:ascii="宋体" w:hAnsi="宋体" w:cs="宋体"/>
          <w:bCs/>
          <w:color w:val="000000" w:themeColor="text1"/>
          <w:spacing w:val="23"/>
          <w:sz w:val="24"/>
          <w:lang w:val="en-US" w:eastAsia="zh-CN"/>
          <w14:textFill>
            <w14:solidFill>
              <w14:schemeClr w14:val="tx1"/>
            </w14:solidFill>
          </w14:textFill>
        </w:rPr>
        <w:t>10</w:t>
      </w:r>
      <w:r>
        <w:rPr>
          <w:rFonts w:hint="eastAsia" w:ascii="宋体" w:hAnsi="宋体" w:eastAsia="宋体" w:cs="宋体"/>
          <w:bCs/>
          <w:color w:val="000000" w:themeColor="text1"/>
          <w:spacing w:val="23"/>
          <w:sz w:val="24"/>
          <w14:textFill>
            <w14:solidFill>
              <w14:schemeClr w14:val="tx1"/>
            </w14:solidFill>
          </w14:textFill>
        </w:rPr>
        <w:t>月</w:t>
      </w:r>
      <w:r>
        <w:rPr>
          <w:rFonts w:hint="eastAsia" w:ascii="宋体" w:hAnsi="宋体" w:cs="宋体"/>
          <w:bCs/>
          <w:color w:val="000000" w:themeColor="text1"/>
          <w:spacing w:val="23"/>
          <w:sz w:val="24"/>
          <w:lang w:val="en-US" w:eastAsia="zh-CN"/>
          <w14:textFill>
            <w14:solidFill>
              <w14:schemeClr w14:val="tx1"/>
            </w14:solidFill>
          </w14:textFill>
        </w:rPr>
        <w:t>20</w:t>
      </w:r>
      <w:bookmarkStart w:id="2" w:name="_GoBack"/>
      <w:bookmarkEnd w:id="2"/>
      <w:r>
        <w:rPr>
          <w:rFonts w:hint="eastAsia" w:ascii="宋体" w:hAnsi="宋体" w:eastAsia="宋体" w:cs="宋体"/>
          <w:bCs/>
          <w:color w:val="000000" w:themeColor="text1"/>
          <w:spacing w:val="23"/>
          <w:sz w:val="24"/>
          <w14:textFill>
            <w14:solidFill>
              <w14:schemeClr w14:val="tx1"/>
            </w14:solidFill>
          </w14:textFill>
        </w:rPr>
        <w:t>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小米兰亭">
    <w:altName w:val="宋体"/>
    <w:panose1 w:val="00000000000000000000"/>
    <w:charset w:val="86"/>
    <w:family w:val="script"/>
    <w:pitch w:val="default"/>
    <w:sig w:usb0="00000000" w:usb1="00000000" w:usb2="00000036" w:usb3="00000000" w:csb0="00040000" w:csb1="00000000"/>
  </w:font>
  <w:font w:name="方正小标宋_GBK">
    <w:panose1 w:val="03000509000000000000"/>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7A5223"/>
    <w:multiLevelType w:val="singleLevel"/>
    <w:tmpl w:val="ED7A5223"/>
    <w:lvl w:ilvl="0" w:tentative="0">
      <w:start w:val="4"/>
      <w:numFmt w:val="chineseCounting"/>
      <w:suff w:val="nothing"/>
      <w:lvlText w:val="%1、"/>
      <w:lvlJc w:val="left"/>
      <w:pPr>
        <w:ind w:left="60" w:leftChars="0" w:firstLine="0" w:firstLineChars="0"/>
      </w:pPr>
      <w:rPr>
        <w:rFonts w:hint="eastAsia"/>
      </w:rPr>
    </w:lvl>
  </w:abstractNum>
  <w:abstractNum w:abstractNumId="1">
    <w:nsid w:val="4DB583B2"/>
    <w:multiLevelType w:val="singleLevel"/>
    <w:tmpl w:val="4DB583B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kNzBlMTQ3NTU0MTc2ODdhYTE0YjRkYWFhY2ZmYjI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58A9"/>
    <w:rsid w:val="00B06736"/>
    <w:rsid w:val="00B159A8"/>
    <w:rsid w:val="00B16330"/>
    <w:rsid w:val="00B31967"/>
    <w:rsid w:val="00B31F1E"/>
    <w:rsid w:val="00B354DC"/>
    <w:rsid w:val="00B365CA"/>
    <w:rsid w:val="00B40BF3"/>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07C92"/>
    <w:rsid w:val="010818DD"/>
    <w:rsid w:val="012D2791"/>
    <w:rsid w:val="013D28F9"/>
    <w:rsid w:val="01BE5B29"/>
    <w:rsid w:val="02283BC5"/>
    <w:rsid w:val="02803303"/>
    <w:rsid w:val="028532D6"/>
    <w:rsid w:val="02A46F55"/>
    <w:rsid w:val="036924AE"/>
    <w:rsid w:val="038615FD"/>
    <w:rsid w:val="03B82117"/>
    <w:rsid w:val="03CE46F6"/>
    <w:rsid w:val="03EF5F19"/>
    <w:rsid w:val="041F054D"/>
    <w:rsid w:val="045B0817"/>
    <w:rsid w:val="04780182"/>
    <w:rsid w:val="04A26E27"/>
    <w:rsid w:val="04FB33E3"/>
    <w:rsid w:val="050A7B63"/>
    <w:rsid w:val="05377B18"/>
    <w:rsid w:val="05940AC6"/>
    <w:rsid w:val="05AA41A6"/>
    <w:rsid w:val="06165963"/>
    <w:rsid w:val="06634FFF"/>
    <w:rsid w:val="06844DA3"/>
    <w:rsid w:val="06C414F7"/>
    <w:rsid w:val="06CB22FB"/>
    <w:rsid w:val="06E824F7"/>
    <w:rsid w:val="06ED3FB0"/>
    <w:rsid w:val="070F0400"/>
    <w:rsid w:val="0719154A"/>
    <w:rsid w:val="07A676A0"/>
    <w:rsid w:val="08282691"/>
    <w:rsid w:val="087B4C55"/>
    <w:rsid w:val="08AF5C62"/>
    <w:rsid w:val="08D31269"/>
    <w:rsid w:val="094B47FD"/>
    <w:rsid w:val="099C2DD2"/>
    <w:rsid w:val="09B96DEB"/>
    <w:rsid w:val="09F15B92"/>
    <w:rsid w:val="0A024381"/>
    <w:rsid w:val="0A344626"/>
    <w:rsid w:val="0AD128ED"/>
    <w:rsid w:val="0AE425CF"/>
    <w:rsid w:val="0B6409E9"/>
    <w:rsid w:val="0B6D313E"/>
    <w:rsid w:val="0B707905"/>
    <w:rsid w:val="0B8639DD"/>
    <w:rsid w:val="0B8A2D50"/>
    <w:rsid w:val="0C3C74AF"/>
    <w:rsid w:val="0C9546B7"/>
    <w:rsid w:val="0CBA524A"/>
    <w:rsid w:val="0D2210AE"/>
    <w:rsid w:val="0D2D73F1"/>
    <w:rsid w:val="0D380DF8"/>
    <w:rsid w:val="0D3C7DAF"/>
    <w:rsid w:val="0D5D20E6"/>
    <w:rsid w:val="0D767E6A"/>
    <w:rsid w:val="0D784A63"/>
    <w:rsid w:val="0E0013EF"/>
    <w:rsid w:val="0E9D7D0E"/>
    <w:rsid w:val="0F0A0699"/>
    <w:rsid w:val="0F7A6F7F"/>
    <w:rsid w:val="0F9A13CF"/>
    <w:rsid w:val="0FA222F2"/>
    <w:rsid w:val="0FD752ED"/>
    <w:rsid w:val="100E40A0"/>
    <w:rsid w:val="104E6F81"/>
    <w:rsid w:val="10B43AEA"/>
    <w:rsid w:val="10EC2015"/>
    <w:rsid w:val="10FE16DB"/>
    <w:rsid w:val="112C4612"/>
    <w:rsid w:val="1161562B"/>
    <w:rsid w:val="116D31AF"/>
    <w:rsid w:val="116D6CD9"/>
    <w:rsid w:val="119C2FA6"/>
    <w:rsid w:val="119E46F0"/>
    <w:rsid w:val="119F7732"/>
    <w:rsid w:val="11BF73C9"/>
    <w:rsid w:val="11D010D8"/>
    <w:rsid w:val="12353631"/>
    <w:rsid w:val="135D4CF4"/>
    <w:rsid w:val="13741F37"/>
    <w:rsid w:val="13C714D0"/>
    <w:rsid w:val="13C85080"/>
    <w:rsid w:val="13F6106B"/>
    <w:rsid w:val="13FA41EA"/>
    <w:rsid w:val="1416120E"/>
    <w:rsid w:val="146F398C"/>
    <w:rsid w:val="14816E61"/>
    <w:rsid w:val="14A85F1C"/>
    <w:rsid w:val="14D20B63"/>
    <w:rsid w:val="150D2889"/>
    <w:rsid w:val="152662C1"/>
    <w:rsid w:val="155D54D6"/>
    <w:rsid w:val="1568787A"/>
    <w:rsid w:val="15BC67B5"/>
    <w:rsid w:val="16062011"/>
    <w:rsid w:val="16A412E6"/>
    <w:rsid w:val="17C11460"/>
    <w:rsid w:val="17D631C0"/>
    <w:rsid w:val="17FDF48F"/>
    <w:rsid w:val="188D341A"/>
    <w:rsid w:val="18AE37F5"/>
    <w:rsid w:val="18C91813"/>
    <w:rsid w:val="18DE057F"/>
    <w:rsid w:val="1940009C"/>
    <w:rsid w:val="198E6865"/>
    <w:rsid w:val="19975A3B"/>
    <w:rsid w:val="19A06EB0"/>
    <w:rsid w:val="19A277FE"/>
    <w:rsid w:val="19EC5625"/>
    <w:rsid w:val="19F36238"/>
    <w:rsid w:val="1A9766A4"/>
    <w:rsid w:val="1AC92C13"/>
    <w:rsid w:val="1AE60B28"/>
    <w:rsid w:val="1B0659E2"/>
    <w:rsid w:val="1B2C3616"/>
    <w:rsid w:val="1B6E0E0C"/>
    <w:rsid w:val="1C151A75"/>
    <w:rsid w:val="1C220317"/>
    <w:rsid w:val="1C580E1F"/>
    <w:rsid w:val="1C717AD9"/>
    <w:rsid w:val="1C9B1A81"/>
    <w:rsid w:val="1CA90EA4"/>
    <w:rsid w:val="1CD87390"/>
    <w:rsid w:val="1CE22FF2"/>
    <w:rsid w:val="1CE85104"/>
    <w:rsid w:val="1CFB6C54"/>
    <w:rsid w:val="1CFD4F9F"/>
    <w:rsid w:val="1DDD2435"/>
    <w:rsid w:val="1E017E69"/>
    <w:rsid w:val="1E217A80"/>
    <w:rsid w:val="1E29229C"/>
    <w:rsid w:val="1E8B27B2"/>
    <w:rsid w:val="1E980803"/>
    <w:rsid w:val="1EE77A61"/>
    <w:rsid w:val="1EF44211"/>
    <w:rsid w:val="1F0252C4"/>
    <w:rsid w:val="1F47475D"/>
    <w:rsid w:val="1F5C13F9"/>
    <w:rsid w:val="1F882FF2"/>
    <w:rsid w:val="1F930A9A"/>
    <w:rsid w:val="1FB14C67"/>
    <w:rsid w:val="1FBC7210"/>
    <w:rsid w:val="201104B7"/>
    <w:rsid w:val="205773FA"/>
    <w:rsid w:val="20743577"/>
    <w:rsid w:val="20863AF3"/>
    <w:rsid w:val="20D10281"/>
    <w:rsid w:val="20E9537B"/>
    <w:rsid w:val="2154739E"/>
    <w:rsid w:val="216058A9"/>
    <w:rsid w:val="216B2BCB"/>
    <w:rsid w:val="22902B4B"/>
    <w:rsid w:val="22CB10A7"/>
    <w:rsid w:val="22D12B6E"/>
    <w:rsid w:val="22F015DA"/>
    <w:rsid w:val="23174DEE"/>
    <w:rsid w:val="238907B8"/>
    <w:rsid w:val="23B334EF"/>
    <w:rsid w:val="241333C0"/>
    <w:rsid w:val="247C11C7"/>
    <w:rsid w:val="24AD30E1"/>
    <w:rsid w:val="24D215AA"/>
    <w:rsid w:val="25037C29"/>
    <w:rsid w:val="258B6B0B"/>
    <w:rsid w:val="25B84650"/>
    <w:rsid w:val="26550716"/>
    <w:rsid w:val="26CA2142"/>
    <w:rsid w:val="26DE789F"/>
    <w:rsid w:val="274F6D66"/>
    <w:rsid w:val="27A110F5"/>
    <w:rsid w:val="27AB1443"/>
    <w:rsid w:val="2819095A"/>
    <w:rsid w:val="282A2D36"/>
    <w:rsid w:val="288B3710"/>
    <w:rsid w:val="28930E4C"/>
    <w:rsid w:val="28A1537A"/>
    <w:rsid w:val="28FC2A84"/>
    <w:rsid w:val="29164701"/>
    <w:rsid w:val="291C696D"/>
    <w:rsid w:val="29225B27"/>
    <w:rsid w:val="295B6339"/>
    <w:rsid w:val="2A097DB4"/>
    <w:rsid w:val="2A276AFE"/>
    <w:rsid w:val="2A4E308A"/>
    <w:rsid w:val="2ABA0471"/>
    <w:rsid w:val="2AE77E45"/>
    <w:rsid w:val="2B06357F"/>
    <w:rsid w:val="2B963751"/>
    <w:rsid w:val="2BB1567F"/>
    <w:rsid w:val="2BC701C9"/>
    <w:rsid w:val="2BDC7126"/>
    <w:rsid w:val="2BFC252D"/>
    <w:rsid w:val="2BFD6A74"/>
    <w:rsid w:val="2C4D508C"/>
    <w:rsid w:val="2C503913"/>
    <w:rsid w:val="2C7D37B3"/>
    <w:rsid w:val="2CE75B60"/>
    <w:rsid w:val="2DD378BF"/>
    <w:rsid w:val="2DD653C6"/>
    <w:rsid w:val="2E281528"/>
    <w:rsid w:val="2E350C2B"/>
    <w:rsid w:val="2E4A1A53"/>
    <w:rsid w:val="2E514269"/>
    <w:rsid w:val="2E5C31A5"/>
    <w:rsid w:val="2E8E1F43"/>
    <w:rsid w:val="2E94354A"/>
    <w:rsid w:val="2EA03186"/>
    <w:rsid w:val="2EC718DF"/>
    <w:rsid w:val="2ED770D5"/>
    <w:rsid w:val="2ED973C6"/>
    <w:rsid w:val="2EF20488"/>
    <w:rsid w:val="2FA960BF"/>
    <w:rsid w:val="2FE160FB"/>
    <w:rsid w:val="2FEF1616"/>
    <w:rsid w:val="2FF76BA0"/>
    <w:rsid w:val="30A92EE7"/>
    <w:rsid w:val="310060D5"/>
    <w:rsid w:val="31014018"/>
    <w:rsid w:val="3139413A"/>
    <w:rsid w:val="315716D8"/>
    <w:rsid w:val="31640A04"/>
    <w:rsid w:val="31980D96"/>
    <w:rsid w:val="31B354C8"/>
    <w:rsid w:val="31FD54BD"/>
    <w:rsid w:val="320D7B8B"/>
    <w:rsid w:val="324A5723"/>
    <w:rsid w:val="327B2543"/>
    <w:rsid w:val="328C622B"/>
    <w:rsid w:val="32967A40"/>
    <w:rsid w:val="32B136D3"/>
    <w:rsid w:val="32B56FDB"/>
    <w:rsid w:val="32D1646E"/>
    <w:rsid w:val="33677D24"/>
    <w:rsid w:val="337C47C4"/>
    <w:rsid w:val="33AE00EC"/>
    <w:rsid w:val="33BA4571"/>
    <w:rsid w:val="33CA3740"/>
    <w:rsid w:val="33F614CC"/>
    <w:rsid w:val="34330164"/>
    <w:rsid w:val="343F6E5F"/>
    <w:rsid w:val="34517140"/>
    <w:rsid w:val="3518416F"/>
    <w:rsid w:val="35927F3A"/>
    <w:rsid w:val="35F6716C"/>
    <w:rsid w:val="35F9691B"/>
    <w:rsid w:val="366074F7"/>
    <w:rsid w:val="36AF20C8"/>
    <w:rsid w:val="36DF0500"/>
    <w:rsid w:val="36F53794"/>
    <w:rsid w:val="36F92F47"/>
    <w:rsid w:val="37405047"/>
    <w:rsid w:val="37AF0839"/>
    <w:rsid w:val="37B14865"/>
    <w:rsid w:val="37DB3AA0"/>
    <w:rsid w:val="3857480D"/>
    <w:rsid w:val="38CA4224"/>
    <w:rsid w:val="38CC7030"/>
    <w:rsid w:val="391E3727"/>
    <w:rsid w:val="392074CC"/>
    <w:rsid w:val="39643170"/>
    <w:rsid w:val="39AA5AC5"/>
    <w:rsid w:val="39E906DA"/>
    <w:rsid w:val="3A08720C"/>
    <w:rsid w:val="3A2F40F5"/>
    <w:rsid w:val="3A446A24"/>
    <w:rsid w:val="3A6E4238"/>
    <w:rsid w:val="3A891C8F"/>
    <w:rsid w:val="3ABC7482"/>
    <w:rsid w:val="3AC87304"/>
    <w:rsid w:val="3ACE2959"/>
    <w:rsid w:val="3B0C0AD5"/>
    <w:rsid w:val="3B543B8A"/>
    <w:rsid w:val="3BDB1B11"/>
    <w:rsid w:val="3C9C1EDC"/>
    <w:rsid w:val="3CBB4EB5"/>
    <w:rsid w:val="3D4520CB"/>
    <w:rsid w:val="3DA522C1"/>
    <w:rsid w:val="3DC32406"/>
    <w:rsid w:val="3DE64C5E"/>
    <w:rsid w:val="3E4630DF"/>
    <w:rsid w:val="3E84497A"/>
    <w:rsid w:val="3ED276C5"/>
    <w:rsid w:val="3F0F5204"/>
    <w:rsid w:val="3F204B9F"/>
    <w:rsid w:val="3FA91B84"/>
    <w:rsid w:val="3FD633C9"/>
    <w:rsid w:val="40631A60"/>
    <w:rsid w:val="409E1740"/>
    <w:rsid w:val="40DD6FD3"/>
    <w:rsid w:val="416702A3"/>
    <w:rsid w:val="41736DA9"/>
    <w:rsid w:val="41B51A25"/>
    <w:rsid w:val="41D4397D"/>
    <w:rsid w:val="42156510"/>
    <w:rsid w:val="42204EB5"/>
    <w:rsid w:val="423A6F2D"/>
    <w:rsid w:val="426240F8"/>
    <w:rsid w:val="428B0580"/>
    <w:rsid w:val="428B30DD"/>
    <w:rsid w:val="42BE177B"/>
    <w:rsid w:val="43000262"/>
    <w:rsid w:val="43214265"/>
    <w:rsid w:val="432F17A2"/>
    <w:rsid w:val="43553AD4"/>
    <w:rsid w:val="43675256"/>
    <w:rsid w:val="43AA1AF9"/>
    <w:rsid w:val="44452BAA"/>
    <w:rsid w:val="44AE0556"/>
    <w:rsid w:val="44CC5B91"/>
    <w:rsid w:val="44FA249D"/>
    <w:rsid w:val="451444A1"/>
    <w:rsid w:val="45211AC1"/>
    <w:rsid w:val="4552494A"/>
    <w:rsid w:val="45672F7B"/>
    <w:rsid w:val="45CA2679"/>
    <w:rsid w:val="462E638F"/>
    <w:rsid w:val="465263B5"/>
    <w:rsid w:val="466D7E95"/>
    <w:rsid w:val="46806325"/>
    <w:rsid w:val="46A120DD"/>
    <w:rsid w:val="46B35424"/>
    <w:rsid w:val="47256044"/>
    <w:rsid w:val="47D7186A"/>
    <w:rsid w:val="483E6094"/>
    <w:rsid w:val="48990A9A"/>
    <w:rsid w:val="48A84580"/>
    <w:rsid w:val="48DD58AD"/>
    <w:rsid w:val="491234B2"/>
    <w:rsid w:val="4920556D"/>
    <w:rsid w:val="49B24137"/>
    <w:rsid w:val="49C64593"/>
    <w:rsid w:val="4A1C273A"/>
    <w:rsid w:val="4A45370A"/>
    <w:rsid w:val="4AA77871"/>
    <w:rsid w:val="4C4C6525"/>
    <w:rsid w:val="4C830395"/>
    <w:rsid w:val="4C8D4D26"/>
    <w:rsid w:val="4C9C7A93"/>
    <w:rsid w:val="4CB2104D"/>
    <w:rsid w:val="4CC0176E"/>
    <w:rsid w:val="4CDBD836"/>
    <w:rsid w:val="4D785BFD"/>
    <w:rsid w:val="4D8933DA"/>
    <w:rsid w:val="4DAB41CC"/>
    <w:rsid w:val="4E1B79C7"/>
    <w:rsid w:val="4EFB7043"/>
    <w:rsid w:val="4F0617A2"/>
    <w:rsid w:val="4F2955E6"/>
    <w:rsid w:val="4F3753C1"/>
    <w:rsid w:val="4F9A0054"/>
    <w:rsid w:val="4FB82BD0"/>
    <w:rsid w:val="5011793C"/>
    <w:rsid w:val="50280D96"/>
    <w:rsid w:val="505432B9"/>
    <w:rsid w:val="516C7F1D"/>
    <w:rsid w:val="51801920"/>
    <w:rsid w:val="51FE7DDD"/>
    <w:rsid w:val="521F23B3"/>
    <w:rsid w:val="5245699D"/>
    <w:rsid w:val="52A84D1B"/>
    <w:rsid w:val="52CF036C"/>
    <w:rsid w:val="53045B79"/>
    <w:rsid w:val="53135385"/>
    <w:rsid w:val="531B5950"/>
    <w:rsid w:val="532A2681"/>
    <w:rsid w:val="532D4F08"/>
    <w:rsid w:val="536E0863"/>
    <w:rsid w:val="537D2167"/>
    <w:rsid w:val="541303D5"/>
    <w:rsid w:val="54293BE3"/>
    <w:rsid w:val="543B4B25"/>
    <w:rsid w:val="543D5452"/>
    <w:rsid w:val="544E1F49"/>
    <w:rsid w:val="544E359C"/>
    <w:rsid w:val="5473776B"/>
    <w:rsid w:val="548C58E4"/>
    <w:rsid w:val="548D78E9"/>
    <w:rsid w:val="552C7CC3"/>
    <w:rsid w:val="554240AE"/>
    <w:rsid w:val="55760CC1"/>
    <w:rsid w:val="55995639"/>
    <w:rsid w:val="55E55DA1"/>
    <w:rsid w:val="5640190F"/>
    <w:rsid w:val="567C497F"/>
    <w:rsid w:val="56A26130"/>
    <w:rsid w:val="57483228"/>
    <w:rsid w:val="57F10A2D"/>
    <w:rsid w:val="57FE1127"/>
    <w:rsid w:val="58157DC2"/>
    <w:rsid w:val="58536372"/>
    <w:rsid w:val="586B1440"/>
    <w:rsid w:val="58A74308"/>
    <w:rsid w:val="58DD0FB2"/>
    <w:rsid w:val="58EE5B20"/>
    <w:rsid w:val="58FC7F21"/>
    <w:rsid w:val="591337A1"/>
    <w:rsid w:val="59296694"/>
    <w:rsid w:val="59703DE0"/>
    <w:rsid w:val="597162CA"/>
    <w:rsid w:val="5977610A"/>
    <w:rsid w:val="59EA7E2A"/>
    <w:rsid w:val="5A0E3465"/>
    <w:rsid w:val="5A146C55"/>
    <w:rsid w:val="5A3E0CA3"/>
    <w:rsid w:val="5A5D41B8"/>
    <w:rsid w:val="5A9C3F59"/>
    <w:rsid w:val="5B231347"/>
    <w:rsid w:val="5BF270BB"/>
    <w:rsid w:val="5C003602"/>
    <w:rsid w:val="5C003935"/>
    <w:rsid w:val="5C1861F9"/>
    <w:rsid w:val="5C8749F3"/>
    <w:rsid w:val="5CAE2AF6"/>
    <w:rsid w:val="5CE5663B"/>
    <w:rsid w:val="5D17511B"/>
    <w:rsid w:val="5D261DDE"/>
    <w:rsid w:val="5DB73672"/>
    <w:rsid w:val="5E5862A7"/>
    <w:rsid w:val="5E8D23CB"/>
    <w:rsid w:val="5EBB74A4"/>
    <w:rsid w:val="5F101CC4"/>
    <w:rsid w:val="5F6E73D9"/>
    <w:rsid w:val="5F7570C5"/>
    <w:rsid w:val="5F7F0ABD"/>
    <w:rsid w:val="5F963A2E"/>
    <w:rsid w:val="5FBE2B1B"/>
    <w:rsid w:val="604B45D5"/>
    <w:rsid w:val="60622947"/>
    <w:rsid w:val="60F72F01"/>
    <w:rsid w:val="60F87F0C"/>
    <w:rsid w:val="613227E2"/>
    <w:rsid w:val="61447B7B"/>
    <w:rsid w:val="61545CDD"/>
    <w:rsid w:val="619F0883"/>
    <w:rsid w:val="622A3AE1"/>
    <w:rsid w:val="624C28AA"/>
    <w:rsid w:val="62BC749F"/>
    <w:rsid w:val="63157DB7"/>
    <w:rsid w:val="633A25F5"/>
    <w:rsid w:val="63A4104A"/>
    <w:rsid w:val="64047D3A"/>
    <w:rsid w:val="64460A20"/>
    <w:rsid w:val="645025DF"/>
    <w:rsid w:val="64520109"/>
    <w:rsid w:val="64B802FA"/>
    <w:rsid w:val="657B3936"/>
    <w:rsid w:val="65CD41F4"/>
    <w:rsid w:val="65F72E67"/>
    <w:rsid w:val="66030EE1"/>
    <w:rsid w:val="66601720"/>
    <w:rsid w:val="66AA0DC1"/>
    <w:rsid w:val="66EA2E83"/>
    <w:rsid w:val="6720474D"/>
    <w:rsid w:val="6729654F"/>
    <w:rsid w:val="6813619F"/>
    <w:rsid w:val="68422D8C"/>
    <w:rsid w:val="68805914"/>
    <w:rsid w:val="68862EDD"/>
    <w:rsid w:val="688630B7"/>
    <w:rsid w:val="68BB285B"/>
    <w:rsid w:val="695B33AF"/>
    <w:rsid w:val="698E1207"/>
    <w:rsid w:val="69C93642"/>
    <w:rsid w:val="6A6E2A76"/>
    <w:rsid w:val="6AA63FD6"/>
    <w:rsid w:val="6AB56BA8"/>
    <w:rsid w:val="6B3765C5"/>
    <w:rsid w:val="6BB70C71"/>
    <w:rsid w:val="6C535DD2"/>
    <w:rsid w:val="6D0E5CCF"/>
    <w:rsid w:val="6D2D3681"/>
    <w:rsid w:val="6D344EC4"/>
    <w:rsid w:val="6D484F00"/>
    <w:rsid w:val="6D6A700F"/>
    <w:rsid w:val="6D816A63"/>
    <w:rsid w:val="6DD227A4"/>
    <w:rsid w:val="6DF928B9"/>
    <w:rsid w:val="6DFA6436"/>
    <w:rsid w:val="6E53498E"/>
    <w:rsid w:val="6E5A3A45"/>
    <w:rsid w:val="6E5C3EDE"/>
    <w:rsid w:val="6EFE3273"/>
    <w:rsid w:val="6F2A116E"/>
    <w:rsid w:val="6F715E6C"/>
    <w:rsid w:val="6FA975A6"/>
    <w:rsid w:val="6FC21926"/>
    <w:rsid w:val="6FE80AD6"/>
    <w:rsid w:val="70170DF2"/>
    <w:rsid w:val="70262C44"/>
    <w:rsid w:val="707C34E0"/>
    <w:rsid w:val="708C021B"/>
    <w:rsid w:val="70D171F6"/>
    <w:rsid w:val="70D3762A"/>
    <w:rsid w:val="70E62CA2"/>
    <w:rsid w:val="70E747E4"/>
    <w:rsid w:val="70ED2282"/>
    <w:rsid w:val="70FF1FB5"/>
    <w:rsid w:val="710918EC"/>
    <w:rsid w:val="710B53C4"/>
    <w:rsid w:val="71941DD0"/>
    <w:rsid w:val="71EB3C92"/>
    <w:rsid w:val="72072820"/>
    <w:rsid w:val="72151809"/>
    <w:rsid w:val="72173EF5"/>
    <w:rsid w:val="72C0250C"/>
    <w:rsid w:val="734A283F"/>
    <w:rsid w:val="734B7B3B"/>
    <w:rsid w:val="739410AD"/>
    <w:rsid w:val="73A54DE1"/>
    <w:rsid w:val="73BA2F09"/>
    <w:rsid w:val="73E15FEC"/>
    <w:rsid w:val="73E616C6"/>
    <w:rsid w:val="744A0DE7"/>
    <w:rsid w:val="744A4232"/>
    <w:rsid w:val="747A57EE"/>
    <w:rsid w:val="748603A1"/>
    <w:rsid w:val="74896224"/>
    <w:rsid w:val="748E1C15"/>
    <w:rsid w:val="74914D1F"/>
    <w:rsid w:val="74B55E53"/>
    <w:rsid w:val="74DA5B41"/>
    <w:rsid w:val="74E96EF2"/>
    <w:rsid w:val="7503354C"/>
    <w:rsid w:val="75452EF4"/>
    <w:rsid w:val="754C7394"/>
    <w:rsid w:val="75B34F4D"/>
    <w:rsid w:val="75C90D5F"/>
    <w:rsid w:val="75EA6E31"/>
    <w:rsid w:val="75FD3B89"/>
    <w:rsid w:val="760B2BA6"/>
    <w:rsid w:val="76351892"/>
    <w:rsid w:val="765776CF"/>
    <w:rsid w:val="76911902"/>
    <w:rsid w:val="772137DD"/>
    <w:rsid w:val="77410A62"/>
    <w:rsid w:val="774E334F"/>
    <w:rsid w:val="77876D29"/>
    <w:rsid w:val="77996EB9"/>
    <w:rsid w:val="77A34383"/>
    <w:rsid w:val="77FFB43B"/>
    <w:rsid w:val="782B0837"/>
    <w:rsid w:val="78E17561"/>
    <w:rsid w:val="78FD6F8C"/>
    <w:rsid w:val="792C4B7D"/>
    <w:rsid w:val="79331834"/>
    <w:rsid w:val="794569F6"/>
    <w:rsid w:val="795D662A"/>
    <w:rsid w:val="7A2D0D70"/>
    <w:rsid w:val="7A9A4A39"/>
    <w:rsid w:val="7ACA5B58"/>
    <w:rsid w:val="7B276F1B"/>
    <w:rsid w:val="7B413196"/>
    <w:rsid w:val="7BAE6AB2"/>
    <w:rsid w:val="7BD36518"/>
    <w:rsid w:val="7BFA360A"/>
    <w:rsid w:val="7BFFACDA"/>
    <w:rsid w:val="7C120A2D"/>
    <w:rsid w:val="7C634A0B"/>
    <w:rsid w:val="7CBA4FB3"/>
    <w:rsid w:val="7D395D1D"/>
    <w:rsid w:val="7D670130"/>
    <w:rsid w:val="7D713595"/>
    <w:rsid w:val="7D760AC1"/>
    <w:rsid w:val="7D8819DC"/>
    <w:rsid w:val="7DD16ED8"/>
    <w:rsid w:val="7E085260"/>
    <w:rsid w:val="7E352CAF"/>
    <w:rsid w:val="7E646573"/>
    <w:rsid w:val="7E910548"/>
    <w:rsid w:val="7EFE05D4"/>
    <w:rsid w:val="7F3673F5"/>
    <w:rsid w:val="7F9F184D"/>
    <w:rsid w:val="7FA05122"/>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qFormat/>
    <w:uiPriority w:val="0"/>
    <w:pPr>
      <w:keepNext/>
      <w:keepLines/>
      <w:outlineLvl w:val="0"/>
    </w:pPr>
    <w:rPr>
      <w:b/>
      <w:bCs/>
      <w:color w:val="C00000"/>
      <w:kern w:val="44"/>
      <w:sz w:val="28"/>
      <w:szCs w:val="44"/>
    </w:rPr>
  </w:style>
  <w:style w:type="paragraph" w:styleId="4">
    <w:name w:val="heading 2"/>
    <w:basedOn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qFormat/>
    <w:uiPriority w:val="0"/>
    <w:pPr>
      <w:keepNext/>
      <w:keepLines/>
      <w:spacing w:beforeLines="20" w:afterLines="20" w:line="380" w:lineRule="exact"/>
      <w:ind w:firstLine="67" w:firstLineChars="67"/>
      <w:outlineLvl w:val="2"/>
    </w:pPr>
    <w:rPr>
      <w:rFonts w:ascii="Verdana" w:hAnsi="Verdana" w:eastAsia="黑体"/>
      <w:b/>
      <w:bCs/>
      <w:sz w:val="27"/>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0"/>
    <w:pPr>
      <w:widowControl/>
      <w:tabs>
        <w:tab w:val="left" w:pos="1134"/>
      </w:tabs>
      <w:adjustRightInd w:val="0"/>
      <w:snapToGrid w:val="0"/>
      <w:spacing w:line="280" w:lineRule="atLeast"/>
      <w:jc w:val="left"/>
    </w:pPr>
    <w:rPr>
      <w:rFonts w:ascii="Times New Roman" w:hAnsi="Times New Roman" w:eastAsia="PMingLiU"/>
      <w:b/>
      <w:kern w:val="0"/>
      <w:sz w:val="24"/>
      <w:lang w:eastAsia="zh-TW"/>
    </w:rPr>
  </w:style>
  <w:style w:type="paragraph" w:styleId="6">
    <w:name w:val="annotation text"/>
    <w:basedOn w:val="1"/>
    <w:qFormat/>
    <w:uiPriority w:val="0"/>
    <w:pPr>
      <w:jc w:val="left"/>
    </w:pPr>
  </w:style>
  <w:style w:type="paragraph" w:styleId="7">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8">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9">
    <w:name w:val="Body Text Indent 2"/>
    <w:basedOn w:val="1"/>
    <w:qFormat/>
    <w:uiPriority w:val="0"/>
    <w:pPr>
      <w:snapToGrid w:val="0"/>
      <w:spacing w:line="560" w:lineRule="atLeast"/>
      <w:ind w:firstLine="540"/>
    </w:pPr>
  </w:style>
  <w:style w:type="paragraph" w:styleId="10">
    <w:name w:val="footer"/>
    <w:basedOn w:val="1"/>
    <w:link w:val="23"/>
    <w:qFormat/>
    <w:uiPriority w:val="0"/>
    <w:pPr>
      <w:tabs>
        <w:tab w:val="center" w:pos="4153"/>
        <w:tab w:val="right" w:pos="8306"/>
      </w:tabs>
      <w:snapToGrid w:val="0"/>
      <w:jc w:val="left"/>
    </w:pPr>
    <w:rPr>
      <w:sz w:val="18"/>
      <w:szCs w:val="18"/>
    </w:rPr>
  </w:style>
  <w:style w:type="paragraph" w:styleId="11">
    <w:name w:val="header"/>
    <w:basedOn w:val="1"/>
    <w:next w:val="5"/>
    <w:link w:val="24"/>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Normal (Web)"/>
    <w:basedOn w:val="1"/>
    <w:qFormat/>
    <w:uiPriority w:val="0"/>
    <w:pPr>
      <w:spacing w:before="100" w:beforeAutospacing="1" w:after="100" w:afterAutospacing="1"/>
      <w:jc w:val="left"/>
    </w:pPr>
    <w:rPr>
      <w:kern w:val="0"/>
      <w:sz w:val="24"/>
    </w:rPr>
  </w:style>
  <w:style w:type="paragraph" w:styleId="14">
    <w:name w:val="Title"/>
    <w:basedOn w:val="1"/>
    <w:next w:val="1"/>
    <w:link w:val="25"/>
    <w:qFormat/>
    <w:uiPriority w:val="0"/>
    <w:pPr>
      <w:spacing w:before="240" w:after="60"/>
      <w:jc w:val="center"/>
      <w:outlineLvl w:val="0"/>
    </w:pPr>
    <w:rPr>
      <w:rFonts w:ascii="等线 Light" w:hAnsi="等线 Light"/>
      <w:b/>
      <w:bCs/>
      <w:sz w:val="32"/>
      <w:szCs w:val="32"/>
    </w:rPr>
  </w:style>
  <w:style w:type="paragraph" w:styleId="15">
    <w:name w:val="Body Text First Indent"/>
    <w:basedOn w:val="7"/>
    <w:next w:val="16"/>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customStyle="1" w:styleId="16">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styleId="17">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9">
    <w:name w:val="Table Grid"/>
    <w:basedOn w:val="1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Hyperlink"/>
    <w:qFormat/>
    <w:uiPriority w:val="0"/>
    <w:rPr>
      <w:color w:val="0563C1"/>
      <w:u w:val="single"/>
    </w:rPr>
  </w:style>
  <w:style w:type="character" w:customStyle="1" w:styleId="23">
    <w:name w:val="页脚 字符"/>
    <w:link w:val="10"/>
    <w:qFormat/>
    <w:uiPriority w:val="0"/>
    <w:rPr>
      <w:rFonts w:ascii="Calibri" w:hAnsi="Calibri"/>
      <w:kern w:val="2"/>
      <w:sz w:val="18"/>
      <w:szCs w:val="18"/>
    </w:rPr>
  </w:style>
  <w:style w:type="character" w:customStyle="1" w:styleId="24">
    <w:name w:val="页眉 字符"/>
    <w:link w:val="11"/>
    <w:qFormat/>
    <w:uiPriority w:val="0"/>
    <w:rPr>
      <w:rFonts w:ascii="Calibri" w:hAnsi="Calibri"/>
      <w:kern w:val="2"/>
      <w:sz w:val="18"/>
      <w:szCs w:val="18"/>
    </w:rPr>
  </w:style>
  <w:style w:type="character" w:customStyle="1" w:styleId="25">
    <w:name w:val="标题 字符"/>
    <w:link w:val="14"/>
    <w:qFormat/>
    <w:uiPriority w:val="0"/>
    <w:rPr>
      <w:rFonts w:ascii="等线 Light" w:hAnsi="等线 Light" w:cs="Times New Roman"/>
      <w:b/>
      <w:bCs/>
      <w:kern w:val="2"/>
      <w:sz w:val="32"/>
      <w:szCs w:val="32"/>
    </w:rPr>
  </w:style>
  <w:style w:type="character" w:customStyle="1" w:styleId="26">
    <w:name w:val="未处理的提及1"/>
    <w:unhideWhenUsed/>
    <w:qFormat/>
    <w:uiPriority w:val="99"/>
    <w:rPr>
      <w:color w:val="605E5C"/>
      <w:shd w:val="clear" w:color="auto" w:fill="E1DFDD"/>
    </w:rPr>
  </w:style>
  <w:style w:type="paragraph" w:customStyle="1" w:styleId="27">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8">
    <w:name w:val="Other|1"/>
    <w:qFormat/>
    <w:uiPriority w:val="0"/>
    <w:pPr>
      <w:widowControl w:val="0"/>
      <w:jc w:val="both"/>
    </w:pPr>
    <w:rPr>
      <w:rFonts w:ascii="宋体" w:hAnsi="宋体" w:eastAsia="宋体" w:cs="宋体"/>
      <w:kern w:val="2"/>
      <w:lang w:val="zh-TW" w:eastAsia="zh-TW" w:bidi="zh-TW"/>
    </w:rPr>
  </w:style>
  <w:style w:type="character" w:customStyle="1" w:styleId="29">
    <w:name w:val="font11"/>
    <w:basedOn w:val="20"/>
    <w:qFormat/>
    <w:uiPriority w:val="0"/>
    <w:rPr>
      <w:rFonts w:hint="eastAsia" w:ascii="方正仿宋_GBK" w:hAnsi="方正仿宋_GBK" w:eastAsia="方正仿宋_GBK" w:cs="方正仿宋_GBK"/>
      <w:color w:val="000000"/>
      <w:sz w:val="30"/>
      <w:szCs w:val="30"/>
      <w:u w:val="none"/>
    </w:rPr>
  </w:style>
  <w:style w:type="character" w:customStyle="1" w:styleId="30">
    <w:name w:val="font21"/>
    <w:basedOn w:val="20"/>
    <w:qFormat/>
    <w:uiPriority w:val="0"/>
    <w:rPr>
      <w:rFonts w:hint="eastAsia" w:ascii="方正仿宋_GBK" w:hAnsi="方正仿宋_GBK" w:eastAsia="方正仿宋_GBK" w:cs="方正仿宋_GBK"/>
      <w:color w:val="000000"/>
      <w:sz w:val="25"/>
      <w:szCs w:val="25"/>
      <w:u w:val="none"/>
    </w:rPr>
  </w:style>
  <w:style w:type="character" w:customStyle="1" w:styleId="31">
    <w:name w:val="font31"/>
    <w:basedOn w:val="20"/>
    <w:qFormat/>
    <w:uiPriority w:val="0"/>
    <w:rPr>
      <w:rFonts w:hint="eastAsia" w:ascii="方正仿宋_GBK" w:hAnsi="方正仿宋_GBK" w:eastAsia="方正仿宋_GBK" w:cs="方正仿宋_GBK"/>
      <w:color w:val="000000"/>
      <w:sz w:val="21"/>
      <w:szCs w:val="21"/>
      <w:u w:val="none"/>
    </w:rPr>
  </w:style>
  <w:style w:type="character" w:customStyle="1" w:styleId="32">
    <w:name w:val="font41"/>
    <w:basedOn w:val="20"/>
    <w:qFormat/>
    <w:uiPriority w:val="0"/>
    <w:rPr>
      <w:rFonts w:hint="eastAsia" w:ascii="方正仿宋_GBK" w:hAnsi="方正仿宋_GBK" w:eastAsia="方正仿宋_GBK" w:cs="方正仿宋_GBK"/>
      <w:color w:val="000000"/>
      <w:sz w:val="24"/>
      <w:szCs w:val="24"/>
      <w:u w:val="none"/>
    </w:rPr>
  </w:style>
  <w:style w:type="character" w:customStyle="1" w:styleId="33">
    <w:name w:val="font81"/>
    <w:qFormat/>
    <w:uiPriority w:val="0"/>
    <w:rPr>
      <w:rFonts w:hint="default" w:ascii="Calibri" w:hAnsi="Calibri" w:cs="Calibri"/>
      <w:color w:val="000000"/>
      <w:sz w:val="21"/>
      <w:szCs w:val="21"/>
      <w:u w:val="none"/>
    </w:rPr>
  </w:style>
  <w:style w:type="character" w:customStyle="1" w:styleId="34">
    <w:name w:val="font91"/>
    <w:qFormat/>
    <w:uiPriority w:val="0"/>
    <w:rPr>
      <w:rFonts w:hint="eastAsia" w:ascii="宋体" w:hAnsi="宋体" w:eastAsia="宋体" w:cs="宋体"/>
      <w:color w:val="000000"/>
      <w:sz w:val="21"/>
      <w:szCs w:val="21"/>
      <w:u w:val="none"/>
    </w:rPr>
  </w:style>
  <w:style w:type="paragraph" w:styleId="35">
    <w:name w:val="List Paragraph"/>
    <w:basedOn w:val="1"/>
    <w:autoRedefine/>
    <w:unhideWhenUsed/>
    <w:qFormat/>
    <w:uiPriority w:val="1"/>
    <w:pPr>
      <w:spacing w:line="360" w:lineRule="auto"/>
      <w:ind w:firstLine="480" w:firstLineChars="200"/>
    </w:pPr>
    <w:rPr>
      <w:rFonts w:ascii="Calibri" w:hAnsi="Calibri" w:eastAsia="宋体" w:cs="Times New Roman"/>
    </w:rPr>
  </w:style>
  <w:style w:type="character" w:customStyle="1" w:styleId="36">
    <w:name w:val="font01"/>
    <w:basedOn w:val="20"/>
    <w:qFormat/>
    <w:uiPriority w:val="0"/>
    <w:rPr>
      <w:rFonts w:hint="eastAsia" w:ascii="宋体" w:hAnsi="宋体" w:eastAsia="宋体" w:cs="宋体"/>
      <w:color w:val="000000"/>
      <w:sz w:val="24"/>
      <w:szCs w:val="24"/>
      <w:u w:val="none"/>
    </w:rPr>
  </w:style>
  <w:style w:type="character" w:customStyle="1" w:styleId="37">
    <w:name w:val="font51"/>
    <w:basedOn w:val="20"/>
    <w:qFormat/>
    <w:uiPriority w:val="0"/>
    <w:rPr>
      <w:rFonts w:hint="eastAsia" w:ascii="微软雅黑" w:hAnsi="微软雅黑" w:eastAsia="微软雅黑" w:cs="微软雅黑"/>
      <w:color w:val="000000"/>
      <w:sz w:val="16"/>
      <w:szCs w:val="16"/>
      <w:u w:val="none"/>
    </w:rPr>
  </w:style>
  <w:style w:type="character" w:customStyle="1" w:styleId="38">
    <w:name w:val="font61"/>
    <w:basedOn w:val="20"/>
    <w:qFormat/>
    <w:uiPriority w:val="0"/>
    <w:rPr>
      <w:rFonts w:hint="eastAsia" w:ascii="微软雅黑" w:hAnsi="微软雅黑" w:eastAsia="微软雅黑" w:cs="微软雅黑"/>
      <w:color w:val="FF0000"/>
      <w:sz w:val="16"/>
      <w:szCs w:val="16"/>
      <w:u w:val="none"/>
    </w:rPr>
  </w:style>
  <w:style w:type="paragraph" w:customStyle="1" w:styleId="39">
    <w:name w:val="Table Paragraph"/>
    <w:basedOn w:val="1"/>
    <w:qFormat/>
    <w:uiPriority w:val="1"/>
    <w:pPr>
      <w:spacing w:before="99"/>
    </w:pPr>
  </w:style>
  <w:style w:type="table" w:customStyle="1" w:styleId="40">
    <w:name w:val="Table Normal"/>
    <w:semiHidden/>
    <w:unhideWhenUsed/>
    <w:qFormat/>
    <w:uiPriority w:val="2"/>
    <w:tblPr>
      <w:tblCellMar>
        <w:top w:w="0" w:type="dxa"/>
        <w:left w:w="0" w:type="dxa"/>
        <w:bottom w:w="0" w:type="dxa"/>
        <w:right w:w="0" w:type="dxa"/>
      </w:tblCellMar>
    </w:tblPr>
  </w:style>
  <w:style w:type="paragraph" w:customStyle="1" w:styleId="41">
    <w:name w:val="商务正文"/>
    <w:basedOn w:val="1"/>
    <w:qFormat/>
    <w:uiPriority w:val="0"/>
    <w:pPr>
      <w:widowControl/>
      <w:spacing w:line="480" w:lineRule="exact"/>
      <w:ind w:firstLine="200" w:firstLineChars="200"/>
    </w:pPr>
    <w:rPr>
      <w:rFonts w:ascii="小米兰亭" w:hAnsi="Calibri" w:eastAsia="小米兰亭"/>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5942</Words>
  <Characters>6444</Characters>
  <Lines>61</Lines>
  <Paragraphs>17</Paragraphs>
  <TotalTime>10</TotalTime>
  <ScaleCrop>false</ScaleCrop>
  <LinksUpToDate>false</LinksUpToDate>
  <CharactersWithSpaces>6597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黄怡君</cp:lastModifiedBy>
  <cp:lastPrinted>2023-12-18T04:44:00Z</cp:lastPrinted>
  <dcterms:modified xsi:type="dcterms:W3CDTF">2025-10-20T03:30:15Z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14FDFC770CEF4955AB423C3378B0A080_13</vt:lpwstr>
  </property>
  <property fmtid="{D5CDD505-2E9C-101B-9397-08002B2CF9AE}" pid="4" name="commondata">
    <vt:lpwstr>eyJoZGlkIjoiZTdlMDJlZjBlZDFlOThlMTFhNWFlMGFhM2RhNDAwOWIifQ==</vt:lpwstr>
  </property>
  <property fmtid="{D5CDD505-2E9C-101B-9397-08002B2CF9AE}" pid="5" name="KSOTemplateDocerSaveRecord">
    <vt:lpwstr>eyJoZGlkIjoiZmE2ODE0MWE1YjNmZTZmNDNmYmY4NzA0MTAzYmMxN2UiLCJ1c2VySWQiOiIxNjI5MTYyMTg0In0=</vt:lpwstr>
  </property>
</Properties>
</file>