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numPr>
          <w:ilvl w:val="0"/>
          <w:numId w:val="1"/>
        </w:numPr>
        <w:spacing w:line="360" w:lineRule="auto"/>
        <w:ind w:firstLineChars="0"/>
        <w:rPr>
          <w:rFonts w:ascii="宋体" w:hAnsi="宋体" w:eastAsia="宋体" w:cs="宋体"/>
          <w:b/>
          <w:sz w:val="30"/>
          <w:szCs w:val="30"/>
          <w:woUserID w:val="3"/>
        </w:rPr>
      </w:pPr>
      <w:r>
        <w:rPr>
          <w:rFonts w:hint="eastAsia" w:ascii="宋体" w:hAnsi="宋体" w:eastAsia="宋体" w:cs="宋体"/>
          <w:b/>
          <w:sz w:val="30"/>
          <w:szCs w:val="30"/>
          <w:lang w:val="en-US" w:eastAsia="zh-CN"/>
          <w:woUserID w:val="3"/>
        </w:rPr>
        <w:t>采购需求描述</w:t>
      </w:r>
    </w:p>
    <w:p>
      <w:pPr>
        <w:pStyle w:val="5"/>
        <w:numPr>
          <w:ilvl w:val="0"/>
          <w:numId w:val="0"/>
        </w:numPr>
        <w:ind w:left="0" w:leftChars="0" w:firstLine="420" w:firstLineChars="175"/>
        <w:rPr>
          <w:rFonts w:hint="default"/>
          <w:lang w:val="en-US" w:eastAsia="zh-CN"/>
        </w:rPr>
      </w:pPr>
      <w:r>
        <w:rPr>
          <w:rFonts w:hint="eastAsia"/>
          <w:lang w:val="en-US" w:eastAsia="zh-CN"/>
        </w:rPr>
        <w:t>项目背景：有2个办公点（主办公点+分支办公点），主办公点含服务器，分支办公点需要安全通道连接到主办公点，总人数约100人。</w:t>
      </w:r>
    </w:p>
    <w:p>
      <w:pPr>
        <w:outlineLvl w:val="1"/>
        <w:rPr>
          <w:rFonts w:hint="eastAsia" w:asciiTheme="minorEastAsia" w:hAnsiTheme="minorEastAsia" w:eastAsiaTheme="minorEastAsia" w:cstheme="minorEastAsia"/>
          <w:sz w:val="24"/>
          <w:szCs w:val="24"/>
        </w:rPr>
      </w:pPr>
      <w:bookmarkStart w:id="0" w:name="_Toc31215"/>
      <w:bookmarkStart w:id="1" w:name="_Toc641"/>
      <w:r>
        <w:rPr>
          <w:rFonts w:hint="eastAsia" w:asciiTheme="minorEastAsia" w:hAnsiTheme="minorEastAsia" w:eastAsiaTheme="minorEastAsia" w:cstheme="minorEastAsia"/>
          <w:sz w:val="24"/>
          <w:szCs w:val="24"/>
          <w:lang w:val="en-US" w:eastAsia="zh-CN"/>
        </w:rPr>
        <w:t>（一）边界安全防护需求​</w:t>
      </w:r>
      <w:bookmarkEnd w:id="0"/>
    </w:p>
    <w:p>
      <w:pPr>
        <w:pStyle w:val="5"/>
        <w:numPr>
          <w:ilvl w:val="0"/>
          <w:numId w:val="0"/>
        </w:numPr>
        <w:ind w:left="0" w:leftChars="0" w:firstLine="420" w:firstLineChars="175"/>
        <w:rPr>
          <w:rFonts w:hint="eastAsia"/>
          <w:lang w:val="en-US" w:eastAsia="zh-CN"/>
        </w:rPr>
      </w:pPr>
      <w:r>
        <w:rPr>
          <w:rFonts w:hint="eastAsia"/>
          <w:lang w:val="en-US" w:eastAsia="zh-CN"/>
        </w:rPr>
        <w:t>在网络出口处部署专业防火墙设备，有效抵御外部网络攻击。防火墙应具备强大的访问控制能力，能够根据源地址、目的地址、端口、协议等多种条件对网络流量进行精细过滤，阻止未经授权的访问和恶意流量进入内网。同时，具备入侵检测与防御功能，及时发现并阻断各类入侵行为，如 DDoS 攻击、端口扫描等。​</w:t>
      </w:r>
    </w:p>
    <w:bookmarkEnd w:id="1"/>
    <w:p>
      <w:pPr>
        <w:outlineLvl w:val="1"/>
        <w:rPr>
          <w:rFonts w:hint="eastAsia" w:asciiTheme="minorEastAsia" w:hAnsiTheme="minorEastAsia" w:eastAsiaTheme="minorEastAsia" w:cstheme="minorEastAsia"/>
          <w:sz w:val="24"/>
          <w:szCs w:val="24"/>
        </w:rPr>
      </w:pPr>
      <w:bookmarkStart w:id="2" w:name="_Toc18855"/>
      <w:bookmarkStart w:id="3" w:name="_Toc15527"/>
      <w:r>
        <w:rPr>
          <w:rFonts w:hint="eastAsia" w:asciiTheme="minorEastAsia" w:hAnsiTheme="minorEastAsia" w:eastAsiaTheme="minorEastAsia" w:cstheme="minorEastAsia"/>
          <w:sz w:val="24"/>
          <w:szCs w:val="24"/>
          <w:lang w:val="en-US" w:eastAsia="zh-CN"/>
        </w:rPr>
        <w:t>（二）上网行为管理需求​</w:t>
      </w:r>
      <w:bookmarkEnd w:id="2"/>
    </w:p>
    <w:p>
      <w:pPr>
        <w:pStyle w:val="5"/>
        <w:numPr>
          <w:ilvl w:val="0"/>
          <w:numId w:val="0"/>
        </w:numPr>
        <w:ind w:left="0" w:leftChars="0" w:firstLine="420" w:firstLineChars="175"/>
        <w:rPr>
          <w:rFonts w:hint="eastAsia"/>
          <w:lang w:val="en-US" w:eastAsia="zh-CN"/>
        </w:rPr>
      </w:pPr>
      <w:r>
        <w:rPr>
          <w:rFonts w:hint="eastAsia"/>
          <w:lang w:val="en-US" w:eastAsia="zh-CN"/>
        </w:rPr>
        <w:t>部署行为管理设备，提高网络资源的合理利用效率，规范员工上网行为。该设备能够对员工的上网行为进行全面审计，包括访问的网站类别、应用程序使用情况、网络流量占用等。通过制定合理的上网策略，限制员工访问与工作无关的网站和应用，防止网络资源滥用，降低因访问恶意网站带来的安全风险。​</w:t>
      </w:r>
    </w:p>
    <w:bookmarkEnd w:id="3"/>
    <w:p>
      <w:pPr>
        <w:outlineLvl w:val="1"/>
        <w:rPr>
          <w:rFonts w:hint="eastAsia" w:asciiTheme="minorEastAsia" w:hAnsiTheme="minorEastAsia" w:eastAsiaTheme="minorEastAsia" w:cstheme="minorEastAsia"/>
          <w:sz w:val="24"/>
          <w:szCs w:val="24"/>
        </w:rPr>
      </w:pPr>
      <w:bookmarkStart w:id="4" w:name="_Toc30795"/>
      <w:bookmarkStart w:id="5" w:name="_Toc16116"/>
      <w:r>
        <w:rPr>
          <w:rFonts w:hint="eastAsia" w:asciiTheme="minorEastAsia" w:hAnsiTheme="minorEastAsia" w:eastAsiaTheme="minorEastAsia" w:cstheme="minorEastAsia"/>
          <w:sz w:val="24"/>
          <w:szCs w:val="24"/>
          <w:lang w:val="en-US" w:eastAsia="zh-CN"/>
        </w:rPr>
        <w:t>（三）终端安全防护需求​</w:t>
      </w:r>
      <w:bookmarkEnd w:id="4"/>
    </w:p>
    <w:p>
      <w:pPr>
        <w:pStyle w:val="5"/>
        <w:numPr>
          <w:ilvl w:val="0"/>
          <w:numId w:val="0"/>
        </w:numPr>
        <w:ind w:left="0" w:leftChars="0" w:firstLine="420" w:firstLineChars="175"/>
        <w:rPr>
          <w:rFonts w:hint="eastAsia"/>
          <w:lang w:val="en-US" w:eastAsia="zh-CN"/>
        </w:rPr>
      </w:pPr>
      <w:r>
        <w:rPr>
          <w:rFonts w:hint="eastAsia"/>
          <w:lang w:val="en-US" w:eastAsia="zh-CN"/>
        </w:rPr>
        <w:t>安装终端安全防护软件，保障终端设备的安全，防止病毒、木马等恶意程序的入侵和传播。该软件应具备实时病毒查杀、恶意软件防护、漏洞扫描与修复、终端准入控制等功能。通过统一的管理平台，对终端设备进行集中管理和监控，及时发现并处理终端安全问题。​</w:t>
      </w:r>
    </w:p>
    <w:p>
      <w:pPr>
        <w:outlineLvl w:val="1"/>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（四）服务器安全防护</w:t>
      </w:r>
      <w:bookmarkEnd w:id="5"/>
    </w:p>
    <w:p>
      <w:pPr>
        <w:pStyle w:val="5"/>
        <w:numPr>
          <w:ilvl w:val="0"/>
          <w:numId w:val="0"/>
        </w:numPr>
        <w:ind w:left="0" w:leftChars="0" w:firstLine="420" w:firstLineChars="175"/>
        <w:rPr>
          <w:rFonts w:hint="eastAsia"/>
          <w:lang w:val="en-US" w:eastAsia="zh-CN"/>
        </w:rPr>
      </w:pPr>
      <w:r>
        <w:rPr>
          <w:rFonts w:hint="eastAsia"/>
          <w:lang w:val="en-US" w:eastAsia="zh-CN"/>
        </w:rPr>
        <w:t>安装服务器安全防护系统，保障服务器设备的安全。该软件应集成防恶意软件、webshell扫描、安全基线、防暴力破解、防火墙、入侵防御、资产管理等多个安全模块，以确保应用及数据安全。除此之外，系统提供可视化的安全管理，通过对海量访问日志数据的分析，找到异常行为、定位未知的安全威胁，帮助用户快速制定应对的安全策略。</w:t>
      </w:r>
    </w:p>
    <w:p>
      <w:pPr>
        <w:outlineLvl w:val="1"/>
        <w:rPr>
          <w:rFonts w:hint="eastAsia" w:asciiTheme="minorEastAsia" w:hAnsiTheme="minorEastAsia" w:eastAsiaTheme="minorEastAsia" w:cstheme="minorEastAsia"/>
          <w:sz w:val="24"/>
          <w:szCs w:val="24"/>
        </w:rPr>
      </w:pPr>
      <w:bookmarkStart w:id="6" w:name="_Toc19174"/>
      <w:r>
        <w:rPr>
          <w:rFonts w:hint="eastAsia" w:asciiTheme="minorEastAsia" w:hAnsiTheme="minorEastAsia" w:eastAsiaTheme="minorEastAsia" w:cstheme="minorEastAsia"/>
          <w:sz w:val="24"/>
          <w:szCs w:val="24"/>
          <w:lang w:val="en-US" w:eastAsia="zh-CN"/>
        </w:rPr>
        <w:t>（五）网络架构优化需求​</w:t>
      </w:r>
      <w:bookmarkEnd w:id="6"/>
    </w:p>
    <w:p>
      <w:pPr>
        <w:pStyle w:val="5"/>
        <w:numPr>
          <w:ilvl w:val="0"/>
          <w:numId w:val="0"/>
        </w:numPr>
        <w:ind w:left="0" w:leftChars="0" w:firstLine="420" w:firstLineChars="175"/>
        <w:rPr>
          <w:rFonts w:hint="eastAsia"/>
          <w:lang w:val="en-US" w:eastAsia="zh-CN"/>
        </w:rPr>
      </w:pPr>
      <w:r>
        <w:rPr>
          <w:rFonts w:hint="eastAsia"/>
          <w:lang w:val="en-US" w:eastAsia="zh-CN"/>
        </w:rPr>
        <w:t>建设核心交换机、网管型接入交换机，主干链路按万兆设计，将内网网关设置在核心交换机上，以实现更高效的网络流量转发和管理。核心交换机应具备高性能、高可靠性和丰富的二层、三层交换功能，支持 VLAN 划分、路由功能、链路聚合等技术，为网络的稳定运行和安全防护提供坚实的基础。​</w:t>
      </w:r>
    </w:p>
    <w:p>
      <w:pPr>
        <w:outlineLvl w:val="1"/>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六</w:t>
      </w:r>
      <w:r>
        <w:rPr>
          <w:rFonts w:hint="eastAsia" w:asciiTheme="minorEastAsia" w:hAnsiTheme="minorEastAsia" w:eastAsiaTheme="minorEastAsia" w:cstheme="minorEastAsia"/>
          <w:sz w:val="24"/>
          <w:szCs w:val="24"/>
          <w:lang w:val="en-US" w:eastAsia="zh-CN"/>
        </w:rPr>
        <w:t>）远程安全接入办公</w:t>
      </w:r>
    </w:p>
    <w:p>
      <w:pPr>
        <w:pStyle w:val="5"/>
        <w:numPr>
          <w:ilvl w:val="0"/>
          <w:numId w:val="0"/>
        </w:numPr>
        <w:ind w:left="0" w:leftChars="0" w:firstLine="420" w:firstLineChars="175"/>
        <w:rPr>
          <w:rFonts w:hint="eastAsia"/>
          <w:lang w:val="en-US" w:eastAsia="zh-CN"/>
        </w:rPr>
      </w:pPr>
      <w:r>
        <w:rPr>
          <w:rFonts w:hint="eastAsia"/>
          <w:lang w:val="en-US" w:eastAsia="zh-CN"/>
        </w:rPr>
        <w:t>部署远程办公方案（如SSLVPN），提供安全的远程接入办公环境，确保远程用户能够安全访问公司内部资源，支持详细的资源权限控制，防止数据泄露和非法访问。</w:t>
      </w:r>
    </w:p>
    <w:p>
      <w:pPr>
        <w:rPr>
          <w:rFonts w:hint="eastAsia" w:ascii="宋体" w:hAnsi="宋体" w:eastAsia="宋体" w:cs="宋体"/>
          <w:sz w:val="22"/>
          <w:szCs w:val="22"/>
        </w:rPr>
      </w:pPr>
    </w:p>
    <w:p>
      <w:pPr>
        <w:pStyle w:val="13"/>
        <w:numPr>
          <w:ilvl w:val="0"/>
          <w:numId w:val="1"/>
        </w:numPr>
        <w:spacing w:line="360" w:lineRule="auto"/>
        <w:ind w:firstLineChars="0"/>
        <w:rPr>
          <w:rFonts w:hint="default" w:ascii="宋体" w:hAnsi="宋体" w:eastAsia="宋体" w:cs="宋体"/>
          <w:b/>
          <w:sz w:val="30"/>
          <w:szCs w:val="30"/>
          <w:lang w:val="en-US" w:eastAsia="zh-CN"/>
          <w:woUserID w:val="3"/>
        </w:rPr>
      </w:pPr>
      <w:r>
        <w:rPr>
          <w:rFonts w:hint="eastAsia" w:ascii="宋体" w:hAnsi="宋体" w:eastAsia="宋体" w:cs="宋体"/>
          <w:b/>
          <w:sz w:val="30"/>
          <w:szCs w:val="30"/>
          <w:lang w:val="en-US" w:eastAsia="zh-CN"/>
          <w:woUserID w:val="3"/>
        </w:rPr>
        <w:t>技术参数</w:t>
      </w:r>
    </w:p>
    <w:p>
      <w:pPr>
        <w:pStyle w:val="13"/>
        <w:numPr>
          <w:numId w:val="0"/>
        </w:numPr>
        <w:spacing w:line="360" w:lineRule="auto"/>
        <w:ind w:leftChars="0"/>
        <w:rPr>
          <w:rFonts w:hint="default" w:ascii="宋体" w:hAnsi="宋体" w:eastAsia="宋体" w:cs="宋体"/>
          <w:b/>
          <w:sz w:val="30"/>
          <w:szCs w:val="30"/>
          <w:lang w:val="en-US" w:eastAsia="zh-CN"/>
          <w:woUserID w:val="3"/>
        </w:rPr>
      </w:pPr>
    </w:p>
    <w:p>
      <w:pPr>
        <w:pStyle w:val="8"/>
        <w:keepNext w:val="0"/>
        <w:keepLines w:val="0"/>
        <w:widowControl w:val="0"/>
        <w:suppressLineNumbers w:val="0"/>
        <w:adjustRightInd w:val="0"/>
        <w:snapToGrid w:val="0"/>
        <w:spacing w:before="0" w:beforeAutospacing="0" w:after="0" w:afterAutospacing="0" w:line="360" w:lineRule="auto"/>
        <w:ind w:left="0" w:leftChars="0" w:right="0" w:firstLine="420" w:firstLineChars="175"/>
        <w:jc w:val="both"/>
        <w:rPr>
          <w:rFonts w:hint="default" w:ascii="宋体" w:hAnsi="宋体" w:eastAsia="宋体" w:cs="宋体"/>
          <w:b/>
          <w:sz w:val="30"/>
          <w:szCs w:val="30"/>
          <w:lang w:val="en-US" w:eastAsia="zh-CN"/>
          <w:woUserID w:val="3"/>
        </w:rPr>
      </w:pPr>
      <w:r>
        <w:rPr>
          <w:rFonts w:hint="default" w:ascii="等线" w:hAnsi="等线" w:eastAsia="等线" w:cs="等线"/>
          <w:kern w:val="2"/>
          <w:sz w:val="24"/>
          <w:szCs w:val="24"/>
          <w:lang w:val="en-US" w:eastAsia="zh-CN" w:bidi="ar"/>
          <w:woUserID w:val="2"/>
        </w:rPr>
        <w:t>以下设备，投标时需要分项报价。</w:t>
      </w:r>
    </w:p>
    <w:p>
      <w:pPr>
        <w:pStyle w:val="3"/>
        <w:numPr>
          <w:ilvl w:val="0"/>
          <w:numId w:val="2"/>
        </w:numPr>
        <w:bidi w:val="0"/>
        <w:rPr>
          <w:rFonts w:hint="eastAsia"/>
          <w:lang w:val="en-US" w:eastAsia="zh-CN"/>
        </w:rPr>
      </w:pPr>
      <w:bookmarkStart w:id="7" w:name="_Toc104032719"/>
      <w:bookmarkStart w:id="8" w:name="_Toc1733403812"/>
      <w:r>
        <w:rPr>
          <w:rFonts w:hint="eastAsia"/>
          <w:lang w:val="en-US" w:eastAsia="zh-CN"/>
        </w:rPr>
        <w:t>防火墙</w:t>
      </w:r>
    </w:p>
    <w:p>
      <w:pPr>
        <w:pStyle w:val="5"/>
        <w:numPr>
          <w:ilvl w:val="0"/>
          <w:numId w:val="0"/>
        </w:numPr>
        <w:rPr>
          <w:rFonts w:hint="default"/>
          <w:b/>
          <w:bCs/>
          <w:lang w:val="en-US" w:eastAsia="zh-CN"/>
        </w:rPr>
      </w:pPr>
      <w:r>
        <w:rPr>
          <w:rFonts w:hint="eastAsia"/>
          <w:b/>
          <w:bCs/>
          <w:lang w:val="en-US" w:eastAsia="zh-CN"/>
        </w:rPr>
        <w:t>采购数量：2台，参数如下：</w:t>
      </w:r>
    </w:p>
    <w:p>
      <w:pPr>
        <w:pStyle w:val="5"/>
        <w:numPr>
          <w:ilvl w:val="0"/>
          <w:numId w:val="0"/>
        </w:numPr>
        <w:rPr>
          <w:rFonts w:hint="default"/>
          <w:lang w:eastAsia="zh-CN"/>
          <w:woUserID w:val="1"/>
        </w:rPr>
      </w:pPr>
      <w:r>
        <w:rPr>
          <w:rFonts w:hint="default"/>
          <w:lang w:val="en-US" w:eastAsia="zh-CN"/>
        </w:rPr>
        <w:t>1、网络处理能力≥</w:t>
      </w:r>
      <w:r>
        <w:rPr>
          <w:rFonts w:hint="eastAsia"/>
          <w:lang w:val="en-US" w:eastAsia="zh-CN"/>
        </w:rPr>
        <w:t>8</w:t>
      </w:r>
      <w:r>
        <w:rPr>
          <w:rFonts w:hint="default"/>
          <w:lang w:val="en-US" w:eastAsia="zh-CN"/>
        </w:rPr>
        <w:t>Gbps，并发连接≥</w:t>
      </w:r>
      <w:r>
        <w:rPr>
          <w:rFonts w:hint="eastAsia"/>
          <w:lang w:val="en-US" w:eastAsia="zh-CN"/>
        </w:rPr>
        <w:t>2</w:t>
      </w:r>
      <w:r>
        <w:rPr>
          <w:rFonts w:hint="default"/>
          <w:lang w:val="en-US" w:eastAsia="zh-CN"/>
        </w:rPr>
        <w:t>00万，每秒新建连接≥</w:t>
      </w:r>
      <w:r>
        <w:rPr>
          <w:rFonts w:hint="eastAsia"/>
          <w:lang w:val="en-US" w:eastAsia="zh-CN"/>
        </w:rPr>
        <w:t>1</w:t>
      </w:r>
      <w:r>
        <w:rPr>
          <w:rFonts w:hint="default"/>
          <w:lang w:val="en-US" w:eastAsia="zh-CN"/>
        </w:rPr>
        <w:t>0万/秒；标准配置板载≥8个10/100/1000M自适应电，≥</w:t>
      </w:r>
      <w:r>
        <w:rPr>
          <w:rFonts w:hint="eastAsia"/>
          <w:lang w:val="en-US" w:eastAsia="zh-CN"/>
        </w:rPr>
        <w:t>2</w:t>
      </w:r>
      <w:r>
        <w:rPr>
          <w:rFonts w:hint="default"/>
          <w:lang w:val="en-US" w:eastAsia="zh-CN"/>
        </w:rPr>
        <w:t>个千兆光口，≥</w:t>
      </w:r>
      <w:r>
        <w:rPr>
          <w:rFonts w:hint="eastAsia"/>
          <w:lang w:val="en-US" w:eastAsia="zh-CN"/>
        </w:rPr>
        <w:t>2</w:t>
      </w:r>
      <w:r>
        <w:rPr>
          <w:rFonts w:hint="default"/>
          <w:lang w:val="en-US" w:eastAsia="zh-CN"/>
        </w:rPr>
        <w:t>个万兆光，≥</w:t>
      </w:r>
      <w:r>
        <w:rPr>
          <w:rFonts w:hint="eastAsia"/>
          <w:lang w:val="en-US" w:eastAsia="zh-CN"/>
        </w:rPr>
        <w:t>2</w:t>
      </w:r>
      <w:r>
        <w:rPr>
          <w:rFonts w:hint="default"/>
          <w:lang w:val="en-US" w:eastAsia="zh-CN"/>
        </w:rPr>
        <w:t>个扩展槽，≥1个Console口。含≥3年硬件维保服务、≥3年IPS、防病毒、应用识别、URL过滤、威胁情报升级服务；</w:t>
      </w:r>
      <w:r>
        <w:rPr>
          <w:rFonts w:hint="default"/>
          <w:lang w:eastAsia="zh-CN"/>
          <w:woUserID w:val="1"/>
        </w:rPr>
        <w:t>IPSec VPN、SSL VPN等扩展功能模块包含每台至少10个IPSec VPN，两台总公共至少100个 SSL VPN授权。</w:t>
      </w:r>
    </w:p>
    <w:p>
      <w:pPr>
        <w:pStyle w:val="5"/>
        <w:numPr>
          <w:ilvl w:val="0"/>
          <w:numId w:val="0"/>
        </w:numPr>
        <w:rPr>
          <w:rFonts w:hint="default"/>
          <w:lang w:val="en-US" w:eastAsia="zh-CN"/>
        </w:rPr>
      </w:pPr>
      <w:r>
        <w:rPr>
          <w:rFonts w:hint="default"/>
          <w:lang w:val="en-US" w:eastAsia="zh-CN"/>
        </w:rPr>
        <w:t>2、支持MPLS流量透传；支持针对MPLS流量的安全审查，包括漏洞防护、反病毒、间谍软件防护、内容过滤、URL过滤、基于终端状态访问控制等安全防护功能；</w:t>
      </w:r>
    </w:p>
    <w:p>
      <w:pPr>
        <w:pStyle w:val="5"/>
        <w:numPr>
          <w:ilvl w:val="0"/>
          <w:numId w:val="0"/>
        </w:numPr>
        <w:rPr>
          <w:rFonts w:hint="default"/>
          <w:lang w:val="en-US" w:eastAsia="zh-CN"/>
        </w:rPr>
      </w:pPr>
      <w:r>
        <w:rPr>
          <w:rFonts w:hint="default"/>
          <w:lang w:val="en-US" w:eastAsia="zh-CN"/>
        </w:rPr>
        <w:t>★3、支持MTU≥9000byte的巨型帧Jumbo Frame （提供能够体现上述功能的配置截图并加盖投标人公章）；</w:t>
      </w:r>
    </w:p>
    <w:p>
      <w:pPr>
        <w:pStyle w:val="5"/>
        <w:numPr>
          <w:ilvl w:val="0"/>
          <w:numId w:val="0"/>
        </w:numPr>
        <w:rPr>
          <w:rFonts w:hint="default"/>
          <w:lang w:val="en-US" w:eastAsia="zh-CN"/>
        </w:rPr>
      </w:pPr>
      <w:r>
        <w:rPr>
          <w:rFonts w:hint="default"/>
          <w:lang w:val="en-US" w:eastAsia="zh-CN"/>
        </w:rPr>
        <w:t>4、产品必须支持在源地址转换过程中，对SNAT（源地址转换）使用的地址池利用率进行监控，并在地址池利用率超过阈值时，通过SNMP Trap、邮件等方式告警；</w:t>
      </w:r>
    </w:p>
    <w:p>
      <w:pPr>
        <w:pStyle w:val="5"/>
        <w:numPr>
          <w:ilvl w:val="0"/>
          <w:numId w:val="0"/>
        </w:numPr>
        <w:rPr>
          <w:rFonts w:hint="default"/>
          <w:lang w:val="en-US" w:eastAsia="zh-CN"/>
        </w:rPr>
      </w:pPr>
      <w:r>
        <w:rPr>
          <w:rFonts w:hint="default"/>
          <w:lang w:val="en-US" w:eastAsia="zh-CN"/>
        </w:rPr>
        <w:t>5、产品必须支持DS-Lite CPE B4功能，支持成为b4或aftr角色，支持从DHCPv6服务器或手动方式获取AFTR参数；</w:t>
      </w:r>
    </w:p>
    <w:p>
      <w:pPr>
        <w:pStyle w:val="5"/>
        <w:numPr>
          <w:ilvl w:val="0"/>
          <w:numId w:val="0"/>
        </w:numPr>
        <w:rPr>
          <w:rFonts w:hint="default"/>
          <w:lang w:val="en-US" w:eastAsia="zh-CN"/>
        </w:rPr>
      </w:pPr>
      <w:r>
        <w:rPr>
          <w:rFonts w:hint="default"/>
          <w:lang w:val="en-US" w:eastAsia="zh-CN"/>
        </w:rPr>
        <w:t>6、产品必须支持共享上网检测功能，支持共享接入检测和共享接入管控功能，可以通过设置管控地址和例外地址优化管控功能，同时支持阻断或告警动作；</w:t>
      </w:r>
    </w:p>
    <w:p>
      <w:pPr>
        <w:pStyle w:val="5"/>
        <w:numPr>
          <w:ilvl w:val="0"/>
          <w:numId w:val="0"/>
        </w:numPr>
        <w:rPr>
          <w:rFonts w:hint="default"/>
          <w:lang w:val="en-US" w:eastAsia="zh-CN"/>
        </w:rPr>
      </w:pPr>
      <w:r>
        <w:rPr>
          <w:rFonts w:hint="default"/>
          <w:lang w:val="en-US" w:eastAsia="zh-CN"/>
        </w:rPr>
        <w:t>★7、产品支持灵活的服务链编排功能，支持串接链和旁路链，支持网元组的方向和位置设置。（提供能够体现上述功能的配置截图并加盖投标人公章）；</w:t>
      </w:r>
    </w:p>
    <w:p>
      <w:pPr>
        <w:pStyle w:val="5"/>
        <w:numPr>
          <w:ilvl w:val="0"/>
          <w:numId w:val="0"/>
        </w:numPr>
        <w:rPr>
          <w:rFonts w:hint="default"/>
          <w:lang w:val="en-US" w:eastAsia="zh-CN"/>
        </w:rPr>
      </w:pPr>
      <w:r>
        <w:rPr>
          <w:rFonts w:hint="default"/>
          <w:lang w:val="en-US" w:eastAsia="zh-CN"/>
        </w:rPr>
        <w:t>8、产品支持灵活的细粒度引流策略，可基于源安全域、目的安全域、源用户、源地址、目的地址、服务、VLAN、服务链、流量方向（内网到外网/外网到内网）的引流策略，并详细记录日志。</w:t>
      </w:r>
    </w:p>
    <w:p>
      <w:pPr>
        <w:pStyle w:val="5"/>
        <w:numPr>
          <w:ilvl w:val="0"/>
          <w:numId w:val="0"/>
        </w:numPr>
        <w:rPr>
          <w:rFonts w:hint="default"/>
          <w:lang w:val="en-US" w:eastAsia="zh-CN"/>
        </w:rPr>
      </w:pPr>
      <w:r>
        <w:rPr>
          <w:rFonts w:hint="default"/>
          <w:lang w:val="en-US" w:eastAsia="zh-CN"/>
        </w:rPr>
        <w:t>★9、支持WEB攻击防护，包含防扫描、HTTP 异常防护、SQL 注入攻击、跨站脚本攻击、命令执行攻击、代码执行攻击、目录遍历攻击、敏感信息泄露、webshell 防护、HTTP行为管控、HTTP Flood 攻击防护、WAF 动态防护、Web 浏览病毒页面重新定向、Web 漏洞攻击防护等功能（提供能够体现上述功能的配置截图并加盖投标人公章）；</w:t>
      </w:r>
    </w:p>
    <w:p>
      <w:pPr>
        <w:pStyle w:val="5"/>
        <w:numPr>
          <w:ilvl w:val="0"/>
          <w:numId w:val="0"/>
        </w:numPr>
        <w:rPr>
          <w:rFonts w:hint="default"/>
          <w:lang w:val="en-US" w:eastAsia="zh-CN"/>
        </w:rPr>
      </w:pPr>
      <w:r>
        <w:rPr>
          <w:rFonts w:hint="default"/>
          <w:lang w:val="en-US" w:eastAsia="zh-CN"/>
        </w:rPr>
        <w:t>★10、支持SSL解密功能，解密后的数据会进入到高级功能中进行扫描，用以实现加密流量的安全防护，（提供能够体现上述功能的配置截图并加盖投标人公章）；</w:t>
      </w:r>
    </w:p>
    <w:p>
      <w:pPr>
        <w:pStyle w:val="5"/>
        <w:numPr>
          <w:ilvl w:val="0"/>
          <w:numId w:val="0"/>
        </w:numPr>
        <w:ind w:firstLine="420" w:firstLineChars="0"/>
        <w:rPr>
          <w:rFonts w:hint="default"/>
          <w:lang w:val="en-US" w:eastAsia="zh-CN"/>
        </w:rPr>
      </w:pPr>
      <w:r>
        <w:rPr>
          <w:rFonts w:hint="default" w:ascii="Times New Roman" w:hAnsi="Times New Roman" w:eastAsia="宋体" w:cs="Times New Roman"/>
          <w:kern w:val="2"/>
          <w:sz w:val="24"/>
          <w:lang w:val="en-US" w:eastAsia="zh-CN" w:bidi="ar-SA"/>
        </w:rPr>
        <w:t>11、</w:t>
      </w:r>
      <w:r>
        <w:rPr>
          <w:rFonts w:hint="default"/>
          <w:lang w:val="en-US" w:eastAsia="zh-CN"/>
        </w:rPr>
        <w:t>产品支持将告警信息以SNMP Trap、邮件、声音、短信等形式通知管理员，告警信息的范围至少包括配置变更、病毒事件、攻击事件、异常事件、失陷主机告警、并发数告警、CPU利用率、内存利用率、硬盘利用率、接口带宽利用率、NAT端口池利用率等；</w:t>
      </w:r>
    </w:p>
    <w:p>
      <w:pPr>
        <w:pStyle w:val="3"/>
        <w:numPr>
          <w:ilvl w:val="0"/>
          <w:numId w:val="0"/>
        </w:numPr>
        <w:bidi w:val="0"/>
        <w:rPr>
          <w:rFonts w:hint="eastAsia"/>
          <w:lang w:val="en-US" w:eastAsia="zh-CN"/>
        </w:rPr>
      </w:pPr>
      <w:r>
        <w:rPr>
          <w:rFonts w:hint="eastAsia"/>
          <w:lang w:val="en-US" w:eastAsia="zh-CN"/>
        </w:rPr>
        <w:t>(二)上网行为管理</w:t>
      </w:r>
    </w:p>
    <w:p>
      <w:pPr>
        <w:pStyle w:val="5"/>
        <w:numPr>
          <w:ilvl w:val="0"/>
          <w:numId w:val="0"/>
        </w:numPr>
        <w:rPr>
          <w:rFonts w:hint="eastAsia"/>
          <w:lang w:val="en-US" w:eastAsia="zh-CN"/>
        </w:rPr>
      </w:pPr>
      <w:r>
        <w:rPr>
          <w:rFonts w:hint="eastAsia"/>
          <w:b/>
          <w:bCs/>
          <w:lang w:val="en-US" w:eastAsia="zh-CN"/>
        </w:rPr>
        <w:t>采购数量：1台，参数如下：</w:t>
      </w:r>
    </w:p>
    <w:p>
      <w:pPr>
        <w:pStyle w:val="5"/>
        <w:numPr>
          <w:ilvl w:val="0"/>
          <w:numId w:val="0"/>
        </w:numPr>
        <w:rPr>
          <w:rFonts w:hint="eastAsia"/>
          <w:lang w:val="en-US" w:eastAsia="zh-CN"/>
        </w:rPr>
      </w:pPr>
      <w:r>
        <w:rPr>
          <w:rFonts w:hint="eastAsia"/>
          <w:lang w:val="en-US" w:eastAsia="zh-CN"/>
        </w:rPr>
        <w:t>1、带宽性能≥120M；网络处理能力≥2Gbps，最大并发连接数为≥16万，最大新建连接数为≥3500/秒；标准1U机箱；配置≥6个千兆电接口，≥1个扩展槽，≥1T机械硬盘；含≥3年硬件维保服务、≥3年特征库升级服务；</w:t>
      </w:r>
    </w:p>
    <w:p>
      <w:pPr>
        <w:pStyle w:val="5"/>
        <w:numPr>
          <w:ilvl w:val="0"/>
          <w:numId w:val="0"/>
        </w:numPr>
        <w:rPr>
          <w:rFonts w:hint="eastAsia"/>
          <w:lang w:val="en-US" w:eastAsia="zh-CN"/>
        </w:rPr>
      </w:pPr>
      <w:r>
        <w:rPr>
          <w:rFonts w:hint="eastAsia"/>
          <w:lang w:val="en-US" w:eastAsia="zh-CN"/>
        </w:rPr>
        <w:t>2、所投产品支持网关模式、镜像模式和网桥模式部署；</w:t>
      </w:r>
    </w:p>
    <w:p>
      <w:pPr>
        <w:pStyle w:val="5"/>
        <w:numPr>
          <w:ilvl w:val="0"/>
          <w:numId w:val="0"/>
        </w:numPr>
        <w:rPr>
          <w:rFonts w:hint="eastAsia"/>
          <w:lang w:val="en-US" w:eastAsia="zh-CN"/>
        </w:rPr>
      </w:pPr>
      <w:r>
        <w:rPr>
          <w:rFonts w:hint="eastAsia"/>
          <w:lang w:val="en-US" w:eastAsia="zh-CN"/>
        </w:rPr>
        <w:t>★3、设备必须提供物理硬件bypass按钮，便于设备巡检、设备故障时管理员无需重启、关机、断电即可恢复网络通畅。（提供能够体现上述功能的配置截图并加盖投标人公章）；</w:t>
      </w:r>
    </w:p>
    <w:p>
      <w:pPr>
        <w:pStyle w:val="5"/>
        <w:numPr>
          <w:ilvl w:val="0"/>
          <w:numId w:val="0"/>
        </w:numPr>
        <w:rPr>
          <w:rFonts w:hint="eastAsia"/>
          <w:lang w:val="en-US" w:eastAsia="zh-CN"/>
        </w:rPr>
      </w:pPr>
      <w:r>
        <w:rPr>
          <w:rFonts w:hint="eastAsia"/>
          <w:lang w:val="en-US" w:eastAsia="zh-CN"/>
        </w:rPr>
        <w:t>4、能够实时提供在线用户趋势、设备流速趋势、用户流量排名、应用流量排名、用户实时流量和应用实时流量等信息；</w:t>
      </w:r>
    </w:p>
    <w:p>
      <w:pPr>
        <w:pStyle w:val="5"/>
        <w:numPr>
          <w:ilvl w:val="0"/>
          <w:numId w:val="0"/>
        </w:numPr>
        <w:rPr>
          <w:rFonts w:hint="eastAsia"/>
          <w:lang w:val="en-US" w:eastAsia="zh-CN"/>
        </w:rPr>
      </w:pPr>
      <w:r>
        <w:rPr>
          <w:rFonts w:hint="eastAsia"/>
          <w:lang w:val="en-US" w:eastAsia="zh-CN"/>
        </w:rPr>
        <w:t>5、可以对下载工具、视频播放、网络游戏、金融理财、即时消息、移动应用有独立的分类进行识别控制；</w:t>
      </w:r>
    </w:p>
    <w:p>
      <w:pPr>
        <w:pStyle w:val="5"/>
        <w:numPr>
          <w:ilvl w:val="0"/>
          <w:numId w:val="0"/>
        </w:numPr>
        <w:rPr>
          <w:rFonts w:hint="eastAsia"/>
          <w:lang w:val="en-US" w:eastAsia="zh-CN"/>
        </w:rPr>
      </w:pPr>
      <w:r>
        <w:rPr>
          <w:rFonts w:hint="eastAsia"/>
          <w:lang w:val="en-US" w:eastAsia="zh-CN"/>
        </w:rPr>
        <w:t>★6、支持通过主动探测和被动识别的方式实现网络中设备资产以及数字资产的发现与管理。（提供能够体现上述功能的配置截图并加盖投标人公章）。</w:t>
      </w:r>
    </w:p>
    <w:p>
      <w:pPr>
        <w:pStyle w:val="5"/>
        <w:numPr>
          <w:ilvl w:val="0"/>
          <w:numId w:val="0"/>
        </w:numPr>
        <w:rPr>
          <w:rFonts w:hint="eastAsia"/>
          <w:lang w:val="en-US" w:eastAsia="zh-CN"/>
        </w:rPr>
      </w:pPr>
      <w:r>
        <w:rPr>
          <w:rFonts w:hint="eastAsia"/>
          <w:lang w:val="en-US" w:eastAsia="zh-CN"/>
        </w:rPr>
        <w:t>★7、支持Web访问质量监测功能，可对监测对象的Web 访问质量实时监测，对当前网络诊断的结果进行评级。（提供能够体现上述功能的配置截图并加盖投标人公章）</w:t>
      </w:r>
    </w:p>
    <w:p>
      <w:pPr>
        <w:pStyle w:val="5"/>
        <w:numPr>
          <w:ilvl w:val="0"/>
          <w:numId w:val="0"/>
        </w:numPr>
        <w:rPr>
          <w:rFonts w:hint="eastAsia"/>
          <w:lang w:val="en-US" w:eastAsia="zh-CN"/>
        </w:rPr>
      </w:pPr>
      <w:r>
        <w:rPr>
          <w:rFonts w:hint="eastAsia"/>
          <w:lang w:val="en-US" w:eastAsia="zh-CN"/>
        </w:rPr>
        <w:t>8、根据URL库及URL关键字进行网址访问管理，一条策略实现阻断、记录、告警，方便维护；</w:t>
      </w:r>
    </w:p>
    <w:p>
      <w:pPr>
        <w:pStyle w:val="5"/>
        <w:numPr>
          <w:ilvl w:val="0"/>
          <w:numId w:val="0"/>
        </w:numPr>
        <w:rPr>
          <w:rFonts w:hint="eastAsia"/>
          <w:lang w:val="en-US" w:eastAsia="zh-CN"/>
        </w:rPr>
      </w:pPr>
      <w:r>
        <w:rPr>
          <w:rFonts w:hint="eastAsia"/>
          <w:lang w:val="en-US" w:eastAsia="zh-CN"/>
        </w:rPr>
        <w:t>9、支持多级虚拟通道，可以将物理带宽分成至少7级虚拟通道，合理分配物理带宽资源；可以限制P2P、视频等大流量应用的最大带宽上限，减少带宽的浪费；</w:t>
      </w:r>
    </w:p>
    <w:p>
      <w:pPr>
        <w:pStyle w:val="5"/>
        <w:numPr>
          <w:ilvl w:val="0"/>
          <w:numId w:val="0"/>
        </w:numPr>
        <w:rPr>
          <w:rFonts w:hint="eastAsia"/>
          <w:lang w:val="en-US" w:eastAsia="zh-CN"/>
        </w:rPr>
      </w:pPr>
      <w:r>
        <w:rPr>
          <w:rFonts w:hint="eastAsia"/>
          <w:lang w:val="en-US" w:eastAsia="zh-CN"/>
        </w:rPr>
        <w:t>★10、支持离线客户端审计、支持最大缓存大小、最长缓存时间设置。（提供能够体现上述功能的配置截图并加盖投标人公章）；</w:t>
      </w:r>
    </w:p>
    <w:p>
      <w:pPr>
        <w:pStyle w:val="5"/>
        <w:numPr>
          <w:ilvl w:val="0"/>
          <w:numId w:val="0"/>
        </w:numPr>
        <w:rPr>
          <w:rFonts w:hint="eastAsia"/>
          <w:lang w:val="en-US" w:eastAsia="zh-CN"/>
        </w:rPr>
      </w:pPr>
      <w:r>
        <w:rPr>
          <w:rFonts w:hint="eastAsia"/>
          <w:lang w:val="en-US" w:eastAsia="zh-CN"/>
        </w:rPr>
        <w:t>11、支持本地、LDAP、LDAPS、Radius、邮件认证、钉钉、企业微信、CAS、OAuth认证、动态口令ID联动的动态二维码认证方式的WEB认证。支持在界面上通过配置，将一台设备作为独立的认证服务器配合审计设备使用，提升认证性能。</w:t>
      </w:r>
    </w:p>
    <w:p>
      <w:pPr>
        <w:pStyle w:val="3"/>
        <w:bidi w:val="0"/>
        <w:rPr>
          <w:rFonts w:hint="eastAsia"/>
          <w:lang w:val="en-US" w:eastAsia="zh-CN"/>
        </w:rPr>
      </w:pPr>
      <w:r>
        <w:rPr>
          <w:rFonts w:hint="eastAsia"/>
          <w:lang w:val="en-US" w:eastAsia="zh-CN"/>
        </w:rPr>
        <w:t>(三)终端安全管理系统</w:t>
      </w:r>
    </w:p>
    <w:p>
      <w:pPr>
        <w:pStyle w:val="5"/>
        <w:numPr>
          <w:ilvl w:val="0"/>
          <w:numId w:val="0"/>
        </w:numPr>
        <w:rPr>
          <w:rFonts w:hint="default"/>
          <w:lang w:val="en-US" w:eastAsia="zh-CN"/>
        </w:rPr>
      </w:pPr>
      <w:r>
        <w:rPr>
          <w:rFonts w:hint="eastAsia"/>
          <w:b/>
          <w:bCs/>
          <w:lang w:val="en-US" w:eastAsia="zh-CN"/>
        </w:rPr>
        <w:t>采购数量：100套，参数如下：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1.产品采用控制端+客户端架构，通过统一控制中心实现对各客户端统一策略下发、运行管理、全网健康状态监测、统一杀毒等、统一补丁功能；客户端授权数量：≥</w:t>
      </w:r>
      <w:r>
        <w:rPr>
          <w:rFonts w:hint="eastAsia" w:ascii="宋体" w:hAnsi="宋体" w:cs="宋体"/>
          <w:sz w:val="24"/>
          <w:szCs w:val="24"/>
          <w:lang w:val="en-US" w:eastAsia="zh-CN"/>
        </w:rPr>
        <w:t>100</w:t>
      </w:r>
      <w:r>
        <w:rPr>
          <w:rFonts w:hint="eastAsia" w:ascii="宋体" w:hAnsi="宋体" w:eastAsia="宋体" w:cs="宋体"/>
          <w:sz w:val="24"/>
          <w:szCs w:val="24"/>
          <w:lang w:val="en-US" w:eastAsia="zh-CN"/>
        </w:rPr>
        <w:t>个Windows PC客户端授权；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2、支持按照终端类型/分组统计及分配管理每个功能的终端授权使用数量；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default" w:ascii="宋体" w:hAnsi="宋体" w:eastAsia="宋体" w:cs="宋体"/>
          <w:sz w:val="24"/>
          <w:szCs w:val="24"/>
          <w:lang w:val="en-US" w:eastAsia="zh-CN"/>
        </w:rPr>
        <w:t>支持不少于三个引擎混合使用，提高病毒检出率；（提供功能截图</w:t>
      </w:r>
      <w:r>
        <w:rPr>
          <w:rFonts w:hint="eastAsia" w:ascii="宋体" w:hAnsi="宋体" w:eastAsia="宋体" w:cs="宋体"/>
          <w:sz w:val="24"/>
          <w:szCs w:val="24"/>
          <w:lang w:val="en-US" w:eastAsia="zh-CN"/>
        </w:rPr>
        <w:t>并加盖投标人公章</w:t>
      </w:r>
      <w:r>
        <w:rPr>
          <w:rFonts w:hint="default" w:ascii="宋体" w:hAnsi="宋体" w:eastAsia="宋体" w:cs="宋体"/>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default" w:ascii="宋体" w:hAnsi="宋体" w:eastAsia="宋体" w:cs="宋体"/>
          <w:sz w:val="24"/>
          <w:szCs w:val="24"/>
          <w:lang w:val="en-US" w:eastAsia="zh-CN"/>
        </w:rPr>
        <w:t>支持对压缩包内的病毒扫描，支持多层压缩包的扫描，可自定义配置压缩包的扫描层数，至少大约10层模式下的扫描</w:t>
      </w:r>
      <w:r>
        <w:rPr>
          <w:rFonts w:hint="eastAsia" w:ascii="宋体" w:hAnsi="宋体" w:eastAsia="宋体" w:cs="宋体"/>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5、支持勒索病毒免疫防护，同时支持诱饵文件防护、预防勒索病毒变种；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6、支持按补丁类型和级别修复，补丁级别需包括：安全更新、重要补丁、功能补丁、可选补丁等；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7、支持主机防火墙功能，通过添加IP、域名规则、支持允许/拒绝规则、支持任意流向拦截和允许，支持TCP、UDP、TCP+UDP、ICMP、多播和组播；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8、★支持对主机磁盘、主机内存、主机引导区、移动存储介质等的病毒检测，病毒检测类型包含文件感染型病毒、宏病毒、蠕虫、木马程序、间谍软件、脚本恶意程序、后门程序、僵尸程序、勒索软件、RootKit 恶意程序、BootKit恶意程序等，病毒处理动作包含阻止、删除、隔离、清除还原等；</w:t>
      </w:r>
      <w:r>
        <w:rPr>
          <w:rFonts w:hint="default" w:ascii="宋体" w:hAnsi="宋体" w:eastAsia="宋体" w:cs="宋体"/>
          <w:sz w:val="24"/>
          <w:szCs w:val="24"/>
          <w:lang w:val="en-US" w:eastAsia="zh-CN"/>
        </w:rPr>
        <w:t>（提供功能截图</w:t>
      </w:r>
      <w:r>
        <w:rPr>
          <w:rFonts w:hint="eastAsia" w:ascii="宋体" w:hAnsi="宋体" w:eastAsia="宋体" w:cs="宋体"/>
          <w:sz w:val="24"/>
          <w:szCs w:val="24"/>
          <w:lang w:val="en-US" w:eastAsia="zh-CN"/>
        </w:rPr>
        <w:t>并加盖投标人公章</w:t>
      </w:r>
      <w:r>
        <w:rPr>
          <w:rFonts w:hint="default" w:ascii="宋体" w:hAnsi="宋体" w:eastAsia="宋体" w:cs="宋体"/>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9、★支持按照补丁的维度统计补丁安装情况，包括补丁号、系统类型、补丁类型、补丁级别、补丁名称、补丁描述、发布日期、漏洞CVE编号、漏洞CNNVD编号、未安装、已安装、已安装未生效、已排除、未更新补丁库。并支持导出统计报表。（提供相关证明材料并加盖投标人公章）</w:t>
      </w:r>
    </w:p>
    <w:p>
      <w:pPr>
        <w:pStyle w:val="3"/>
        <w:bidi w:val="0"/>
        <w:rPr>
          <w:rFonts w:hint="eastAsia" w:ascii="Times New Roman" w:hAnsi="Times New Roman" w:cs="Times New Roman"/>
          <w:b/>
          <w:lang w:val="en-US" w:eastAsia="zh-CN"/>
        </w:rPr>
      </w:pPr>
      <w:r>
        <w:rPr>
          <w:rFonts w:hint="eastAsia"/>
          <w:lang w:val="en-US" w:eastAsia="zh-CN"/>
        </w:rPr>
        <w:t>(四)</w:t>
      </w:r>
      <w:r>
        <w:rPr>
          <w:rFonts w:hint="eastAsia" w:ascii="Times New Roman" w:hAnsi="Times New Roman" w:cs="Times New Roman"/>
          <w:b/>
          <w:lang w:val="en-US" w:eastAsia="zh-CN"/>
        </w:rPr>
        <w:t>服务器安全管理系统</w:t>
      </w:r>
    </w:p>
    <w:p>
      <w:pPr>
        <w:pStyle w:val="5"/>
        <w:numPr>
          <w:ilvl w:val="0"/>
          <w:numId w:val="0"/>
        </w:numPr>
        <w:rPr>
          <w:rFonts w:hint="eastAsia"/>
          <w:lang w:val="en-US" w:eastAsia="zh-CN"/>
        </w:rPr>
      </w:pPr>
      <w:r>
        <w:rPr>
          <w:rFonts w:hint="eastAsia"/>
          <w:b/>
          <w:bCs/>
          <w:lang w:val="en-US" w:eastAsia="zh-CN"/>
        </w:rPr>
        <w:t>采购数量：4套，参数如下：</w:t>
      </w:r>
    </w:p>
    <w:p>
      <w:pPr>
        <w:pStyle w:val="5"/>
        <w:numPr>
          <w:ilvl w:val="0"/>
          <w:numId w:val="0"/>
        </w:numPr>
        <w:rPr>
          <w:rFonts w:hint="eastAsia"/>
          <w:lang w:val="en-US" w:eastAsia="zh-CN"/>
        </w:rPr>
      </w:pPr>
      <w:r>
        <w:rPr>
          <w:rFonts w:hint="eastAsia"/>
          <w:lang w:val="en-US" w:eastAsia="zh-CN"/>
        </w:rPr>
        <w:t>1、产品需支持有代理部署模式，支持按照服务器物理CPU模式授权和按客户端授权两种授权模式，并且支持两种授权模式统一管理；</w:t>
      </w:r>
    </w:p>
    <w:p>
      <w:pPr>
        <w:pStyle w:val="5"/>
        <w:numPr>
          <w:ilvl w:val="0"/>
          <w:numId w:val="0"/>
        </w:numPr>
        <w:rPr>
          <w:rFonts w:hint="eastAsia"/>
          <w:lang w:val="en-US" w:eastAsia="zh-CN"/>
        </w:rPr>
      </w:pPr>
      <w:r>
        <w:rPr>
          <w:rFonts w:hint="eastAsia"/>
          <w:lang w:val="en-US" w:eastAsia="zh-CN"/>
        </w:rPr>
        <w:t>2、支持一套管控中心统一管理，包括物理服务器、虚拟服务器统一管理；Windows、Linux、信创操作系统统一管理；私有云、公有云环境统一管理；投标产品在Windows、Linux、信创操作系统环境中提供的安全能力需保持一致；</w:t>
      </w:r>
    </w:p>
    <w:p>
      <w:pPr>
        <w:pStyle w:val="5"/>
        <w:numPr>
          <w:ilvl w:val="0"/>
          <w:numId w:val="0"/>
        </w:numPr>
        <w:rPr>
          <w:rFonts w:hint="eastAsia"/>
          <w:lang w:val="en-US" w:eastAsia="zh-CN"/>
        </w:rPr>
      </w:pPr>
      <w:r>
        <w:rPr>
          <w:rFonts w:hint="eastAsia"/>
          <w:lang w:val="en-US" w:eastAsia="zh-CN"/>
        </w:rPr>
        <w:t>3、提供十五类资产的清点能力，包括服务器资产、账号资产、端口资产、网络连接、进程资产、软件应用、web服务、web站点、数据库、Jar包、系统安装包、启动服务、计划任务、环境变量、内核模块；</w:t>
      </w:r>
    </w:p>
    <w:p>
      <w:pPr>
        <w:pStyle w:val="5"/>
        <w:numPr>
          <w:ilvl w:val="0"/>
          <w:numId w:val="0"/>
        </w:numPr>
        <w:rPr>
          <w:rFonts w:hint="eastAsia"/>
          <w:lang w:val="en-US" w:eastAsia="zh-CN"/>
        </w:rPr>
      </w:pPr>
      <w:r>
        <w:rPr>
          <w:rFonts w:hint="eastAsia"/>
          <w:lang w:val="en-US" w:eastAsia="zh-CN"/>
        </w:rPr>
        <w:t>4、</w:t>
      </w:r>
      <w:r>
        <w:rPr>
          <w:rFonts w:hint="eastAsia" w:ascii="宋体" w:hAnsi="宋体" w:eastAsia="宋体" w:cs="宋体"/>
          <w:sz w:val="24"/>
          <w:szCs w:val="24"/>
          <w:lang w:val="en-US" w:eastAsia="zh-CN"/>
        </w:rPr>
        <w:t>★</w:t>
      </w:r>
      <w:r>
        <w:rPr>
          <w:rFonts w:hint="eastAsia"/>
          <w:lang w:val="en-US" w:eastAsia="zh-CN"/>
        </w:rPr>
        <w:t>采用主动的方式进行自动化病毒查杀，支持多引擎联动防护Bitdefender、QOWL、云查杀等，支持自定义灵活开启或停用防病毒引擎；支持自定义病毒文件隔离、删除、修复、监控多种处理方式。提供自定义防护等级控制可避免启动风暴和查杀风暴；（提供相关证明材料并加盖投标人公章）</w:t>
      </w:r>
    </w:p>
    <w:p>
      <w:pPr>
        <w:pStyle w:val="5"/>
        <w:numPr>
          <w:ilvl w:val="0"/>
          <w:numId w:val="0"/>
        </w:numPr>
        <w:rPr>
          <w:rFonts w:hint="eastAsia"/>
          <w:lang w:val="en-US" w:eastAsia="zh-CN"/>
        </w:rPr>
      </w:pPr>
      <w:r>
        <w:rPr>
          <w:rFonts w:hint="eastAsia"/>
          <w:lang w:val="en-US" w:eastAsia="zh-CN"/>
        </w:rPr>
        <w:t>5、支持增强引擎和人工智能引擎；</w:t>
      </w:r>
    </w:p>
    <w:p>
      <w:pPr>
        <w:pStyle w:val="5"/>
        <w:numPr>
          <w:ilvl w:val="0"/>
          <w:numId w:val="0"/>
        </w:numPr>
        <w:rPr>
          <w:rFonts w:hint="eastAsia"/>
          <w:lang w:val="en-US" w:eastAsia="zh-CN"/>
        </w:rPr>
      </w:pPr>
      <w:r>
        <w:rPr>
          <w:rFonts w:hint="eastAsia"/>
          <w:lang w:val="en-US" w:eastAsia="zh-CN"/>
        </w:rPr>
        <w:t>6、支持webshell实时防护及定期扫描两种方式，支持webshell扫描路径设置，系统需具有webshell扫描引擎功能，支持PHP、JSP、ASP、ASPX等文件的恶意webshell检测，支持对webshell文件设定白名单，支持对文件进行下载、隔离、恢复加白操作，避免对网站核心系统文件造成影响；</w:t>
      </w:r>
    </w:p>
    <w:p>
      <w:pPr>
        <w:pStyle w:val="5"/>
        <w:numPr>
          <w:ilvl w:val="0"/>
          <w:numId w:val="0"/>
        </w:numPr>
        <w:rPr>
          <w:rFonts w:hint="eastAsia"/>
          <w:lang w:val="en-US" w:eastAsia="zh-CN"/>
        </w:rPr>
      </w:pPr>
      <w:r>
        <w:rPr>
          <w:rFonts w:hint="eastAsia"/>
          <w:lang w:val="en-US" w:eastAsia="zh-CN"/>
        </w:rPr>
        <w:t>7、针对Windows和Linux操作系统提供安全基线检查功能，系统应内置多种基线模版，包括但不限于CIS安全基线、支持等保二级、等保三级基线检查、支持系统配置与服务核查、支持账户安全、应用配置检查等；</w:t>
      </w:r>
    </w:p>
    <w:p>
      <w:pPr>
        <w:pStyle w:val="5"/>
        <w:numPr>
          <w:ilvl w:val="0"/>
          <w:numId w:val="0"/>
        </w:numPr>
        <w:rPr>
          <w:rFonts w:hint="eastAsia"/>
          <w:lang w:val="en-US" w:eastAsia="zh-CN"/>
        </w:rPr>
      </w:pPr>
      <w:r>
        <w:rPr>
          <w:rFonts w:hint="eastAsia"/>
          <w:lang w:val="en-US" w:eastAsia="zh-CN"/>
        </w:rPr>
        <w:t>8、报表模板内置50+安全报表内容模块，用户可根据需求自定义勾选安全报表包含内容。</w:t>
      </w:r>
    </w:p>
    <w:p>
      <w:pPr>
        <w:pStyle w:val="3"/>
        <w:bidi w:val="0"/>
        <w:rPr>
          <w:rFonts w:hint="eastAsia" w:ascii="Times New Roman" w:hAnsi="Times New Roman" w:cs="Times New Roman"/>
          <w:b/>
          <w:lang w:val="en-US" w:eastAsia="zh-CN"/>
        </w:rPr>
      </w:pPr>
      <w:r>
        <w:rPr>
          <w:rFonts w:hint="eastAsia"/>
          <w:lang w:val="en-US" w:eastAsia="zh-CN"/>
        </w:rPr>
        <w:t>(五)</w:t>
      </w:r>
      <w:r>
        <w:rPr>
          <w:rFonts w:hint="eastAsia" w:ascii="Times New Roman" w:hAnsi="Times New Roman" w:cs="Times New Roman"/>
          <w:b/>
          <w:lang w:val="en-US" w:eastAsia="zh-CN"/>
        </w:rPr>
        <w:t>核心交换机</w:t>
      </w:r>
    </w:p>
    <w:p>
      <w:pPr>
        <w:pStyle w:val="5"/>
        <w:numPr>
          <w:ilvl w:val="0"/>
          <w:numId w:val="0"/>
        </w:numPr>
        <w:rPr>
          <w:rFonts w:hint="default"/>
          <w:lang w:val="en-US" w:eastAsia="zh-CN"/>
        </w:rPr>
      </w:pPr>
      <w:r>
        <w:rPr>
          <w:rFonts w:hint="eastAsia"/>
          <w:b/>
          <w:bCs/>
          <w:lang w:val="en-US" w:eastAsia="zh-CN"/>
        </w:rPr>
        <w:t>采购数量：1台，参数如下：</w:t>
      </w:r>
    </w:p>
    <w:p>
      <w:pPr>
        <w:pStyle w:val="5"/>
        <w:numPr>
          <w:ilvl w:val="0"/>
          <w:numId w:val="0"/>
        </w:numPr>
        <w:rPr>
          <w:rFonts w:hint="eastAsia"/>
          <w:lang w:val="en-US" w:eastAsia="zh-CN"/>
        </w:rPr>
      </w:pPr>
      <w:r>
        <w:rPr>
          <w:rFonts w:hint="eastAsia"/>
          <w:lang w:val="en-US" w:eastAsia="zh-CN"/>
        </w:rPr>
        <w:t>1、性能参数：≥24个1G/2.5G/10G SFP+光口，≥2个40GE QSFP+光口；</w:t>
      </w:r>
    </w:p>
    <w:p>
      <w:pPr>
        <w:pStyle w:val="5"/>
        <w:numPr>
          <w:ilvl w:val="0"/>
          <w:numId w:val="0"/>
        </w:numPr>
        <w:rPr>
          <w:rFonts w:hint="eastAsia"/>
          <w:lang w:val="en-US" w:eastAsia="zh-CN"/>
        </w:rPr>
      </w:pPr>
      <w:r>
        <w:rPr>
          <w:rFonts w:hint="eastAsia"/>
          <w:lang w:val="en-US" w:eastAsia="zh-CN"/>
        </w:rPr>
        <w:t>2、交换容量≥2.56Tbps/25.6Tbps，包转发率≥810Mpps/1260Mpps；</w:t>
      </w:r>
    </w:p>
    <w:p>
      <w:pPr>
        <w:pStyle w:val="5"/>
        <w:numPr>
          <w:ilvl w:val="0"/>
          <w:numId w:val="0"/>
        </w:numPr>
        <w:rPr>
          <w:rFonts w:hint="eastAsia"/>
          <w:lang w:val="en-US" w:eastAsia="zh-CN"/>
        </w:rPr>
      </w:pPr>
      <w:r>
        <w:rPr>
          <w:rFonts w:hint="eastAsia"/>
          <w:lang w:val="en-US" w:eastAsia="zh-CN"/>
        </w:rPr>
        <w:t>3、支持全端口线速转发；</w:t>
      </w:r>
    </w:p>
    <w:p>
      <w:pPr>
        <w:pStyle w:val="5"/>
        <w:numPr>
          <w:ilvl w:val="0"/>
          <w:numId w:val="0"/>
        </w:numPr>
        <w:rPr>
          <w:rFonts w:hint="eastAsia"/>
          <w:lang w:val="en-US" w:eastAsia="zh-CN"/>
        </w:rPr>
      </w:pPr>
      <w:r>
        <w:rPr>
          <w:rFonts w:hint="eastAsia"/>
          <w:lang w:val="en-US" w:eastAsia="zh-CN"/>
        </w:rPr>
        <w:t>4、支持NMC/vNMC/NAC/SAC统一管理、统一查看状态、VLAN等配置管理；支持终端识别、终端准入、安全防护及安全画像可视；</w:t>
      </w:r>
    </w:p>
    <w:p>
      <w:pPr>
        <w:pStyle w:val="5"/>
        <w:numPr>
          <w:ilvl w:val="0"/>
          <w:numId w:val="0"/>
        </w:numPr>
        <w:rPr>
          <w:rFonts w:hint="eastAsia"/>
          <w:lang w:val="en-US" w:eastAsia="zh-CN"/>
        </w:rPr>
      </w:pPr>
      <w:r>
        <w:rPr>
          <w:rFonts w:hint="eastAsia"/>
          <w:lang w:val="en-US" w:eastAsia="zh-CN"/>
        </w:rPr>
        <w:t>5、支持胖瘦一体化；</w:t>
      </w:r>
    </w:p>
    <w:p>
      <w:pPr>
        <w:pStyle w:val="5"/>
        <w:numPr>
          <w:ilvl w:val="0"/>
          <w:numId w:val="0"/>
        </w:numPr>
        <w:rPr>
          <w:rFonts w:hint="eastAsia"/>
          <w:lang w:val="en-US" w:eastAsia="zh-CN"/>
        </w:rPr>
      </w:pPr>
      <w:r>
        <w:rPr>
          <w:rFonts w:hint="eastAsia"/>
          <w:lang w:val="en-US" w:eastAsia="zh-CN"/>
        </w:rPr>
        <w:t>6、支持双电源模块，</w:t>
      </w:r>
      <w:r>
        <w:rPr>
          <w:rFonts w:hint="default"/>
          <w:lang w:eastAsia="zh-CN"/>
          <w:woUserID w:val="1"/>
        </w:rPr>
        <w:t>配置2</w:t>
      </w:r>
      <w:r>
        <w:rPr>
          <w:rFonts w:hint="eastAsia"/>
          <w:lang w:val="en-US" w:eastAsia="zh-CN"/>
        </w:rPr>
        <w:t>个150W可插拔AC交流电源。</w:t>
      </w:r>
    </w:p>
    <w:p>
      <w:pPr>
        <w:pStyle w:val="3"/>
        <w:bidi w:val="0"/>
        <w:rPr>
          <w:rFonts w:hint="eastAsia" w:ascii="Times New Roman" w:hAnsi="Times New Roman" w:cs="Times New Roman"/>
          <w:b/>
          <w:lang w:val="en-US" w:eastAsia="zh-CN"/>
        </w:rPr>
      </w:pPr>
      <w:r>
        <w:rPr>
          <w:rFonts w:hint="eastAsia"/>
          <w:lang w:val="en-US" w:eastAsia="zh-CN"/>
        </w:rPr>
        <w:t>(六)</w:t>
      </w:r>
      <w:r>
        <w:rPr>
          <w:rFonts w:hint="eastAsia" w:ascii="Times New Roman" w:hAnsi="Times New Roman" w:cs="Times New Roman"/>
          <w:b/>
          <w:lang w:val="en-US" w:eastAsia="zh-CN"/>
        </w:rPr>
        <w:t>接入交换机</w:t>
      </w:r>
    </w:p>
    <w:p>
      <w:pPr>
        <w:pStyle w:val="5"/>
        <w:numPr>
          <w:ilvl w:val="0"/>
          <w:numId w:val="0"/>
        </w:numPr>
        <w:rPr>
          <w:rFonts w:hint="default"/>
          <w:lang w:val="en-US" w:eastAsia="zh-CN"/>
        </w:rPr>
      </w:pPr>
      <w:r>
        <w:rPr>
          <w:rFonts w:hint="eastAsia"/>
          <w:b/>
          <w:bCs/>
          <w:lang w:val="en-US" w:eastAsia="zh-CN"/>
        </w:rPr>
        <w:t>采购数量：1台，参数如下：</w:t>
      </w:r>
    </w:p>
    <w:p>
      <w:pPr>
        <w:pStyle w:val="5"/>
        <w:numPr>
          <w:ilvl w:val="0"/>
          <w:numId w:val="0"/>
        </w:numPr>
        <w:rPr>
          <w:rFonts w:hint="eastAsia"/>
          <w:lang w:val="en-US" w:eastAsia="zh-CN"/>
        </w:rPr>
      </w:pPr>
      <w:r>
        <w:rPr>
          <w:rFonts w:hint="eastAsia"/>
          <w:lang w:val="en-US" w:eastAsia="zh-CN"/>
        </w:rPr>
        <w:t>1、≥</w:t>
      </w:r>
      <w:r>
        <w:rPr>
          <w:rFonts w:hint="default"/>
          <w:lang w:val="en-US" w:eastAsia="zh-CN"/>
        </w:rPr>
        <w:t>24个千兆电口，</w:t>
      </w:r>
      <w:r>
        <w:rPr>
          <w:rFonts w:hint="eastAsia"/>
          <w:lang w:val="en-US" w:eastAsia="zh-CN"/>
        </w:rPr>
        <w:t>≥</w:t>
      </w:r>
      <w:r>
        <w:rPr>
          <w:rFonts w:hint="default"/>
          <w:lang w:val="en-US" w:eastAsia="zh-CN"/>
        </w:rPr>
        <w:t>4个万兆SFP+光口</w:t>
      </w:r>
      <w:r>
        <w:rPr>
          <w:rFonts w:hint="eastAsia"/>
          <w:lang w:val="en-US" w:eastAsia="zh-CN"/>
        </w:rPr>
        <w:t>；</w:t>
      </w:r>
    </w:p>
    <w:p>
      <w:pPr>
        <w:pStyle w:val="5"/>
        <w:numPr>
          <w:ilvl w:val="0"/>
          <w:numId w:val="0"/>
        </w:numPr>
        <w:rPr>
          <w:rFonts w:hint="default"/>
          <w:lang w:val="en-US" w:eastAsia="zh-CN"/>
        </w:rPr>
      </w:pPr>
      <w:r>
        <w:rPr>
          <w:rFonts w:hint="eastAsia"/>
          <w:lang w:val="en-US" w:eastAsia="zh-CN"/>
        </w:rPr>
        <w:t>2、</w:t>
      </w:r>
      <w:r>
        <w:rPr>
          <w:rFonts w:hint="default"/>
          <w:lang w:val="en-US" w:eastAsia="zh-CN"/>
        </w:rPr>
        <w:t>交换容量</w:t>
      </w:r>
      <w:r>
        <w:rPr>
          <w:rFonts w:hint="eastAsia"/>
          <w:lang w:val="en-US" w:eastAsia="zh-CN"/>
        </w:rPr>
        <w:t>≥</w:t>
      </w:r>
      <w:r>
        <w:rPr>
          <w:rFonts w:hint="default"/>
          <w:lang w:val="en-US" w:eastAsia="zh-CN"/>
        </w:rPr>
        <w:t>1.08Tbps/10.8Tbps，包转发率</w:t>
      </w:r>
      <w:r>
        <w:rPr>
          <w:rFonts w:hint="eastAsia"/>
          <w:lang w:val="en-US" w:eastAsia="zh-CN"/>
        </w:rPr>
        <w:t>≥</w:t>
      </w:r>
      <w:r>
        <w:rPr>
          <w:rFonts w:hint="default"/>
          <w:lang w:val="en-US" w:eastAsia="zh-CN"/>
        </w:rPr>
        <w:t>560Mpps/740Mpps；</w:t>
      </w:r>
    </w:p>
    <w:p>
      <w:pPr>
        <w:pStyle w:val="5"/>
        <w:numPr>
          <w:ilvl w:val="0"/>
          <w:numId w:val="0"/>
        </w:numPr>
        <w:rPr>
          <w:rFonts w:hint="eastAsia"/>
          <w:lang w:val="en-US" w:eastAsia="zh-CN"/>
        </w:rPr>
      </w:pPr>
      <w:r>
        <w:rPr>
          <w:rFonts w:hint="eastAsia"/>
          <w:lang w:val="en-US" w:eastAsia="zh-CN"/>
        </w:rPr>
        <w:t>3、</w:t>
      </w:r>
      <w:r>
        <w:rPr>
          <w:rFonts w:hint="default"/>
          <w:lang w:val="en-US" w:eastAsia="zh-CN"/>
        </w:rPr>
        <w:t>支持IPv4、IPv6 静态路由、三层聚合、ACL、端口镜像、全端口线速转发等功能</w:t>
      </w:r>
      <w:r>
        <w:rPr>
          <w:rFonts w:hint="eastAsia"/>
          <w:lang w:val="en-US" w:eastAsia="zh-CN"/>
        </w:rPr>
        <w:t>。</w:t>
      </w:r>
    </w:p>
    <w:p>
      <w:pPr>
        <w:pStyle w:val="13"/>
        <w:numPr>
          <w:ilvl w:val="0"/>
          <w:numId w:val="1"/>
        </w:numPr>
        <w:spacing w:line="360" w:lineRule="auto"/>
        <w:ind w:firstLineChars="0"/>
        <w:rPr>
          <w:rFonts w:hint="eastAsia" w:ascii="宋体" w:hAnsi="宋体" w:eastAsia="宋体" w:cs="宋体"/>
          <w:b/>
          <w:sz w:val="30"/>
          <w:szCs w:val="30"/>
          <w:lang w:val="en-US" w:eastAsia="zh-CN"/>
          <w:woUserID w:val="3"/>
        </w:rPr>
      </w:pPr>
      <w:r>
        <w:rPr>
          <w:rFonts w:hint="eastAsia" w:ascii="宋体" w:hAnsi="宋体" w:eastAsia="宋体" w:cs="宋体"/>
          <w:b/>
          <w:sz w:val="30"/>
          <w:szCs w:val="30"/>
          <w:lang w:val="en-US" w:eastAsia="zh-CN"/>
          <w:woUserID w:val="3"/>
        </w:rPr>
        <w:t>实施要求</w:t>
      </w:r>
    </w:p>
    <w:p>
      <w:pPr>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（1）采购合同签订后，需在一周之内完成供货与部署。</w:t>
      </w:r>
    </w:p>
    <w:p>
      <w:pPr>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供应商必须承诺对本项目技术文件以及由用户提供的所有内部资料、技术文档和信息予以保密。供应商须按用户的要求签订保密协议，未经用户书面许可，不得以任何形式向第三方透露本项目标书以及本项目的任何内容。</w:t>
      </w:r>
    </w:p>
    <w:p>
      <w:pPr>
        <w:pStyle w:val="5"/>
        <w:numPr>
          <w:ilvl w:val="0"/>
          <w:numId w:val="0"/>
        </w:numPr>
        <w:rPr>
          <w:rFonts w:hint="default"/>
          <w:lang w:val="en-US" w:eastAsia="zh-CN"/>
        </w:rPr>
      </w:pPr>
    </w:p>
    <w:p>
      <w:pPr>
        <w:pStyle w:val="13"/>
        <w:numPr>
          <w:ilvl w:val="0"/>
          <w:numId w:val="1"/>
        </w:numPr>
        <w:spacing w:line="360" w:lineRule="auto"/>
        <w:ind w:firstLineChars="0"/>
        <w:rPr>
          <w:rFonts w:hint="eastAsia" w:ascii="宋体" w:hAnsi="宋体" w:eastAsia="宋体" w:cs="宋体"/>
          <w:b/>
          <w:sz w:val="30"/>
          <w:szCs w:val="30"/>
          <w:lang w:val="en-US" w:eastAsia="zh-CN"/>
          <w:woUserID w:val="3"/>
        </w:rPr>
      </w:pPr>
      <w:r>
        <w:rPr>
          <w:rFonts w:hint="eastAsia" w:ascii="宋体" w:hAnsi="宋体" w:eastAsia="宋体" w:cs="宋体"/>
          <w:b/>
          <w:sz w:val="30"/>
          <w:szCs w:val="30"/>
          <w:lang w:val="en-US" w:eastAsia="zh-CN"/>
          <w:woUserID w:val="3"/>
        </w:rPr>
        <w:t>评标标准</w:t>
      </w:r>
      <w:bookmarkEnd w:id="7"/>
      <w:bookmarkEnd w:id="8"/>
    </w:p>
    <w:tbl>
      <w:tblPr>
        <w:tblStyle w:val="9"/>
        <w:tblW w:w="8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063"/>
        <w:gridCol w:w="1187"/>
        <w:gridCol w:w="3968"/>
        <w:gridCol w:w="1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vAlign w:val="center"/>
          </w:tcPr>
          <w:p>
            <w:pPr>
              <w:jc w:val="center"/>
              <w:rPr>
                <w:rFonts w:hint="eastAsia" w:ascii="宋体" w:hAnsi="宋体" w:cs="宋体"/>
                <w:b/>
                <w:sz w:val="21"/>
                <w:szCs w:val="21"/>
              </w:rPr>
            </w:pPr>
            <w:r>
              <w:rPr>
                <w:rFonts w:hint="eastAsia" w:ascii="宋体" w:hAnsi="宋体" w:cs="宋体"/>
                <w:b/>
                <w:sz w:val="21"/>
                <w:szCs w:val="21"/>
              </w:rPr>
              <w:t>序号</w:t>
            </w:r>
          </w:p>
        </w:tc>
        <w:tc>
          <w:tcPr>
            <w:tcW w:w="1063" w:type="dxa"/>
            <w:noWrap w:val="0"/>
            <w:vAlign w:val="center"/>
          </w:tcPr>
          <w:p>
            <w:pPr>
              <w:jc w:val="center"/>
              <w:rPr>
                <w:rFonts w:hint="eastAsia" w:ascii="宋体" w:hAnsi="宋体" w:cs="宋体"/>
                <w:b/>
                <w:sz w:val="21"/>
                <w:szCs w:val="21"/>
              </w:rPr>
            </w:pPr>
            <w:r>
              <w:rPr>
                <w:rFonts w:hint="eastAsia" w:ascii="宋体" w:hAnsi="宋体" w:cs="宋体"/>
                <w:b/>
                <w:sz w:val="21"/>
                <w:szCs w:val="21"/>
              </w:rPr>
              <w:t>评分因素</w:t>
            </w:r>
          </w:p>
          <w:p>
            <w:pPr>
              <w:jc w:val="center"/>
              <w:rPr>
                <w:rFonts w:hint="eastAsia" w:ascii="宋体" w:hAnsi="宋体" w:cs="宋体"/>
                <w:b/>
                <w:sz w:val="21"/>
                <w:szCs w:val="21"/>
              </w:rPr>
            </w:pPr>
            <w:r>
              <w:rPr>
                <w:rFonts w:hint="eastAsia" w:ascii="宋体" w:hAnsi="宋体" w:cs="宋体"/>
                <w:b/>
                <w:sz w:val="21"/>
                <w:szCs w:val="21"/>
              </w:rPr>
              <w:t>及权重</w:t>
            </w:r>
          </w:p>
        </w:tc>
        <w:tc>
          <w:tcPr>
            <w:tcW w:w="1187" w:type="dxa"/>
            <w:noWrap w:val="0"/>
            <w:vAlign w:val="center"/>
          </w:tcPr>
          <w:p>
            <w:pPr>
              <w:jc w:val="center"/>
              <w:rPr>
                <w:rFonts w:hint="eastAsia" w:ascii="宋体" w:hAnsi="宋体" w:cs="宋体"/>
                <w:b/>
                <w:sz w:val="21"/>
                <w:szCs w:val="21"/>
              </w:rPr>
            </w:pPr>
            <w:r>
              <w:rPr>
                <w:rFonts w:hint="eastAsia" w:ascii="宋体" w:hAnsi="宋体" w:cs="宋体"/>
                <w:b/>
                <w:sz w:val="21"/>
                <w:szCs w:val="21"/>
              </w:rPr>
              <w:t>分值</w:t>
            </w:r>
          </w:p>
        </w:tc>
        <w:tc>
          <w:tcPr>
            <w:tcW w:w="3968" w:type="dxa"/>
            <w:noWrap w:val="0"/>
            <w:vAlign w:val="center"/>
          </w:tcPr>
          <w:p>
            <w:pPr>
              <w:jc w:val="center"/>
              <w:rPr>
                <w:rFonts w:hint="eastAsia" w:ascii="宋体" w:hAnsi="宋体" w:cs="宋体"/>
                <w:b/>
                <w:sz w:val="21"/>
                <w:szCs w:val="21"/>
              </w:rPr>
            </w:pPr>
            <w:r>
              <w:rPr>
                <w:rFonts w:hint="eastAsia" w:ascii="宋体" w:hAnsi="宋体" w:cs="宋体"/>
                <w:b/>
                <w:sz w:val="21"/>
                <w:szCs w:val="21"/>
              </w:rPr>
              <w:t>评分标准</w:t>
            </w:r>
          </w:p>
        </w:tc>
        <w:tc>
          <w:tcPr>
            <w:tcW w:w="1473" w:type="dxa"/>
            <w:noWrap w:val="0"/>
            <w:vAlign w:val="center"/>
          </w:tcPr>
          <w:p>
            <w:pPr>
              <w:pStyle w:val="14"/>
              <w:spacing w:before="0" w:after="0" w:line="240" w:lineRule="auto"/>
              <w:rPr>
                <w:rFonts w:hint="eastAsia" w:ascii="宋体" w:hAnsi="宋体" w:eastAsia="宋体" w:cs="宋体"/>
                <w:sz w:val="21"/>
                <w:szCs w:val="21"/>
              </w:rPr>
            </w:pPr>
            <w:r>
              <w:rPr>
                <w:rFonts w:hint="eastAsia" w:ascii="宋体" w:hAnsi="宋体" w:eastAsia="宋体" w:cs="宋体"/>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bottom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1</w:t>
            </w:r>
          </w:p>
        </w:tc>
        <w:tc>
          <w:tcPr>
            <w:tcW w:w="1063" w:type="dxa"/>
            <w:tcBorders>
              <w:bottom w:val="single" w:color="auto" w:sz="4" w:space="0"/>
            </w:tcBorders>
            <w:noWrap w:val="0"/>
            <w:vAlign w:val="center"/>
          </w:tcPr>
          <w:p>
            <w:pPr>
              <w:jc w:val="center"/>
              <w:rPr>
                <w:rFonts w:hint="eastAsia" w:ascii="宋体" w:hAnsi="宋体" w:cs="宋体"/>
                <w:sz w:val="21"/>
                <w:szCs w:val="21"/>
                <w:shd w:val="clear" w:color="auto" w:fill="auto"/>
              </w:rPr>
            </w:pPr>
            <w:r>
              <w:rPr>
                <w:rFonts w:hint="eastAsia" w:ascii="宋体" w:hAnsi="宋体" w:cs="宋体"/>
                <w:sz w:val="21"/>
                <w:szCs w:val="21"/>
                <w:shd w:val="clear" w:color="auto" w:fill="auto"/>
              </w:rPr>
              <w:t>投标报价</w:t>
            </w:r>
          </w:p>
          <w:p>
            <w:pPr>
              <w:jc w:val="center"/>
              <w:rPr>
                <w:rFonts w:hint="eastAsia" w:ascii="宋体" w:hAnsi="宋体" w:cs="宋体" w:eastAsiaTheme="minorEastAsia"/>
                <w:sz w:val="21"/>
                <w:szCs w:val="21"/>
                <w:shd w:val="clear" w:color="auto" w:fill="auto"/>
                <w:lang w:eastAsia="zh-CN"/>
              </w:rPr>
            </w:pPr>
            <w:r>
              <w:rPr>
                <w:rFonts w:hint="eastAsia" w:ascii="宋体" w:hAnsi="宋体" w:cs="宋体"/>
                <w:sz w:val="21"/>
                <w:szCs w:val="21"/>
                <w:shd w:val="clear" w:color="auto" w:fill="auto"/>
                <w:lang w:eastAsia="zh-CN"/>
              </w:rPr>
              <w:t>（</w:t>
            </w:r>
            <w:r>
              <w:rPr>
                <w:rFonts w:hint="eastAsia" w:ascii="宋体" w:hAnsi="宋体" w:cs="宋体"/>
                <w:sz w:val="21"/>
                <w:szCs w:val="21"/>
                <w:shd w:val="clear" w:color="auto" w:fill="auto"/>
                <w:lang w:val="en-US" w:eastAsia="zh-CN"/>
              </w:rPr>
              <w:t>40%</w:t>
            </w:r>
            <w:r>
              <w:rPr>
                <w:rFonts w:hint="eastAsia" w:ascii="宋体" w:hAnsi="宋体" w:cs="宋体"/>
                <w:sz w:val="21"/>
                <w:szCs w:val="21"/>
                <w:shd w:val="clear" w:color="auto" w:fill="auto"/>
                <w:lang w:eastAsia="zh-CN"/>
              </w:rPr>
              <w:t>）</w:t>
            </w:r>
          </w:p>
        </w:tc>
        <w:tc>
          <w:tcPr>
            <w:tcW w:w="1187" w:type="dxa"/>
            <w:tcBorders>
              <w:bottom w:val="single" w:color="auto" w:sz="4" w:space="0"/>
            </w:tcBorders>
            <w:noWrap w:val="0"/>
            <w:vAlign w:val="center"/>
          </w:tcPr>
          <w:p>
            <w:pPr>
              <w:jc w:val="center"/>
              <w:rPr>
                <w:rFonts w:hint="default" w:ascii="宋体" w:hAnsi="宋体" w:cs="宋体" w:eastAsiaTheme="minorEastAsia"/>
                <w:sz w:val="21"/>
                <w:szCs w:val="21"/>
                <w:lang w:val="en-US" w:eastAsia="zh-CN"/>
              </w:rPr>
            </w:pPr>
            <w:r>
              <w:rPr>
                <w:rFonts w:hint="eastAsia" w:ascii="宋体" w:hAnsi="宋体" w:cs="宋体"/>
                <w:sz w:val="21"/>
                <w:szCs w:val="21"/>
                <w:lang w:val="en-US" w:eastAsia="zh-CN"/>
              </w:rPr>
              <w:t>40分</w:t>
            </w:r>
          </w:p>
        </w:tc>
        <w:tc>
          <w:tcPr>
            <w:tcW w:w="3968" w:type="dxa"/>
            <w:noWrap w:val="0"/>
            <w:vAlign w:val="center"/>
          </w:tcPr>
          <w:p>
            <w:pPr>
              <w:ind w:left="-38"/>
              <w:rPr>
                <w:rFonts w:hint="eastAsia" w:ascii="宋体" w:hAnsi="宋体" w:cs="宋体"/>
                <w:sz w:val="21"/>
                <w:szCs w:val="21"/>
              </w:rPr>
            </w:pPr>
            <w:r>
              <w:rPr>
                <w:rFonts w:hint="eastAsia" w:ascii="宋体" w:hAnsi="宋体" w:cs="宋体"/>
                <w:sz w:val="21"/>
                <w:szCs w:val="21"/>
              </w:rPr>
              <w:t>有效的投标报价中的最低价为评标基准价，按照下列公式计算每个投标人的投标价格得分。</w:t>
            </w:r>
          </w:p>
          <w:p>
            <w:pPr>
              <w:ind w:left="-38"/>
              <w:rPr>
                <w:rFonts w:hint="eastAsia" w:ascii="宋体" w:hAnsi="宋体" w:cs="宋体"/>
                <w:sz w:val="21"/>
                <w:szCs w:val="21"/>
              </w:rPr>
            </w:pPr>
            <w:r>
              <w:rPr>
                <w:rFonts w:hint="eastAsia" w:ascii="宋体" w:hAnsi="宋体" w:cs="宋体"/>
                <w:sz w:val="21"/>
                <w:szCs w:val="21"/>
              </w:rPr>
              <w:t>投标报价得分＝（评标基准价/投标报价）×价格权重×100。</w:t>
            </w:r>
          </w:p>
          <w:p>
            <w:pPr>
              <w:ind w:left="-38"/>
              <w:rPr>
                <w:rFonts w:hint="eastAsia" w:ascii="宋体" w:hAnsi="宋体" w:cs="宋体"/>
                <w:sz w:val="21"/>
                <w:szCs w:val="21"/>
              </w:rPr>
            </w:pPr>
            <w:r>
              <w:rPr>
                <w:rFonts w:hint="eastAsia" w:ascii="宋体" w:hAnsi="宋体" w:cs="宋体"/>
                <w:sz w:val="21"/>
                <w:szCs w:val="21"/>
              </w:rPr>
              <w:t>投标报价得分以四舍五入保留小数点后二位。</w:t>
            </w:r>
          </w:p>
        </w:tc>
        <w:tc>
          <w:tcPr>
            <w:tcW w:w="1473" w:type="dxa"/>
            <w:noWrap w:val="0"/>
            <w:vAlign w:val="center"/>
          </w:tcPr>
          <w:p>
            <w:pPr>
              <w:keepNext w:val="0"/>
              <w:keepLines w:val="0"/>
              <w:widowControl w:val="0"/>
              <w:suppressLineNumbers w:val="0"/>
              <w:spacing w:before="0" w:beforeAutospacing="0" w:after="0" w:afterAutospacing="0"/>
              <w:ind w:left="0" w:right="0"/>
              <w:jc w:val="both"/>
              <w:rPr>
                <w:rFonts w:hint="eastAsia" w:ascii="宋体" w:hAnsi="宋体" w:cs="宋体"/>
                <w:sz w:val="21"/>
                <w:szCs w:val="21"/>
              </w:rPr>
            </w:pPr>
            <w:r>
              <w:rPr>
                <w:rFonts w:hint="eastAsia" w:ascii="宋体" w:hAnsi="宋体" w:cs="宋体"/>
                <w:sz w:val="21"/>
                <w:szCs w:val="21"/>
                <w:woUserID w:val="2"/>
              </w:rPr>
              <w:t>设备清单</w:t>
            </w:r>
            <w:bookmarkStart w:id="9" w:name="_GoBack"/>
            <w:bookmarkEnd w:id="9"/>
            <w:r>
              <w:rPr>
                <w:rFonts w:hint="eastAsia" w:ascii="宋体" w:hAnsi="宋体" w:cs="宋体"/>
                <w:sz w:val="21"/>
                <w:szCs w:val="21"/>
                <w:woUserID w:val="2"/>
              </w:rPr>
              <w:t>需分项报价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709" w:type="dxa"/>
            <w:vMerge w:val="restart"/>
            <w:tcBorders>
              <w:top w:val="single" w:color="auto" w:sz="4" w:space="0"/>
              <w:left w:val="single" w:color="auto" w:sz="4" w:space="0"/>
              <w:bottom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2</w:t>
            </w:r>
          </w:p>
        </w:tc>
        <w:tc>
          <w:tcPr>
            <w:tcW w:w="1063" w:type="dxa"/>
            <w:vMerge w:val="restart"/>
            <w:tcBorders>
              <w:top w:val="single" w:color="auto" w:sz="4" w:space="0"/>
              <w:bottom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技术部分</w:t>
            </w:r>
          </w:p>
          <w:p>
            <w:pPr>
              <w:jc w:val="center"/>
              <w:rPr>
                <w:rFonts w:hint="eastAsia"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40%</w:t>
            </w:r>
            <w:r>
              <w:rPr>
                <w:rFonts w:hint="eastAsia" w:ascii="宋体" w:hAnsi="宋体" w:cs="宋体"/>
                <w:sz w:val="21"/>
                <w:szCs w:val="21"/>
              </w:rPr>
              <w:t>）</w:t>
            </w:r>
          </w:p>
        </w:tc>
        <w:tc>
          <w:tcPr>
            <w:tcW w:w="1187" w:type="dxa"/>
            <w:tcBorders>
              <w:top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技术参数</w:t>
            </w:r>
          </w:p>
          <w:p>
            <w:pPr>
              <w:rPr>
                <w:sz w:val="21"/>
                <w:szCs w:val="21"/>
              </w:rPr>
            </w:pPr>
            <w:r>
              <w:rPr>
                <w:rFonts w:hint="eastAsia" w:ascii="宋体" w:hAnsi="宋体" w:cs="宋体"/>
                <w:sz w:val="21"/>
                <w:szCs w:val="21"/>
              </w:rPr>
              <w:t>（</w:t>
            </w:r>
            <w:r>
              <w:rPr>
                <w:rFonts w:hint="eastAsia" w:ascii="宋体" w:hAnsi="宋体" w:cs="宋体"/>
                <w:sz w:val="21"/>
                <w:szCs w:val="21"/>
                <w:lang w:val="en-US" w:eastAsia="zh-CN"/>
              </w:rPr>
              <w:t>25</w:t>
            </w:r>
            <w:r>
              <w:rPr>
                <w:rFonts w:hint="eastAsia" w:ascii="宋体" w:hAnsi="宋体" w:cs="宋体"/>
                <w:sz w:val="21"/>
                <w:szCs w:val="21"/>
              </w:rPr>
              <w:t>分）</w:t>
            </w:r>
          </w:p>
        </w:tc>
        <w:tc>
          <w:tcPr>
            <w:tcW w:w="3968" w:type="dxa"/>
            <w:tcBorders>
              <w:left w:val="single" w:color="auto" w:sz="4" w:space="0"/>
            </w:tcBorders>
            <w:noWrap w:val="0"/>
            <w:vAlign w:val="center"/>
          </w:tcPr>
          <w:p>
            <w:pPr>
              <w:rPr>
                <w:rFonts w:hint="eastAsia" w:ascii="宋体" w:hAnsi="宋体" w:cs="宋体"/>
                <w:sz w:val="21"/>
                <w:szCs w:val="21"/>
              </w:rPr>
            </w:pPr>
            <w:r>
              <w:rPr>
                <w:rFonts w:hint="eastAsia" w:ascii="宋体" w:hAnsi="宋体" w:cs="宋体"/>
                <w:sz w:val="21"/>
                <w:szCs w:val="21"/>
              </w:rPr>
              <w:t>有效投标人的起评分为</w:t>
            </w:r>
            <w:r>
              <w:rPr>
                <w:rFonts w:hint="eastAsia" w:ascii="宋体" w:hAnsi="宋体" w:cs="宋体"/>
                <w:sz w:val="21"/>
                <w:szCs w:val="21"/>
                <w:lang w:val="en-US" w:eastAsia="zh-CN"/>
              </w:rPr>
              <w:t>25</w:t>
            </w:r>
            <w:r>
              <w:rPr>
                <w:rFonts w:hint="eastAsia" w:ascii="宋体" w:hAnsi="宋体" w:cs="宋体"/>
                <w:sz w:val="21"/>
                <w:szCs w:val="21"/>
              </w:rPr>
              <w:t>分。</w:t>
            </w:r>
          </w:p>
          <w:p>
            <w:pPr>
              <w:rPr>
                <w:rFonts w:hint="eastAsia" w:ascii="宋体" w:hAnsi="宋体" w:cs="宋体"/>
                <w:sz w:val="21"/>
                <w:szCs w:val="21"/>
              </w:rPr>
            </w:pPr>
            <w:r>
              <w:rPr>
                <w:rFonts w:hint="eastAsia" w:ascii="宋体" w:hAnsi="宋体" w:cs="宋体"/>
                <w:sz w:val="21"/>
                <w:szCs w:val="21"/>
              </w:rPr>
              <w:t>1、投标文件投标应答有一条不满足招标文件重要技术需求的（本招标文件第二篇中带“★”号标注的部分），从起评分中扣除</w:t>
            </w:r>
            <w:r>
              <w:rPr>
                <w:rFonts w:hint="eastAsia" w:ascii="宋体" w:hAnsi="宋体" w:cs="宋体"/>
                <w:sz w:val="21"/>
                <w:szCs w:val="21"/>
                <w:lang w:val="en-US" w:eastAsia="zh-CN"/>
              </w:rPr>
              <w:t>3</w:t>
            </w:r>
            <w:r>
              <w:rPr>
                <w:rFonts w:hint="eastAsia" w:ascii="宋体" w:hAnsi="宋体" w:cs="宋体"/>
                <w:sz w:val="21"/>
                <w:szCs w:val="21"/>
              </w:rPr>
              <w:t>分</w:t>
            </w:r>
            <w:r>
              <w:rPr>
                <w:rFonts w:hint="eastAsia" w:ascii="宋体" w:hAnsi="宋体" w:cs="宋体"/>
                <w:sz w:val="21"/>
                <w:szCs w:val="21"/>
                <w:lang w:eastAsia="zh-CN"/>
              </w:rPr>
              <w:t>，</w:t>
            </w:r>
            <w:r>
              <w:rPr>
                <w:rFonts w:hint="eastAsia" w:ascii="宋体" w:hAnsi="宋体" w:cs="宋体"/>
                <w:sz w:val="21"/>
                <w:szCs w:val="21"/>
                <w:lang w:val="en-US" w:eastAsia="zh-CN"/>
              </w:rPr>
              <w:t>扣完为止</w:t>
            </w:r>
            <w:r>
              <w:rPr>
                <w:rFonts w:hint="eastAsia" w:ascii="宋体" w:hAnsi="宋体" w:cs="宋体"/>
                <w:sz w:val="21"/>
                <w:szCs w:val="21"/>
              </w:rPr>
              <w:t>。</w:t>
            </w:r>
          </w:p>
        </w:tc>
        <w:tc>
          <w:tcPr>
            <w:tcW w:w="1473" w:type="dxa"/>
            <w:noWrap w:val="0"/>
            <w:vAlign w:val="center"/>
          </w:tcPr>
          <w:p>
            <w:pPr>
              <w:rPr>
                <w:rFonts w:hint="eastAsia" w:ascii="宋体" w:hAnsi="宋体" w:cs="宋体"/>
                <w:b/>
                <w:bCs/>
                <w:sz w:val="21"/>
                <w:szCs w:val="21"/>
              </w:rPr>
            </w:pPr>
            <w:r>
              <w:rPr>
                <w:rFonts w:hint="eastAsia" w:ascii="宋体" w:hAnsi="宋体" w:cs="宋体"/>
                <w:sz w:val="21"/>
                <w:szCs w:val="21"/>
              </w:rPr>
              <w:t>提供证明材料复印件并加盖投标人公章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709" w:type="dxa"/>
            <w:vMerge w:val="continue"/>
            <w:tcBorders>
              <w:top w:val="single" w:color="auto" w:sz="4" w:space="0"/>
              <w:left w:val="single" w:color="auto" w:sz="4" w:space="0"/>
              <w:bottom w:val="single" w:color="auto" w:sz="4" w:space="0"/>
            </w:tcBorders>
            <w:noWrap w:val="0"/>
            <w:vAlign w:val="center"/>
          </w:tcPr>
          <w:p>
            <w:pPr>
              <w:jc w:val="center"/>
              <w:rPr>
                <w:rFonts w:hint="eastAsia" w:ascii="宋体" w:hAnsi="宋体" w:cs="宋体"/>
                <w:sz w:val="21"/>
                <w:szCs w:val="21"/>
              </w:rPr>
            </w:pPr>
          </w:p>
        </w:tc>
        <w:tc>
          <w:tcPr>
            <w:tcW w:w="1063" w:type="dxa"/>
            <w:vMerge w:val="continue"/>
            <w:tcBorders>
              <w:top w:val="single" w:color="auto" w:sz="4" w:space="0"/>
              <w:bottom w:val="single" w:color="auto" w:sz="4" w:space="0"/>
            </w:tcBorders>
            <w:noWrap w:val="0"/>
            <w:vAlign w:val="center"/>
          </w:tcPr>
          <w:p>
            <w:pPr>
              <w:jc w:val="center"/>
              <w:rPr>
                <w:rFonts w:hint="eastAsia" w:ascii="宋体" w:hAnsi="宋体" w:cs="宋体"/>
                <w:sz w:val="21"/>
                <w:szCs w:val="21"/>
              </w:rPr>
            </w:pPr>
          </w:p>
        </w:tc>
        <w:tc>
          <w:tcPr>
            <w:tcW w:w="1187" w:type="dxa"/>
            <w:tcBorders>
              <w:top w:val="single" w:color="auto" w:sz="4" w:space="0"/>
              <w:bottom w:val="single" w:color="auto" w:sz="4" w:space="0"/>
              <w:right w:val="single" w:color="auto" w:sz="4" w:space="0"/>
            </w:tcBorders>
            <w:noWrap w:val="0"/>
            <w:vAlign w:val="center"/>
          </w:tcPr>
          <w:p>
            <w:pPr>
              <w:jc w:val="left"/>
              <w:rPr>
                <w:rFonts w:hint="eastAsia" w:ascii="宋体" w:hAnsi="宋体" w:cs="宋体"/>
                <w:sz w:val="21"/>
                <w:szCs w:val="21"/>
              </w:rPr>
            </w:pPr>
            <w:r>
              <w:rPr>
                <w:rFonts w:hint="eastAsia" w:ascii="宋体" w:hAnsi="宋体" w:cs="宋体"/>
                <w:sz w:val="21"/>
                <w:szCs w:val="21"/>
              </w:rPr>
              <w:t>方案设计</w:t>
            </w:r>
          </w:p>
          <w:p>
            <w:pPr>
              <w:rPr>
                <w:rFonts w:hint="eastAsia"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10</w:t>
            </w:r>
            <w:r>
              <w:rPr>
                <w:rFonts w:hint="eastAsia" w:ascii="宋体" w:hAnsi="宋体" w:cs="宋体"/>
                <w:sz w:val="21"/>
                <w:szCs w:val="21"/>
              </w:rPr>
              <w:t>分）</w:t>
            </w:r>
          </w:p>
        </w:tc>
        <w:tc>
          <w:tcPr>
            <w:tcW w:w="3968" w:type="dxa"/>
            <w:tcBorders>
              <w:left w:val="single" w:color="auto" w:sz="4" w:space="0"/>
            </w:tcBorders>
            <w:noWrap w:val="0"/>
            <w:vAlign w:val="center"/>
          </w:tcPr>
          <w:p>
            <w:pPr>
              <w:rPr>
                <w:rFonts w:hint="eastAsia" w:ascii="宋体" w:hAnsi="宋体" w:cs="宋体"/>
                <w:sz w:val="21"/>
                <w:szCs w:val="21"/>
              </w:rPr>
            </w:pPr>
            <w:r>
              <w:rPr>
                <w:rFonts w:hint="eastAsia" w:ascii="宋体" w:hAnsi="宋体" w:cs="宋体"/>
                <w:sz w:val="21"/>
                <w:szCs w:val="21"/>
              </w:rPr>
              <w:t>投标人根据本招标文件的建设内容要求，提供总体方案。方案总体设计合理，要求包含项目建设背景、建设目标、建设任务、建设内容及功能描述等内容，实现思路清晰、关键技术阐述明确、系统及平台功能完善等。</w:t>
            </w:r>
          </w:p>
          <w:p>
            <w:pPr>
              <w:rPr>
                <w:rFonts w:ascii="宋体" w:hAnsi="宋体" w:cs="宋体"/>
                <w:sz w:val="21"/>
                <w:szCs w:val="21"/>
              </w:rPr>
            </w:pPr>
            <w:r>
              <w:rPr>
                <w:rFonts w:hint="eastAsia" w:cs="宋体"/>
                <w:sz w:val="21"/>
                <w:szCs w:val="21"/>
              </w:rPr>
              <w:t>方案详尽、理念先进、逻辑结构清晰、科学合理的，得</w:t>
            </w:r>
            <w:r>
              <w:rPr>
                <w:rFonts w:hint="eastAsia" w:cs="宋体"/>
                <w:sz w:val="21"/>
                <w:szCs w:val="21"/>
                <w:lang w:val="en-US" w:eastAsia="zh-CN"/>
              </w:rPr>
              <w:t>8-10</w:t>
            </w:r>
            <w:r>
              <w:rPr>
                <w:rFonts w:hint="eastAsia" w:cs="宋体"/>
                <w:sz w:val="21"/>
                <w:szCs w:val="21"/>
              </w:rPr>
              <w:t>分；内容基本满足采购需求、逻辑结构较清晰、具有一定先进性和可行性的，得</w:t>
            </w:r>
            <w:r>
              <w:rPr>
                <w:rFonts w:hint="eastAsia" w:cs="宋体"/>
                <w:sz w:val="21"/>
                <w:szCs w:val="21"/>
                <w:lang w:val="en-US" w:eastAsia="zh-CN"/>
              </w:rPr>
              <w:t>6-7</w:t>
            </w:r>
            <w:r>
              <w:rPr>
                <w:rFonts w:hint="eastAsia" w:cs="宋体"/>
                <w:sz w:val="21"/>
                <w:szCs w:val="21"/>
              </w:rPr>
              <w:t>分；方案理念较一般、逻辑结构不清晰、对项目理解不深的，得</w:t>
            </w:r>
            <w:r>
              <w:rPr>
                <w:rFonts w:hint="eastAsia" w:cs="宋体"/>
                <w:sz w:val="21"/>
                <w:szCs w:val="21"/>
                <w:lang w:val="en-US" w:eastAsia="zh-CN"/>
              </w:rPr>
              <w:t>1-5</w:t>
            </w:r>
            <w:r>
              <w:rPr>
                <w:rFonts w:hint="eastAsia" w:cs="宋体"/>
                <w:sz w:val="21"/>
                <w:szCs w:val="21"/>
              </w:rPr>
              <w:t>分，未提供或不符合项目实际的得0分。</w:t>
            </w:r>
          </w:p>
        </w:tc>
        <w:tc>
          <w:tcPr>
            <w:tcW w:w="1473" w:type="dxa"/>
            <w:noWrap w:val="0"/>
            <w:vAlign w:val="center"/>
          </w:tcPr>
          <w:p>
            <w:pPr>
              <w:rPr>
                <w:rFonts w:hint="eastAsia" w:ascii="宋体" w:hAnsi="宋体" w:cs="宋体"/>
                <w:sz w:val="21"/>
                <w:szCs w:val="21"/>
              </w:rPr>
            </w:pPr>
            <w:r>
              <w:rPr>
                <w:rFonts w:hint="eastAsia" w:ascii="宋体" w:hAnsi="宋体" w:cs="宋体"/>
                <w:sz w:val="21"/>
                <w:szCs w:val="21"/>
                <w:lang w:val="zh-CN"/>
              </w:rPr>
              <w:t>提供总体设计方案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709" w:type="dxa"/>
            <w:vMerge w:val="continue"/>
            <w:tcBorders>
              <w:top w:val="single" w:color="auto" w:sz="4" w:space="0"/>
              <w:left w:val="single" w:color="auto" w:sz="4" w:space="0"/>
              <w:bottom w:val="single" w:color="auto" w:sz="4" w:space="0"/>
            </w:tcBorders>
            <w:noWrap w:val="0"/>
            <w:vAlign w:val="center"/>
          </w:tcPr>
          <w:p>
            <w:pPr>
              <w:rPr>
                <w:sz w:val="21"/>
                <w:szCs w:val="21"/>
              </w:rPr>
            </w:pPr>
          </w:p>
        </w:tc>
        <w:tc>
          <w:tcPr>
            <w:tcW w:w="1063" w:type="dxa"/>
            <w:vMerge w:val="continue"/>
            <w:tcBorders>
              <w:top w:val="single" w:color="auto" w:sz="4" w:space="0"/>
              <w:bottom w:val="single" w:color="auto" w:sz="4" w:space="0"/>
            </w:tcBorders>
            <w:noWrap w:val="0"/>
            <w:vAlign w:val="center"/>
          </w:tcPr>
          <w:p>
            <w:pPr>
              <w:rPr>
                <w:sz w:val="21"/>
                <w:szCs w:val="21"/>
              </w:rPr>
            </w:pPr>
          </w:p>
        </w:tc>
        <w:tc>
          <w:tcPr>
            <w:tcW w:w="1187" w:type="dxa"/>
            <w:tcBorders>
              <w:top w:val="single" w:color="auto" w:sz="4" w:space="0"/>
              <w:bottom w:val="single" w:color="auto" w:sz="4" w:space="0"/>
              <w:right w:val="single" w:color="auto" w:sz="4" w:space="0"/>
            </w:tcBorders>
            <w:noWrap w:val="0"/>
            <w:vAlign w:val="center"/>
          </w:tcPr>
          <w:p>
            <w:pPr>
              <w:rPr>
                <w:rFonts w:hint="eastAsia" w:ascii="宋体" w:hAnsi="宋体" w:cs="宋体"/>
                <w:color w:val="auto"/>
                <w:sz w:val="21"/>
                <w:szCs w:val="21"/>
                <w:lang w:val="en-US" w:eastAsia="zh-CN"/>
              </w:rPr>
            </w:pPr>
            <w:r>
              <w:rPr>
                <w:rFonts w:hint="eastAsia" w:ascii="宋体" w:hAnsi="宋体" w:cs="宋体"/>
                <w:color w:val="auto"/>
                <w:sz w:val="21"/>
                <w:szCs w:val="21"/>
              </w:rPr>
              <w:t>售后服务</w:t>
            </w:r>
            <w:r>
              <w:rPr>
                <w:rFonts w:hint="eastAsia" w:ascii="宋体" w:hAnsi="宋体" w:cs="宋体"/>
                <w:color w:val="auto"/>
                <w:sz w:val="21"/>
                <w:szCs w:val="21"/>
                <w:lang w:val="en-US" w:eastAsia="zh-CN"/>
              </w:rPr>
              <w:t>能力</w:t>
            </w:r>
          </w:p>
          <w:p>
            <w:pPr>
              <w:rPr>
                <w:rFonts w:ascii="宋体" w:hAnsi="宋体" w:cs="宋体"/>
                <w:color w:val="FF0000"/>
                <w:sz w:val="21"/>
                <w:szCs w:val="21"/>
              </w:rPr>
            </w:pPr>
            <w:r>
              <w:rPr>
                <w:rFonts w:hint="eastAsia" w:ascii="宋体" w:hAnsi="宋体" w:cs="宋体"/>
                <w:color w:val="auto"/>
                <w:sz w:val="21"/>
                <w:szCs w:val="21"/>
              </w:rPr>
              <w:t>（5分）</w:t>
            </w:r>
          </w:p>
        </w:tc>
        <w:tc>
          <w:tcPr>
            <w:tcW w:w="3968" w:type="dxa"/>
            <w:tcBorders>
              <w:left w:val="single" w:color="auto" w:sz="4" w:space="0"/>
            </w:tcBorders>
            <w:noWrap w:val="0"/>
            <w:vAlign w:val="center"/>
          </w:tcPr>
          <w:p>
            <w:pP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1、提供本地健全的售后服务体系。</w:t>
            </w:r>
          </w:p>
          <w:p>
            <w:pP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2、保障措施：故障响应措施（人员到位，备品备件等）及定期巡检的措施;</w:t>
            </w:r>
          </w:p>
          <w:p>
            <w:pPr>
              <w:rPr>
                <w:rFonts w:hint="eastAsia" w:ascii="宋体" w:hAnsi="宋体" w:eastAsia="宋体" w:cs="宋体"/>
                <w:color w:val="FF0000"/>
                <w:sz w:val="21"/>
                <w:szCs w:val="21"/>
                <w:lang w:val="en-US" w:eastAsia="zh-CN"/>
              </w:rPr>
            </w:pPr>
            <w:r>
              <w:rPr>
                <w:rFonts w:hint="eastAsia" w:ascii="宋体" w:hAnsi="宋体" w:eastAsia="宋体" w:cs="宋体"/>
                <w:color w:val="auto"/>
                <w:sz w:val="21"/>
                <w:szCs w:val="21"/>
                <w:lang w:val="en-US" w:eastAsia="zh-CN"/>
              </w:rPr>
              <w:t>由评委根据售后服务方案合理性、优越性、可行性及其他服务承诺由评委酌情打分，优得</w:t>
            </w:r>
            <w:r>
              <w:rPr>
                <w:rFonts w:hint="eastAsia" w:ascii="宋体" w:hAnsi="宋体" w:cs="宋体"/>
                <w:color w:val="auto"/>
                <w:sz w:val="21"/>
                <w:szCs w:val="21"/>
                <w:lang w:val="en-US" w:eastAsia="zh-CN"/>
              </w:rPr>
              <w:t>5</w:t>
            </w:r>
            <w:r>
              <w:rPr>
                <w:rFonts w:hint="eastAsia" w:ascii="宋体" w:hAnsi="宋体" w:eastAsia="宋体" w:cs="宋体"/>
                <w:color w:val="auto"/>
                <w:sz w:val="21"/>
                <w:szCs w:val="21"/>
                <w:lang w:val="en-US" w:eastAsia="zh-CN"/>
              </w:rPr>
              <w:t>分，良得</w:t>
            </w:r>
            <w:r>
              <w:rPr>
                <w:rFonts w:hint="eastAsia" w:ascii="宋体" w:hAnsi="宋体" w:cs="宋体"/>
                <w:color w:val="auto"/>
                <w:sz w:val="21"/>
                <w:szCs w:val="21"/>
                <w:lang w:val="en-US" w:eastAsia="zh-CN"/>
              </w:rPr>
              <w:t>3</w:t>
            </w:r>
            <w:r>
              <w:rPr>
                <w:rFonts w:hint="eastAsia" w:ascii="宋体" w:hAnsi="宋体" w:eastAsia="宋体" w:cs="宋体"/>
                <w:color w:val="auto"/>
                <w:sz w:val="21"/>
                <w:szCs w:val="21"/>
                <w:lang w:val="en-US" w:eastAsia="zh-CN"/>
              </w:rPr>
              <w:t>分，一般得</w:t>
            </w:r>
            <w:r>
              <w:rPr>
                <w:rFonts w:hint="eastAsia" w:ascii="宋体" w:hAnsi="宋体" w:cs="宋体"/>
                <w:color w:val="auto"/>
                <w:sz w:val="21"/>
                <w:szCs w:val="21"/>
                <w:lang w:val="en-US" w:eastAsia="zh-CN"/>
              </w:rPr>
              <w:t>1</w:t>
            </w:r>
            <w:r>
              <w:rPr>
                <w:rFonts w:hint="eastAsia" w:ascii="宋体" w:hAnsi="宋体" w:eastAsia="宋体" w:cs="宋体"/>
                <w:color w:val="auto"/>
                <w:sz w:val="21"/>
                <w:szCs w:val="21"/>
                <w:lang w:val="en-US" w:eastAsia="zh-CN"/>
              </w:rPr>
              <w:t>分。</w:t>
            </w:r>
          </w:p>
        </w:tc>
        <w:tc>
          <w:tcPr>
            <w:tcW w:w="1473" w:type="dxa"/>
            <w:noWrap w:val="0"/>
            <w:vAlign w:val="center"/>
          </w:tcPr>
          <w:p>
            <w:pPr>
              <w:rPr>
                <w:rFonts w:hint="default" w:ascii="宋体" w:hAnsi="宋体" w:eastAsia="宋体" w:cs="宋体"/>
                <w:sz w:val="21"/>
                <w:szCs w:val="21"/>
                <w:lang w:val="en-US" w:eastAsia="zh-CN"/>
              </w:rPr>
            </w:pPr>
            <w:r>
              <w:rPr>
                <w:rFonts w:hint="eastAsia" w:ascii="宋体" w:hAnsi="宋体" w:cs="宋体"/>
                <w:sz w:val="21"/>
                <w:szCs w:val="21"/>
                <w:lang w:val="en-US" w:eastAsia="zh-CN"/>
              </w:rPr>
              <w:t>提供售后服务方案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709" w:type="dxa"/>
            <w:vMerge w:val="continue"/>
            <w:tcBorders>
              <w:top w:val="single" w:color="auto" w:sz="4" w:space="0"/>
              <w:left w:val="single" w:color="auto" w:sz="4" w:space="0"/>
              <w:bottom w:val="single" w:color="auto" w:sz="4" w:space="0"/>
            </w:tcBorders>
            <w:noWrap w:val="0"/>
            <w:vAlign w:val="center"/>
          </w:tcPr>
          <w:p>
            <w:pPr>
              <w:jc w:val="center"/>
              <w:rPr>
                <w:rFonts w:hint="eastAsia" w:ascii="宋体" w:hAnsi="宋体" w:cs="宋体"/>
                <w:sz w:val="21"/>
                <w:szCs w:val="21"/>
              </w:rPr>
            </w:pPr>
          </w:p>
        </w:tc>
        <w:tc>
          <w:tcPr>
            <w:tcW w:w="1063" w:type="dxa"/>
            <w:vMerge w:val="restart"/>
            <w:tcBorders>
              <w:top w:val="single" w:color="auto" w:sz="4" w:space="0"/>
              <w:bottom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商务部分</w:t>
            </w:r>
          </w:p>
          <w:p>
            <w:pPr>
              <w:jc w:val="center"/>
              <w:rPr>
                <w:rFonts w:hint="eastAsia"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2</w:t>
            </w:r>
            <w:r>
              <w:rPr>
                <w:rFonts w:hint="eastAsia" w:ascii="宋体" w:hAnsi="宋体" w:cs="宋体"/>
                <w:sz w:val="21"/>
                <w:szCs w:val="21"/>
              </w:rPr>
              <w:t>0%）</w:t>
            </w:r>
          </w:p>
        </w:tc>
        <w:tc>
          <w:tcPr>
            <w:tcW w:w="1187" w:type="dxa"/>
            <w:tcBorders>
              <w:top w:val="single" w:color="auto" w:sz="4" w:space="0"/>
              <w:right w:val="single" w:color="auto" w:sz="4" w:space="0"/>
            </w:tcBorders>
            <w:noWrap w:val="0"/>
            <w:vAlign w:val="center"/>
          </w:tcPr>
          <w:p>
            <w:pPr>
              <w:ind w:firstLine="28"/>
              <w:jc w:val="center"/>
              <w:rPr>
                <w:rFonts w:hint="eastAsia" w:ascii="宋体" w:hAnsi="宋体" w:cs="宋体"/>
                <w:color w:val="auto"/>
                <w:sz w:val="21"/>
                <w:szCs w:val="21"/>
              </w:rPr>
            </w:pPr>
            <w:r>
              <w:rPr>
                <w:rFonts w:hint="eastAsia" w:ascii="宋体" w:hAnsi="宋体" w:cs="宋体"/>
                <w:color w:val="auto"/>
                <w:sz w:val="21"/>
                <w:szCs w:val="21"/>
                <w:lang w:val="en-US" w:eastAsia="zh-CN"/>
              </w:rPr>
              <w:t>制造商</w:t>
            </w:r>
            <w:r>
              <w:rPr>
                <w:rFonts w:hint="eastAsia" w:ascii="宋体" w:hAnsi="宋体" w:cs="宋体"/>
                <w:color w:val="auto"/>
                <w:sz w:val="21"/>
                <w:szCs w:val="21"/>
              </w:rPr>
              <w:t>资质</w:t>
            </w:r>
          </w:p>
          <w:p>
            <w:pPr>
              <w:ind w:firstLine="28"/>
              <w:jc w:val="center"/>
              <w:rPr>
                <w:rFonts w:ascii="宋体" w:hAnsi="宋体" w:cs="宋体"/>
                <w:color w:val="auto"/>
                <w:sz w:val="21"/>
                <w:szCs w:val="21"/>
              </w:rPr>
            </w:pPr>
            <w:r>
              <w:rPr>
                <w:rFonts w:hint="eastAsia" w:ascii="宋体" w:hAnsi="宋体" w:cs="宋体"/>
                <w:color w:val="auto"/>
                <w:sz w:val="21"/>
                <w:szCs w:val="21"/>
              </w:rPr>
              <w:t>（1</w:t>
            </w:r>
            <w:r>
              <w:rPr>
                <w:rFonts w:hint="eastAsia" w:ascii="宋体" w:hAnsi="宋体" w:cs="宋体"/>
                <w:color w:val="auto"/>
                <w:sz w:val="21"/>
                <w:szCs w:val="21"/>
                <w:lang w:val="en-US" w:eastAsia="zh-CN"/>
              </w:rPr>
              <w:t>6</w:t>
            </w:r>
            <w:r>
              <w:rPr>
                <w:rFonts w:hint="eastAsia" w:ascii="宋体" w:hAnsi="宋体" w:cs="宋体"/>
                <w:color w:val="auto"/>
                <w:sz w:val="21"/>
                <w:szCs w:val="21"/>
              </w:rPr>
              <w:t>分）</w:t>
            </w:r>
          </w:p>
        </w:tc>
        <w:tc>
          <w:tcPr>
            <w:tcW w:w="3968" w:type="dxa"/>
            <w:tcBorders>
              <w:left w:val="single" w:color="auto" w:sz="4" w:space="0"/>
            </w:tcBorders>
            <w:noWrap w:val="0"/>
            <w:vAlign w:val="center"/>
          </w:tcPr>
          <w:p>
            <w:pPr>
              <w:rPr>
                <w:rFonts w:hint="eastAsia" w:ascii="宋体" w:hAnsi="宋体" w:cs="宋体"/>
                <w:color w:val="auto"/>
                <w:sz w:val="21"/>
                <w:szCs w:val="21"/>
              </w:rPr>
            </w:pPr>
            <w:r>
              <w:rPr>
                <w:rFonts w:hint="eastAsia" w:ascii="宋体" w:hAnsi="宋体" w:cs="宋体"/>
                <w:color w:val="auto"/>
                <w:sz w:val="21"/>
                <w:szCs w:val="21"/>
              </w:rPr>
              <w:t>1、</w:t>
            </w:r>
            <w:r>
              <w:rPr>
                <w:rFonts w:hint="eastAsia" w:ascii="宋体" w:hAnsi="宋体" w:cs="宋体"/>
                <w:color w:val="auto"/>
                <w:sz w:val="21"/>
                <w:szCs w:val="21"/>
                <w:lang w:val="en-US" w:eastAsia="zh-CN"/>
              </w:rPr>
              <w:t>为保障产品功能安全稳定性，安全设备</w:t>
            </w:r>
            <w:r>
              <w:rPr>
                <w:rFonts w:hint="eastAsia" w:ascii="宋体" w:hAnsi="宋体" w:cs="宋体"/>
                <w:color w:val="auto"/>
                <w:sz w:val="21"/>
                <w:szCs w:val="21"/>
              </w:rPr>
              <w:t>厂商应具备CCRC信息安全服务资质-软件安全开发一级得</w:t>
            </w:r>
            <w:r>
              <w:rPr>
                <w:rFonts w:hint="eastAsia" w:ascii="宋体" w:hAnsi="宋体" w:cs="宋体"/>
                <w:color w:val="auto"/>
                <w:sz w:val="21"/>
                <w:szCs w:val="21"/>
                <w:lang w:val="en-US" w:eastAsia="zh-CN"/>
              </w:rPr>
              <w:t>4</w:t>
            </w:r>
            <w:r>
              <w:rPr>
                <w:rFonts w:hint="eastAsia" w:ascii="宋体" w:hAnsi="宋体" w:cs="宋体"/>
                <w:color w:val="auto"/>
                <w:sz w:val="21"/>
                <w:szCs w:val="21"/>
              </w:rPr>
              <w:t>分，二级</w:t>
            </w:r>
            <w:r>
              <w:rPr>
                <w:rFonts w:hint="eastAsia" w:ascii="宋体" w:hAnsi="宋体" w:cs="宋体"/>
                <w:color w:val="auto"/>
                <w:sz w:val="21"/>
                <w:szCs w:val="21"/>
                <w:lang w:val="en-US" w:eastAsia="zh-CN"/>
              </w:rPr>
              <w:t>得2</w:t>
            </w:r>
            <w:r>
              <w:rPr>
                <w:rFonts w:hint="eastAsia" w:ascii="宋体" w:hAnsi="宋体" w:cs="宋体"/>
                <w:color w:val="auto"/>
                <w:sz w:val="21"/>
                <w:szCs w:val="21"/>
              </w:rPr>
              <w:t>分，不具备不得分。</w:t>
            </w:r>
          </w:p>
          <w:p>
            <w:pPr>
              <w:rPr>
                <w:rFonts w:hint="eastAsia" w:ascii="宋体" w:hAnsi="宋体" w:cs="宋体"/>
                <w:color w:val="auto"/>
                <w:sz w:val="21"/>
                <w:szCs w:val="21"/>
              </w:rPr>
            </w:pPr>
            <w:r>
              <w:rPr>
                <w:rFonts w:hint="eastAsia" w:ascii="宋体" w:hAnsi="宋体" w:cs="宋体"/>
                <w:color w:val="auto"/>
                <w:sz w:val="21"/>
                <w:szCs w:val="21"/>
              </w:rPr>
              <w:t>2、</w:t>
            </w:r>
            <w:r>
              <w:rPr>
                <w:rFonts w:hint="eastAsia" w:ascii="宋体" w:hAnsi="宋体" w:cs="宋体"/>
                <w:color w:val="auto"/>
                <w:sz w:val="21"/>
                <w:szCs w:val="21"/>
                <w:lang w:val="en-US" w:eastAsia="zh-CN"/>
              </w:rPr>
              <w:t>为保障产品功能安全稳定性，安全设备</w:t>
            </w:r>
            <w:r>
              <w:rPr>
                <w:rFonts w:hint="eastAsia" w:ascii="宋体" w:hAnsi="宋体" w:cs="宋体"/>
                <w:color w:val="auto"/>
                <w:sz w:val="21"/>
                <w:szCs w:val="21"/>
              </w:rPr>
              <w:t>厂商应具备中国信息安全测评中心</w:t>
            </w:r>
            <w:r>
              <w:rPr>
                <w:rFonts w:hint="eastAsia" w:ascii="宋体" w:hAnsi="宋体" w:cs="宋体"/>
                <w:color w:val="auto"/>
                <w:sz w:val="21"/>
                <w:szCs w:val="21"/>
                <w:lang w:val="en-US" w:eastAsia="zh-CN"/>
              </w:rPr>
              <w:t>颁发的国测信息安全服务资质-安全工程类三级得4分，二级得2分，不具备不得分</w:t>
            </w:r>
            <w:r>
              <w:rPr>
                <w:rFonts w:hint="eastAsia" w:ascii="宋体" w:hAnsi="宋体" w:cs="宋体"/>
                <w:color w:val="auto"/>
                <w:sz w:val="21"/>
                <w:szCs w:val="21"/>
              </w:rPr>
              <w:t>。</w:t>
            </w:r>
          </w:p>
          <w:p>
            <w:pPr>
              <w:rPr>
                <w:rFonts w:hint="eastAsia" w:ascii="宋体" w:hAnsi="宋体" w:cs="宋体"/>
                <w:color w:val="auto"/>
                <w:sz w:val="21"/>
                <w:szCs w:val="21"/>
              </w:rPr>
            </w:pPr>
            <w:r>
              <w:rPr>
                <w:rFonts w:hint="eastAsia" w:ascii="宋体" w:hAnsi="宋体" w:cs="宋体"/>
                <w:color w:val="auto"/>
                <w:sz w:val="21"/>
                <w:szCs w:val="21"/>
              </w:rPr>
              <w:t>3、</w:t>
            </w:r>
            <w:r>
              <w:rPr>
                <w:rFonts w:hint="eastAsia" w:ascii="宋体" w:hAnsi="宋体" w:cs="宋体"/>
                <w:color w:val="auto"/>
                <w:sz w:val="21"/>
                <w:szCs w:val="21"/>
                <w:lang w:val="en-US" w:eastAsia="zh-CN"/>
              </w:rPr>
              <w:t>为保障产品供应链安全，安全设备制造商应具备ISO28000供应链安全管理体系，具备得4分，不具备不得分</w:t>
            </w:r>
            <w:r>
              <w:rPr>
                <w:rFonts w:hint="eastAsia" w:ascii="宋体" w:hAnsi="宋体" w:cs="宋体"/>
                <w:color w:val="auto"/>
                <w:sz w:val="21"/>
                <w:szCs w:val="21"/>
              </w:rPr>
              <w:t>。</w:t>
            </w:r>
          </w:p>
          <w:p>
            <w:pPr>
              <w:rPr>
                <w:rFonts w:hint="default" w:ascii="宋体" w:hAnsi="宋体" w:eastAsia="宋体" w:cs="宋体"/>
                <w:color w:val="auto"/>
                <w:sz w:val="21"/>
                <w:szCs w:val="21"/>
                <w:lang w:val="en-US" w:eastAsia="zh-CN"/>
              </w:rPr>
            </w:pPr>
            <w:r>
              <w:rPr>
                <w:rFonts w:hint="eastAsia" w:ascii="宋体" w:hAnsi="宋体" w:cs="宋体"/>
                <w:color w:val="auto"/>
                <w:sz w:val="21"/>
                <w:szCs w:val="21"/>
              </w:rPr>
              <w:t>4、</w:t>
            </w:r>
            <w:r>
              <w:rPr>
                <w:rFonts w:hint="eastAsia" w:ascii="宋体" w:hAnsi="宋体" w:cs="宋体"/>
                <w:color w:val="auto"/>
                <w:sz w:val="21"/>
                <w:szCs w:val="21"/>
                <w:lang w:val="en-US" w:eastAsia="zh-CN"/>
              </w:rPr>
              <w:t>终端安全管理系统产品近三年任意一年IDC市场排名第一得4分，第二得2分，第三得1分，其余不得分。</w:t>
            </w:r>
          </w:p>
        </w:tc>
        <w:tc>
          <w:tcPr>
            <w:tcW w:w="1473" w:type="dxa"/>
            <w:noWrap w:val="0"/>
            <w:vAlign w:val="center"/>
          </w:tcPr>
          <w:p>
            <w:pPr>
              <w:rPr>
                <w:rFonts w:hint="eastAsia" w:ascii="宋体" w:hAnsi="宋体" w:cs="宋体"/>
                <w:sz w:val="21"/>
                <w:szCs w:val="21"/>
              </w:rPr>
            </w:pPr>
            <w:r>
              <w:rPr>
                <w:rFonts w:hint="eastAsia" w:ascii="宋体" w:hAnsi="宋体" w:cs="宋体"/>
                <w:sz w:val="21"/>
                <w:szCs w:val="21"/>
              </w:rPr>
              <w:t>提供证书复印件并加</w:t>
            </w:r>
            <w:r>
              <w:rPr>
                <w:rFonts w:hint="eastAsia" w:ascii="宋体" w:hAnsi="宋体" w:cs="宋体"/>
                <w:sz w:val="21"/>
                <w:szCs w:val="21"/>
                <w:lang w:val="en-US" w:eastAsia="zh-CN"/>
              </w:rPr>
              <w:t>盖投标人</w:t>
            </w:r>
            <w:r>
              <w:rPr>
                <w:rFonts w:hint="eastAsia" w:ascii="宋体" w:hAnsi="宋体" w:cs="宋体"/>
                <w:sz w:val="21"/>
                <w:szCs w:val="21"/>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09" w:type="dxa"/>
            <w:vMerge w:val="continue"/>
            <w:tcBorders>
              <w:top w:val="single" w:color="auto" w:sz="4" w:space="0"/>
              <w:left w:val="single" w:color="auto" w:sz="4" w:space="0"/>
              <w:bottom w:val="single" w:color="auto" w:sz="4" w:space="0"/>
            </w:tcBorders>
            <w:noWrap w:val="0"/>
            <w:vAlign w:val="center"/>
          </w:tcPr>
          <w:p>
            <w:pPr>
              <w:ind w:left="-38"/>
              <w:rPr>
                <w:rFonts w:hint="eastAsia" w:ascii="宋体" w:hAnsi="宋体" w:cs="宋体"/>
                <w:sz w:val="21"/>
                <w:szCs w:val="21"/>
              </w:rPr>
            </w:pPr>
          </w:p>
        </w:tc>
        <w:tc>
          <w:tcPr>
            <w:tcW w:w="1063" w:type="dxa"/>
            <w:vMerge w:val="continue"/>
            <w:tcBorders>
              <w:top w:val="single" w:color="auto" w:sz="4" w:space="0"/>
              <w:bottom w:val="single" w:color="auto" w:sz="4" w:space="0"/>
            </w:tcBorders>
            <w:noWrap w:val="0"/>
            <w:vAlign w:val="center"/>
          </w:tcPr>
          <w:p>
            <w:pPr>
              <w:ind w:left="-38"/>
              <w:rPr>
                <w:rFonts w:hint="eastAsia" w:ascii="宋体" w:hAnsi="宋体" w:cs="宋体"/>
                <w:sz w:val="21"/>
                <w:szCs w:val="21"/>
              </w:rPr>
            </w:pPr>
          </w:p>
        </w:tc>
        <w:tc>
          <w:tcPr>
            <w:tcW w:w="1187" w:type="dxa"/>
            <w:tcBorders>
              <w:top w:val="single" w:color="auto" w:sz="4" w:space="0"/>
              <w:bottom w:val="single" w:color="auto" w:sz="4" w:space="0"/>
              <w:right w:val="single" w:color="auto" w:sz="4" w:space="0"/>
            </w:tcBorders>
            <w:noWrap w:val="0"/>
            <w:vAlign w:val="center"/>
          </w:tcPr>
          <w:p>
            <w:pPr>
              <w:ind w:left="-38"/>
              <w:jc w:val="center"/>
              <w:rPr>
                <w:rFonts w:hint="eastAsia" w:ascii="宋体" w:hAnsi="宋体" w:cs="宋体"/>
                <w:sz w:val="21"/>
                <w:szCs w:val="21"/>
              </w:rPr>
            </w:pPr>
            <w:r>
              <w:rPr>
                <w:rFonts w:hint="eastAsia" w:ascii="宋体" w:hAnsi="宋体" w:cs="宋体"/>
                <w:sz w:val="21"/>
                <w:szCs w:val="21"/>
              </w:rPr>
              <w:t>类似业绩</w:t>
            </w:r>
          </w:p>
          <w:p>
            <w:pPr>
              <w:ind w:left="-38"/>
              <w:jc w:val="center"/>
              <w:rPr>
                <w:rFonts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4</w:t>
            </w:r>
            <w:r>
              <w:rPr>
                <w:rFonts w:hint="eastAsia" w:ascii="宋体" w:hAnsi="宋体" w:cs="宋体"/>
                <w:sz w:val="21"/>
                <w:szCs w:val="21"/>
              </w:rPr>
              <w:t>分）</w:t>
            </w:r>
          </w:p>
        </w:tc>
        <w:tc>
          <w:tcPr>
            <w:tcW w:w="3968" w:type="dxa"/>
            <w:tcBorders>
              <w:left w:val="single" w:color="auto" w:sz="4" w:space="0"/>
            </w:tcBorders>
            <w:noWrap w:val="0"/>
            <w:vAlign w:val="center"/>
          </w:tcPr>
          <w:p>
            <w:pPr>
              <w:rPr>
                <w:rFonts w:hint="eastAsia" w:ascii="宋体" w:hAnsi="宋体" w:cs="宋体"/>
                <w:sz w:val="22"/>
                <w:szCs w:val="22"/>
              </w:rPr>
            </w:pPr>
            <w:r>
              <w:rPr>
                <w:rFonts w:hint="eastAsia" w:ascii="宋体" w:hAnsi="宋体" w:cs="宋体"/>
                <w:sz w:val="22"/>
                <w:szCs w:val="22"/>
              </w:rPr>
              <w:t>1、投标人具有近三年的类似集成类项目案例，按要求每提供一个项目案例得</w:t>
            </w:r>
            <w:r>
              <w:rPr>
                <w:rFonts w:hint="eastAsia" w:ascii="宋体" w:hAnsi="宋体" w:cs="宋体"/>
                <w:sz w:val="22"/>
                <w:szCs w:val="22"/>
                <w:lang w:val="en-US" w:eastAsia="zh-CN"/>
              </w:rPr>
              <w:t>2</w:t>
            </w:r>
            <w:r>
              <w:rPr>
                <w:rFonts w:hint="eastAsia" w:ascii="宋体" w:hAnsi="宋体" w:cs="宋体"/>
                <w:sz w:val="22"/>
                <w:szCs w:val="22"/>
              </w:rPr>
              <w:t>分，最高得</w:t>
            </w:r>
            <w:r>
              <w:rPr>
                <w:rFonts w:hint="eastAsia" w:ascii="宋体" w:hAnsi="宋体" w:cs="宋体"/>
                <w:sz w:val="22"/>
                <w:szCs w:val="22"/>
                <w:lang w:val="en-US" w:eastAsia="zh-CN"/>
              </w:rPr>
              <w:t>4</w:t>
            </w:r>
            <w:r>
              <w:rPr>
                <w:rFonts w:hint="eastAsia" w:ascii="宋体" w:hAnsi="宋体" w:cs="宋体"/>
                <w:sz w:val="22"/>
                <w:szCs w:val="22"/>
              </w:rPr>
              <w:t>分，没有不得分。</w:t>
            </w:r>
          </w:p>
          <w:p>
            <w:pPr>
              <w:rPr>
                <w:rFonts w:hint="eastAsia" w:ascii="宋体" w:hAnsi="宋体" w:cs="宋体"/>
                <w:sz w:val="22"/>
                <w:szCs w:val="22"/>
              </w:rPr>
            </w:pPr>
            <w:r>
              <w:rPr>
                <w:rFonts w:hint="eastAsia" w:ascii="宋体" w:hAnsi="宋体" w:cs="宋体"/>
                <w:sz w:val="22"/>
                <w:szCs w:val="22"/>
              </w:rPr>
              <w:t>需提供以下材料：</w:t>
            </w:r>
          </w:p>
          <w:p>
            <w:pPr>
              <w:rPr>
                <w:rFonts w:hint="eastAsia" w:ascii="宋体" w:hAnsi="宋体" w:cs="宋体"/>
                <w:sz w:val="21"/>
                <w:szCs w:val="21"/>
              </w:rPr>
            </w:pPr>
            <w:r>
              <w:rPr>
                <w:rFonts w:hint="eastAsia" w:ascii="宋体" w:hAnsi="宋体" w:cs="宋体"/>
                <w:sz w:val="22"/>
                <w:szCs w:val="22"/>
              </w:rPr>
              <w:t>需要提供合同关键页（包含具有建设单位名称及建设单位公章的关键页）复印件。</w:t>
            </w:r>
          </w:p>
        </w:tc>
        <w:tc>
          <w:tcPr>
            <w:tcW w:w="1473" w:type="dxa"/>
            <w:noWrap w:val="0"/>
            <w:vAlign w:val="center"/>
          </w:tcPr>
          <w:p>
            <w:pPr>
              <w:rPr>
                <w:rFonts w:hint="default" w:ascii="宋体" w:hAnsi="宋体" w:eastAsia="宋体" w:cs="宋体"/>
                <w:sz w:val="21"/>
                <w:szCs w:val="21"/>
                <w:lang w:val="en-US" w:eastAsia="zh-CN"/>
              </w:rPr>
            </w:pPr>
            <w:r>
              <w:rPr>
                <w:rFonts w:hint="eastAsia" w:ascii="宋体" w:hAnsi="宋体" w:cs="宋体"/>
                <w:sz w:val="21"/>
                <w:szCs w:val="21"/>
                <w:lang w:val="en-US" w:eastAsia="zh-CN"/>
              </w:rPr>
              <w:t>提供合同复印件关键页并加盖投标人公章</w:t>
            </w:r>
          </w:p>
          <w:p>
            <w:pPr>
              <w:rPr>
                <w:rFonts w:hint="eastAsia" w:ascii="宋体" w:hAnsi="宋体" w:cs="宋体"/>
                <w:sz w:val="21"/>
                <w:szCs w:val="21"/>
              </w:rPr>
            </w:pPr>
          </w:p>
        </w:tc>
      </w:tr>
    </w:tbl>
    <w:p/>
    <w:p>
      <w:pPr>
        <w:pStyle w:val="13"/>
        <w:numPr>
          <w:ilvl w:val="0"/>
          <w:numId w:val="0"/>
        </w:numPr>
        <w:spacing w:line="360" w:lineRule="auto"/>
        <w:ind w:leftChars="0"/>
        <w:rPr>
          <w:rFonts w:hint="eastAsia" w:ascii="宋体" w:hAnsi="宋体" w:eastAsia="宋体" w:cs="宋体"/>
          <w:b/>
          <w:sz w:val="28"/>
          <w:szCs w:val="28"/>
          <w:lang w:val="en-US" w:eastAsia="zh-CN"/>
          <w:woUserID w:val="3"/>
        </w:rPr>
      </w:pPr>
    </w:p>
    <w:p>
      <w:pPr>
        <w:rPr>
          <w:color w:val="auto"/>
        </w:rPr>
      </w:pPr>
    </w:p>
    <w:p>
      <w:pPr>
        <w:pStyle w:val="5"/>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等线">
    <w:altName w:val="汉仪中等线KW"/>
    <w:panose1 w:val="02010600030101010101"/>
    <w:charset w:val="86"/>
    <w:family w:val="auto"/>
    <w:pitch w:val="default"/>
    <w:sig w:usb0="00000000" w:usb1="00000000" w:usb2="00000016" w:usb3="00000000" w:csb0="0004000F" w:csb1="00000000"/>
  </w:font>
  <w:font w:name="仿宋_GB2312">
    <w:altName w:val="汉仪仿宋KW"/>
    <w:panose1 w:val="02010609030101010101"/>
    <w:charset w:val="86"/>
    <w:family w:val="modern"/>
    <w:pitch w:val="default"/>
    <w:sig w:usb0="00000000" w:usb1="00000000" w:usb2="00000010" w:usb3="00000000" w:csb0="00040000" w:csb1="00000000"/>
  </w:font>
  <w:font w:name="汉仪中等线KW">
    <w:panose1 w:val="01010104010101010101"/>
    <w:charset w:val="86"/>
    <w:family w:val="auto"/>
    <w:pitch w:val="default"/>
    <w:sig w:usb0="800002BF" w:usb1="004F7CFA" w:usb2="00000000" w:usb3="00000000" w:csb0="00040001" w:csb1="00000000"/>
  </w:font>
  <w:font w:name="汉仪仿宋KW">
    <w:panose1 w:val="00020600040101010101"/>
    <w:charset w:val="86"/>
    <w:family w:val="auto"/>
    <w:pitch w:val="default"/>
    <w:sig w:usb0="A00002BF" w:usb1="18EF7CFA" w:usb2="00000016" w:usb3="00000000" w:csb0="0004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6BE89"/>
    <w:multiLevelType w:val="singleLevel"/>
    <w:tmpl w:val="A3A6BE89"/>
    <w:lvl w:ilvl="0" w:tentative="0">
      <w:start w:val="1"/>
      <w:numFmt w:val="chineseCounting"/>
      <w:lvlText w:val="(%1)"/>
      <w:lvlJc w:val="left"/>
      <w:pPr>
        <w:tabs>
          <w:tab w:val="left" w:pos="312"/>
        </w:tabs>
      </w:pPr>
      <w:rPr>
        <w:rFonts w:hint="eastAsia"/>
      </w:rPr>
    </w:lvl>
  </w:abstractNum>
  <w:abstractNum w:abstractNumId="1">
    <w:nsid w:val="31B029BA"/>
    <w:multiLevelType w:val="singleLevel"/>
    <w:tmpl w:val="31B029BA"/>
    <w:lvl w:ilvl="0" w:tentative="0">
      <w:start w:val="1"/>
      <w:numFmt w:val="chineseCounting"/>
      <w:lvlText w:val="%1、"/>
      <w:lvlJc w:val="left"/>
      <w:pPr>
        <w:ind w:left="440" w:hanging="44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MzMzQxZjEwMjZmNTE2ZDZmMGE2MjdiNWZlMTU1NDcifQ=="/>
  </w:docVars>
  <w:rsids>
    <w:rsidRoot w:val="00F67D64"/>
    <w:rsid w:val="00017F40"/>
    <w:rsid w:val="000D46F5"/>
    <w:rsid w:val="000F2F92"/>
    <w:rsid w:val="000F4D30"/>
    <w:rsid w:val="000F6E3C"/>
    <w:rsid w:val="00132ADD"/>
    <w:rsid w:val="0019599E"/>
    <w:rsid w:val="001E017F"/>
    <w:rsid w:val="0020339A"/>
    <w:rsid w:val="002902F3"/>
    <w:rsid w:val="002A6443"/>
    <w:rsid w:val="00326A80"/>
    <w:rsid w:val="00340335"/>
    <w:rsid w:val="00342E82"/>
    <w:rsid w:val="00345966"/>
    <w:rsid w:val="00354BC9"/>
    <w:rsid w:val="003749A7"/>
    <w:rsid w:val="003B4AF9"/>
    <w:rsid w:val="00411429"/>
    <w:rsid w:val="00427232"/>
    <w:rsid w:val="004848EE"/>
    <w:rsid w:val="004A7FC5"/>
    <w:rsid w:val="00567776"/>
    <w:rsid w:val="006005D0"/>
    <w:rsid w:val="00612369"/>
    <w:rsid w:val="006909B7"/>
    <w:rsid w:val="006A342E"/>
    <w:rsid w:val="006A6241"/>
    <w:rsid w:val="006C2A93"/>
    <w:rsid w:val="00734F9C"/>
    <w:rsid w:val="007C2E5F"/>
    <w:rsid w:val="007C53B3"/>
    <w:rsid w:val="007F359F"/>
    <w:rsid w:val="00873282"/>
    <w:rsid w:val="008911E7"/>
    <w:rsid w:val="008965B4"/>
    <w:rsid w:val="008A2AE5"/>
    <w:rsid w:val="008C45AD"/>
    <w:rsid w:val="008E1836"/>
    <w:rsid w:val="008E1849"/>
    <w:rsid w:val="0094386E"/>
    <w:rsid w:val="00967CE1"/>
    <w:rsid w:val="009C5DB7"/>
    <w:rsid w:val="009F45BB"/>
    <w:rsid w:val="009F745A"/>
    <w:rsid w:val="00A66A3C"/>
    <w:rsid w:val="00A675B2"/>
    <w:rsid w:val="00A92008"/>
    <w:rsid w:val="00AB045B"/>
    <w:rsid w:val="00AF3332"/>
    <w:rsid w:val="00AF6693"/>
    <w:rsid w:val="00B631B5"/>
    <w:rsid w:val="00B705AB"/>
    <w:rsid w:val="00B90996"/>
    <w:rsid w:val="00BA54B4"/>
    <w:rsid w:val="00C2141A"/>
    <w:rsid w:val="00C61E6E"/>
    <w:rsid w:val="00C90D84"/>
    <w:rsid w:val="00CF0E69"/>
    <w:rsid w:val="00D3437F"/>
    <w:rsid w:val="00D40DF3"/>
    <w:rsid w:val="00D47048"/>
    <w:rsid w:val="00D70B0D"/>
    <w:rsid w:val="00D86459"/>
    <w:rsid w:val="00E30442"/>
    <w:rsid w:val="00F044F6"/>
    <w:rsid w:val="00F67D64"/>
    <w:rsid w:val="00F8767A"/>
    <w:rsid w:val="00F93BC1"/>
    <w:rsid w:val="023A5CED"/>
    <w:rsid w:val="02AF383B"/>
    <w:rsid w:val="0410030A"/>
    <w:rsid w:val="054B7F59"/>
    <w:rsid w:val="08544830"/>
    <w:rsid w:val="08F45683"/>
    <w:rsid w:val="0CC46970"/>
    <w:rsid w:val="0CDA0A12"/>
    <w:rsid w:val="0E877CFB"/>
    <w:rsid w:val="0FFA58E5"/>
    <w:rsid w:val="10FA2C3E"/>
    <w:rsid w:val="116B1D07"/>
    <w:rsid w:val="12FE3A23"/>
    <w:rsid w:val="1751477A"/>
    <w:rsid w:val="17B44FF8"/>
    <w:rsid w:val="183263D1"/>
    <w:rsid w:val="188618C3"/>
    <w:rsid w:val="189B7E6F"/>
    <w:rsid w:val="19AC78FC"/>
    <w:rsid w:val="1AFA715C"/>
    <w:rsid w:val="1BAE262D"/>
    <w:rsid w:val="1BB45658"/>
    <w:rsid w:val="1D0375E4"/>
    <w:rsid w:val="1F972E5B"/>
    <w:rsid w:val="1FF57FED"/>
    <w:rsid w:val="227E0DD8"/>
    <w:rsid w:val="228D57FA"/>
    <w:rsid w:val="22D62E91"/>
    <w:rsid w:val="234C07DB"/>
    <w:rsid w:val="23D13A01"/>
    <w:rsid w:val="24704055"/>
    <w:rsid w:val="2477076F"/>
    <w:rsid w:val="25545725"/>
    <w:rsid w:val="26A177A5"/>
    <w:rsid w:val="26AD4836"/>
    <w:rsid w:val="26B21A65"/>
    <w:rsid w:val="26C5560C"/>
    <w:rsid w:val="291E49C7"/>
    <w:rsid w:val="2A4B5252"/>
    <w:rsid w:val="2BAA609E"/>
    <w:rsid w:val="2BFA7026"/>
    <w:rsid w:val="2CC17B44"/>
    <w:rsid w:val="2D7778AC"/>
    <w:rsid w:val="2DB15E0A"/>
    <w:rsid w:val="2DD721E8"/>
    <w:rsid w:val="2DFE15E8"/>
    <w:rsid w:val="2E5642BC"/>
    <w:rsid w:val="2E717347"/>
    <w:rsid w:val="2E978976"/>
    <w:rsid w:val="2EC1207D"/>
    <w:rsid w:val="2FA5374C"/>
    <w:rsid w:val="30343EB8"/>
    <w:rsid w:val="30B05F05"/>
    <w:rsid w:val="30DE5DA1"/>
    <w:rsid w:val="30FF50DE"/>
    <w:rsid w:val="318974FE"/>
    <w:rsid w:val="31E367AE"/>
    <w:rsid w:val="32EE540A"/>
    <w:rsid w:val="32EE71B8"/>
    <w:rsid w:val="33492A50"/>
    <w:rsid w:val="348F13EB"/>
    <w:rsid w:val="3512490E"/>
    <w:rsid w:val="35635C3C"/>
    <w:rsid w:val="37B842A4"/>
    <w:rsid w:val="37E50D5F"/>
    <w:rsid w:val="37E73076"/>
    <w:rsid w:val="397B192E"/>
    <w:rsid w:val="39834FE5"/>
    <w:rsid w:val="3A625DCE"/>
    <w:rsid w:val="3A7844F3"/>
    <w:rsid w:val="3AC03628"/>
    <w:rsid w:val="3E986769"/>
    <w:rsid w:val="3EEF0540"/>
    <w:rsid w:val="3F535BD7"/>
    <w:rsid w:val="3FC6C74B"/>
    <w:rsid w:val="3FCF0789"/>
    <w:rsid w:val="3FF36BE6"/>
    <w:rsid w:val="40D86A30"/>
    <w:rsid w:val="415858C8"/>
    <w:rsid w:val="41A121EF"/>
    <w:rsid w:val="4577303D"/>
    <w:rsid w:val="45962A23"/>
    <w:rsid w:val="4659529A"/>
    <w:rsid w:val="467B6B5D"/>
    <w:rsid w:val="469709B6"/>
    <w:rsid w:val="46E13B4D"/>
    <w:rsid w:val="470C2C52"/>
    <w:rsid w:val="47DC187E"/>
    <w:rsid w:val="4B03149F"/>
    <w:rsid w:val="4B121AB3"/>
    <w:rsid w:val="4B3317B5"/>
    <w:rsid w:val="4B5D43C3"/>
    <w:rsid w:val="4BDB0C80"/>
    <w:rsid w:val="4D1B25E3"/>
    <w:rsid w:val="4D310B05"/>
    <w:rsid w:val="50171970"/>
    <w:rsid w:val="50EB09C3"/>
    <w:rsid w:val="50EC2B32"/>
    <w:rsid w:val="51453FF0"/>
    <w:rsid w:val="51E4124A"/>
    <w:rsid w:val="51F50B16"/>
    <w:rsid w:val="51FF4AE6"/>
    <w:rsid w:val="52963421"/>
    <w:rsid w:val="537E77EA"/>
    <w:rsid w:val="54BB09E8"/>
    <w:rsid w:val="561F7D5A"/>
    <w:rsid w:val="58C21826"/>
    <w:rsid w:val="5A0233C6"/>
    <w:rsid w:val="5ABA5A4E"/>
    <w:rsid w:val="5AE6087B"/>
    <w:rsid w:val="5B134E8A"/>
    <w:rsid w:val="5BEC2647"/>
    <w:rsid w:val="5CCA2434"/>
    <w:rsid w:val="5CE552FC"/>
    <w:rsid w:val="5F3EFDBD"/>
    <w:rsid w:val="614C69E7"/>
    <w:rsid w:val="6278487F"/>
    <w:rsid w:val="639130C5"/>
    <w:rsid w:val="63D27965"/>
    <w:rsid w:val="65387C9C"/>
    <w:rsid w:val="655E3C22"/>
    <w:rsid w:val="659A0956"/>
    <w:rsid w:val="659D0A15"/>
    <w:rsid w:val="65A65BEB"/>
    <w:rsid w:val="6623502E"/>
    <w:rsid w:val="66CF2882"/>
    <w:rsid w:val="67140294"/>
    <w:rsid w:val="67C1041C"/>
    <w:rsid w:val="6C060F62"/>
    <w:rsid w:val="6C951E77"/>
    <w:rsid w:val="6C9D24B7"/>
    <w:rsid w:val="6D634677"/>
    <w:rsid w:val="6E751F61"/>
    <w:rsid w:val="6EFF76E8"/>
    <w:rsid w:val="6F83CB83"/>
    <w:rsid w:val="6FA57CAF"/>
    <w:rsid w:val="6FED7D39"/>
    <w:rsid w:val="707D50FC"/>
    <w:rsid w:val="70CE457D"/>
    <w:rsid w:val="713003C1"/>
    <w:rsid w:val="714573C1"/>
    <w:rsid w:val="716D3CED"/>
    <w:rsid w:val="71AA759F"/>
    <w:rsid w:val="736E3270"/>
    <w:rsid w:val="738E5342"/>
    <w:rsid w:val="73CDFE15"/>
    <w:rsid w:val="74B7B450"/>
    <w:rsid w:val="75734D20"/>
    <w:rsid w:val="77B95C51"/>
    <w:rsid w:val="77BF4D26"/>
    <w:rsid w:val="78277DE1"/>
    <w:rsid w:val="78FD32DB"/>
    <w:rsid w:val="7B1BDC4C"/>
    <w:rsid w:val="7B22169F"/>
    <w:rsid w:val="7B2820ED"/>
    <w:rsid w:val="7B71338B"/>
    <w:rsid w:val="7BD83B2F"/>
    <w:rsid w:val="7D3F0FB6"/>
    <w:rsid w:val="7D9DB0C0"/>
    <w:rsid w:val="7EE46FFE"/>
    <w:rsid w:val="7F331319"/>
    <w:rsid w:val="7F868B4A"/>
    <w:rsid w:val="7F8B7F7A"/>
    <w:rsid w:val="7FFF371B"/>
    <w:rsid w:val="93E79C45"/>
    <w:rsid w:val="97FF4BC5"/>
    <w:rsid w:val="997F6A02"/>
    <w:rsid w:val="AB7FFDC3"/>
    <w:rsid w:val="BB9CD643"/>
    <w:rsid w:val="BE5B0AB5"/>
    <w:rsid w:val="CF136C41"/>
    <w:rsid w:val="D7EE334C"/>
    <w:rsid w:val="D9BC89D7"/>
    <w:rsid w:val="DDDF0F54"/>
    <w:rsid w:val="E737F959"/>
    <w:rsid w:val="EED3DCD8"/>
    <w:rsid w:val="F2FD385B"/>
    <w:rsid w:val="F51F104B"/>
    <w:rsid w:val="FB7BCE5A"/>
    <w:rsid w:val="FB7FBF7C"/>
    <w:rsid w:val="FBBD2E67"/>
    <w:rsid w:val="FBFFC719"/>
    <w:rsid w:val="FDFFE986"/>
    <w:rsid w:val="FE7BFD63"/>
    <w:rsid w:val="FEBFE220"/>
    <w:rsid w:val="FEFFCDD5"/>
    <w:rsid w:val="FF7F1621"/>
    <w:rsid w:val="FF9BA57E"/>
    <w:rsid w:val="FFDFF5F8"/>
    <w:rsid w:val="FFE78825"/>
    <w:rsid w:val="FFFEEC1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8"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8"/>
    <w:pPr>
      <w:keepNext/>
      <w:keepLines/>
      <w:adjustRightInd w:val="0"/>
      <w:snapToGrid w:val="0"/>
      <w:spacing w:line="360" w:lineRule="auto"/>
      <w:outlineLvl w:val="1"/>
    </w:pPr>
    <w:rPr>
      <w:rFonts w:ascii="宋体" w:hAnsi="宋体"/>
    </w:rPr>
  </w:style>
  <w:style w:type="paragraph" w:styleId="3">
    <w:name w:val="heading 3"/>
    <w:basedOn w:val="1"/>
    <w:next w:val="1"/>
    <w:qFormat/>
    <w:uiPriority w:val="0"/>
    <w:pPr>
      <w:keepNext/>
      <w:keepLines/>
      <w:spacing w:before="260" w:after="260" w:line="413" w:lineRule="auto"/>
      <w:outlineLvl w:val="2"/>
    </w:pPr>
    <w:rPr>
      <w:b/>
      <w:sz w:val="32"/>
    </w:rPr>
  </w:style>
  <w:style w:type="paragraph" w:styleId="4">
    <w:name w:val="heading 4"/>
    <w:basedOn w:val="1"/>
    <w:next w:val="1"/>
    <w:semiHidden/>
    <w:unhideWhenUsed/>
    <w:qFormat/>
    <w:uiPriority w:val="9"/>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adjustRightInd w:val="0"/>
      <w:snapToGrid w:val="0"/>
      <w:spacing w:line="360" w:lineRule="auto"/>
      <w:ind w:firstLine="420"/>
    </w:pPr>
    <w:rPr>
      <w:sz w:val="24"/>
    </w:rPr>
  </w:style>
  <w:style w:type="paragraph" w:styleId="6">
    <w:name w:val="toc 1"/>
    <w:basedOn w:val="1"/>
    <w:next w:val="1"/>
    <w:qFormat/>
    <w:uiPriority w:val="0"/>
    <w:pPr>
      <w:spacing w:line="180" w:lineRule="auto"/>
      <w:jc w:val="center"/>
    </w:pPr>
    <w:rPr>
      <w:sz w:val="30"/>
    </w:rPr>
  </w:style>
  <w:style w:type="paragraph" w:styleId="7">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semiHidden/>
    <w:unhideWhenUsed/>
    <w:qFormat/>
    <w:uiPriority w:val="99"/>
    <w:pPr>
      <w:spacing w:beforeAutospacing="1" w:afterAutospacing="1"/>
      <w:jc w:val="left"/>
    </w:pPr>
    <w:rPr>
      <w:rFonts w:cs="Times New Roman"/>
      <w:kern w:val="0"/>
      <w:sz w:val="24"/>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rPr>
  </w:style>
  <w:style w:type="paragraph" w:styleId="13">
    <w:name w:val="List Paragraph"/>
    <w:basedOn w:val="1"/>
    <w:qFormat/>
    <w:uiPriority w:val="34"/>
    <w:pPr>
      <w:ind w:firstLine="420" w:firstLineChars="200"/>
    </w:pPr>
  </w:style>
  <w:style w:type="paragraph" w:customStyle="1" w:styleId="14">
    <w:name w:val="图例"/>
    <w:basedOn w:val="1"/>
    <w:qFormat/>
    <w:uiPriority w:val="0"/>
    <w:pPr>
      <w:spacing w:before="120" w:beforeLines="0" w:beforeAutospacing="0" w:after="120" w:afterLines="0" w:afterAutospacing="0" w:line="360" w:lineRule="auto"/>
      <w:jc w:val="center"/>
    </w:pPr>
    <w:rPr>
      <w:rFonts w:eastAsia="仿宋_GB2312"/>
      <w:b/>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P R C</Company>
  <Pages>1</Pages>
  <Words>4898</Words>
  <Characters>5385</Characters>
  <Lines>1</Lines>
  <Paragraphs>1</Paragraphs>
  <TotalTime>6</TotalTime>
  <ScaleCrop>false</ScaleCrop>
  <LinksUpToDate>false</LinksUpToDate>
  <CharactersWithSpaces>5410</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2021-08-27T01:39:00Z</dcterms:created>
  <dc:creator>Administrator</dc:creator>
  <cp:lastModifiedBy>HUI</cp:lastModifiedBy>
  <dcterms:modified xsi:type="dcterms:W3CDTF">2025-06-21T15:59:51Z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885EE62A5302403ABC06C51018115B2A_12</vt:lpwstr>
  </property>
  <property fmtid="{D5CDD505-2E9C-101B-9397-08002B2CF9AE}" pid="4" name="MSIP_Label_defa4170-0d19-0005-0004-bc88714345d2_Enabled">
    <vt:lpwstr>true</vt:lpwstr>
  </property>
  <property fmtid="{D5CDD505-2E9C-101B-9397-08002B2CF9AE}" pid="5" name="MSIP_Label_defa4170-0d19-0005-0004-bc88714345d2_SetDate">
    <vt:lpwstr>2024-09-23T08:26:14Z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67fe4a7c-2219-44ec-8051-201658c79ec8</vt:lpwstr>
  </property>
  <property fmtid="{D5CDD505-2E9C-101B-9397-08002B2CF9AE}" pid="9" name="MSIP_Label_defa4170-0d19-0005-0004-bc88714345d2_ActionId">
    <vt:lpwstr>6bde4aac-a014-4eb4-9895-2d156466dcf1</vt:lpwstr>
  </property>
  <property fmtid="{D5CDD505-2E9C-101B-9397-08002B2CF9AE}" pid="10" name="MSIP_Label_defa4170-0d19-0005-0004-bc88714345d2_ContentBits">
    <vt:lpwstr>0</vt:lpwstr>
  </property>
  <property fmtid="{D5CDD505-2E9C-101B-9397-08002B2CF9AE}" pid="11" name="KSOTemplateDocerSaveRecord">
    <vt:lpwstr>eyJoZGlkIjoiMTMzMzQxZjEwMjZmNTE2ZDZmMGE2MjdiNWZlMTU1NDciLCJ1c2VySWQiOiI3NDAwMTg1MzkifQ==</vt:lpwstr>
  </property>
</Properties>
</file>