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color w:val="000000" w:themeColor="text1"/>
          <w14:textFill>
            <w14:solidFill>
              <w14:schemeClr w14:val="tx1"/>
            </w14:solidFill>
          </w14:textFill>
        </w:rPr>
      </w:pPr>
      <w:bookmarkStart w:id="0" w:name="_GoBack"/>
      <w:bookmarkEnd w:id="0"/>
      <w:r>
        <w:rPr>
          <w:color w:val="000000" w:themeColor="text1"/>
          <w14:textFill>
            <w14:solidFill>
              <w14:schemeClr w14:val="tx1"/>
            </w14:solidFill>
          </w14:textFill>
        </w:rPr>
        <w:t>医院空调维修维保服务</w:t>
      </w:r>
      <w:r>
        <w:rPr>
          <w:rFonts w:hint="eastAsia"/>
          <w:color w:val="000000" w:themeColor="text1"/>
          <w14:textFill>
            <w14:solidFill>
              <w14:schemeClr w14:val="tx1"/>
            </w14:solidFill>
          </w14:textFill>
        </w:rPr>
        <w:t>方案</w:t>
      </w:r>
    </w:p>
    <w:p>
      <w:pPr>
        <w:pStyle w:val="3"/>
        <w:rPr>
          <w:color w:val="000000" w:themeColor="text1"/>
          <w14:textFill>
            <w14:solidFill>
              <w14:schemeClr w14:val="tx1"/>
            </w14:solidFill>
          </w14:textFill>
        </w:rPr>
      </w:pPr>
      <w:r>
        <w:rPr>
          <w:color w:val="000000" w:themeColor="text1"/>
          <w14:textFill>
            <w14:solidFill>
              <w14:schemeClr w14:val="tx1"/>
            </w14:solidFill>
          </w14:textFill>
        </w:rPr>
        <w:t>一、服务范围</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重庆市南岸区中西医结合医院拟将对医院所有空调进行采购维修维保服务，</w:t>
      </w:r>
      <w:r>
        <w:rPr>
          <w:color w:val="000000" w:themeColor="text1"/>
          <w14:textFill>
            <w14:solidFill>
              <w14:schemeClr w14:val="tx1"/>
            </w14:solidFill>
          </w14:textFill>
        </w:rPr>
        <w:t>本次服务覆盖医院指定区域内 320 台左右 1-1.5P 冷暖壁挂式空调及 40 台左右 3-3.5P 柜式空调，包含所有设备的日常维护、故障维修、专项保养及应急保障等全流程服务。</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维修维保服务包含以下地点：</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（1）重庆市南岸区弹子石新街58号（医院院本部）</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（2）南岸区弹子石正街195、189号（重庆市南岸区弹子石街道社区卫生服务中心-防保科）</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（3）重庆市南岸区腾黄路2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号（涂山镇卫生院）</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（4）南岸区大佛段正街1号（东山坪社区卫生服务站）</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（5）福民社区卫生服务站</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（6）南岸区弹子石裕华街69号（裕华街社区卫生服务站）</w:t>
      </w: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（7）莲花村卫生室</w:t>
      </w:r>
    </w:p>
    <w:p>
      <w:pPr>
        <w:pStyle w:val="3"/>
        <w:rPr>
          <w:color w:val="000000" w:themeColor="text1"/>
          <w14:textFill>
            <w14:solidFill>
              <w14:schemeClr w14:val="tx1"/>
            </w14:solidFill>
          </w14:textFill>
        </w:rPr>
      </w:pPr>
      <w:r>
        <w:rPr>
          <w:color w:val="000000" w:themeColor="text1"/>
          <w14:textFill>
            <w14:solidFill>
              <w14:schemeClr w14:val="tx1"/>
            </w14:solidFill>
          </w14:textFill>
        </w:rPr>
        <w:t>二、日常维保服务</w:t>
      </w:r>
    </w:p>
    <w:p>
      <w:pPr>
        <w:pStyle w:val="4"/>
        <w:rPr>
          <w:color w:val="000000" w:themeColor="text1"/>
          <w14:textFill>
            <w14:solidFill>
              <w14:schemeClr w14:val="tx1"/>
            </w14:solidFill>
          </w14:textFill>
        </w:rPr>
      </w:pPr>
      <w:r>
        <w:rPr>
          <w:color w:val="000000" w:themeColor="text1"/>
          <w14:textFill>
            <w14:solidFill>
              <w14:schemeClr w14:val="tx1"/>
            </w14:solidFill>
          </w14:textFill>
        </w:rPr>
        <w:t>（一）定期巡检</w:t>
      </w:r>
    </w:p>
    <w:p>
      <w:pPr>
        <w:pStyle w:val="18"/>
        <w:numPr>
          <w:ilvl w:val="0"/>
          <w:numId w:val="1"/>
        </w:numPr>
        <w:rPr>
          <w:color w:val="000000" w:themeColor="text1"/>
          <w14:textFill>
            <w14:solidFill>
              <w14:schemeClr w14:val="tx1"/>
            </w14:solidFill>
          </w14:textFill>
        </w:rPr>
      </w:pPr>
      <w:r>
        <w:rPr>
          <w:color w:val="000000" w:themeColor="text1"/>
          <w14:textFill>
            <w14:solidFill>
              <w14:schemeClr w14:val="tx1"/>
            </w14:solidFill>
          </w14:textFill>
        </w:rPr>
        <w:t>月度巡检：每月对所有空调进行全面排查，壁挂机重点检查蒸发器、冷凝器积尘情况、滤网洁净度、室内外机连接管线密封性及遥控器灵敏度；柜机额外检查出风口导风板运行状态、底座排水系统通畅性及机身电路接线端子紧固性。每台设备建立巡检记录，标注设备编号、运行参数（如制冷 / 制热功率、运行电流）及异常情况。</w:t>
      </w:r>
    </w:p>
    <w:p>
      <w:pPr>
        <w:pStyle w:val="18"/>
        <w:numPr>
          <w:ilvl w:val="0"/>
          <w:numId w:val="1"/>
        </w:numPr>
        <w:rPr>
          <w:color w:val="000000" w:themeColor="text1"/>
          <w14:textFill>
            <w14:solidFill>
              <w14:schemeClr w14:val="tx1"/>
            </w14:solidFill>
          </w14:textFill>
        </w:rPr>
      </w:pPr>
      <w:r>
        <w:rPr>
          <w:color w:val="000000" w:themeColor="text1"/>
          <w14:textFill>
            <w14:solidFill>
              <w14:schemeClr w14:val="tx1"/>
            </w14:solidFill>
          </w14:textFill>
        </w:rPr>
        <w:t>季度维保：在月度巡检基础上，对空调进行深度维护。包括拆卸清洗滤网、蒸发器（采用专业清洗剂，避免腐蚀翅片）、冷凝器；检测制冷剂压力，判断是否存在泄漏并及时补充；检查压缩机运行声音及温升，测试温控器精度；柜机需清理排水槽杂物，疏通排水管，防止积水渗漏。</w:t>
      </w:r>
    </w:p>
    <w:p>
      <w:pPr>
        <w:pStyle w:val="4"/>
        <w:rPr>
          <w:color w:val="000000" w:themeColor="text1"/>
          <w14:textFill>
            <w14:solidFill>
              <w14:schemeClr w14:val="tx1"/>
            </w14:solidFill>
          </w14:textFill>
        </w:rPr>
      </w:pPr>
      <w:r>
        <w:rPr>
          <w:color w:val="000000" w:themeColor="text1"/>
          <w14:textFill>
            <w14:solidFill>
              <w14:schemeClr w14:val="tx1"/>
            </w14:solidFill>
          </w14:textFill>
        </w:rPr>
        <w:t>（二）日常清洁与消毒</w:t>
      </w:r>
    </w:p>
    <w:p>
      <w:pPr>
        <w:pStyle w:val="18"/>
        <w:numPr>
          <w:ilvl w:val="0"/>
          <w:numId w:val="2"/>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滤网清洁：每月拆卸所有空调滤网，采用高压水枪冲洗后晾干复位；污染严重时使用中性清洁剂浸泡清洗，确保滤网无积尘、无异味。</w:t>
      </w:r>
    </w:p>
    <w:p>
      <w:pPr>
        <w:pStyle w:val="18"/>
        <w:numPr>
          <w:ilvl w:val="0"/>
          <w:numId w:val="2"/>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深度消毒：每季度对空调内部进行消毒处理，采用符合医疗场所标准的消毒剂（如季铵盐类消毒剂），对蒸发器、冷凝水盘、出风口等部位进行喷雾或擦拭消毒，消除细菌、霉菌滋生隐患，消毒后通风换气至无异味。</w:t>
      </w:r>
    </w:p>
    <w:p>
      <w:pPr>
        <w:pStyle w:val="3"/>
        <w:rPr>
          <w:color w:val="000000" w:themeColor="text1"/>
          <w14:textFill>
            <w14:solidFill>
              <w14:schemeClr w14:val="tx1"/>
            </w14:solidFill>
          </w14:textFill>
        </w:rPr>
      </w:pPr>
      <w:r>
        <w:rPr>
          <w:color w:val="000000" w:themeColor="text1"/>
          <w14:textFill>
            <w14:solidFill>
              <w14:schemeClr w14:val="tx1"/>
            </w14:solidFill>
          </w14:textFill>
        </w:rPr>
        <w:t>三、故障维修服务</w:t>
      </w:r>
    </w:p>
    <w:p>
      <w:pPr>
        <w:pStyle w:val="4"/>
        <w:rPr>
          <w:color w:val="000000" w:themeColor="text1"/>
          <w14:textFill>
            <w14:solidFill>
              <w14:schemeClr w14:val="tx1"/>
            </w14:solidFill>
          </w14:textFill>
        </w:rPr>
      </w:pPr>
      <w:r>
        <w:rPr>
          <w:color w:val="000000" w:themeColor="text1"/>
          <w14:textFill>
            <w14:solidFill>
              <w14:schemeClr w14:val="tx1"/>
            </w14:solidFill>
          </w14:textFill>
        </w:rPr>
        <w:t>（一）响应机制</w:t>
      </w:r>
    </w:p>
    <w:p>
      <w:pPr>
        <w:pStyle w:val="18"/>
        <w:numPr>
          <w:ilvl w:val="0"/>
          <w:numId w:val="3"/>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接到维修需求后，4 小时内到达现场处置；急诊区域、手术室周边等关键区域空调故障，2 小时内优先响应。</w:t>
      </w:r>
    </w:p>
    <w:p>
      <w:pPr>
        <w:pStyle w:val="18"/>
        <w:numPr>
          <w:ilvl w:val="0"/>
          <w:numId w:val="3"/>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建立 24 小时服务热线，节假日及夜间安排专人值守，保障故障信息及时接收与处理。</w:t>
      </w:r>
    </w:p>
    <w:p>
      <w:pPr>
        <w:pStyle w:val="4"/>
        <w:rPr>
          <w:color w:val="000000" w:themeColor="text1"/>
          <w14:textFill>
            <w14:solidFill>
              <w14:schemeClr w14:val="tx1"/>
            </w14:solidFill>
          </w14:textFill>
        </w:rPr>
      </w:pPr>
      <w:r>
        <w:rPr>
          <w:color w:val="000000" w:themeColor="text1"/>
          <w14:textFill>
            <w14:solidFill>
              <w14:schemeClr w14:val="tx1"/>
            </w14:solidFill>
          </w14:textFill>
        </w:rPr>
        <w:t>（二）维修流程与标准</w:t>
      </w:r>
    </w:p>
    <w:p>
      <w:pPr>
        <w:pStyle w:val="18"/>
        <w:numPr>
          <w:ilvl w:val="0"/>
          <w:numId w:val="4"/>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故障诊断：采用专业检测设备（如冷媒检漏仪、万用表、钳形电流表）精准定位故障点，向医院相关负责人说明故障原因、维修方案及预估工期。</w:t>
      </w:r>
    </w:p>
    <w:p>
      <w:pPr>
        <w:pStyle w:val="18"/>
        <w:numPr>
          <w:ilvl w:val="0"/>
          <w:numId w:val="4"/>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配件更换：维修所需配件优先选用原厂正品或符合国家质量标准的合格配件，更换前出示配件合格证明；更换后的废旧配件统一回收处理，留存记录。</w:t>
      </w:r>
    </w:p>
    <w:p>
      <w:pPr>
        <w:pStyle w:val="18"/>
        <w:numPr>
          <w:ilvl w:val="0"/>
          <w:numId w:val="4"/>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维修质量：维修后空调需达到原厂运行标准，制冷 / 制热效果达标，运行无异常噪音，能耗在合理范围内；关键部件（如压缩机、主板）维修后提供至少 6 个月质保期。</w:t>
      </w:r>
    </w:p>
    <w:p>
      <w:pPr>
        <w:pStyle w:val="18"/>
        <w:numPr>
          <w:ilvl w:val="0"/>
          <w:numId w:val="4"/>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完工验收：维修完成后清理现场，填写维修记录（含故障描述、维修内容、配件使用情况），由医院专人签字确认验收。</w:t>
      </w:r>
    </w:p>
    <w:p>
      <w:pPr>
        <w:pStyle w:val="3"/>
        <w:rPr>
          <w:color w:val="000000" w:themeColor="text1"/>
          <w14:textFill>
            <w14:solidFill>
              <w14:schemeClr w14:val="tx1"/>
            </w14:solidFill>
          </w14:textFill>
        </w:rPr>
      </w:pPr>
      <w:r>
        <w:rPr>
          <w:color w:val="000000" w:themeColor="text1"/>
          <w14:textFill>
            <w14:solidFill>
              <w14:schemeClr w14:val="tx1"/>
            </w14:solidFill>
          </w14:textFill>
        </w:rPr>
        <w:t>四、专项保障服务</w:t>
      </w:r>
    </w:p>
    <w:p>
      <w:pPr>
        <w:pStyle w:val="4"/>
        <w:ind w:firstLine="300" w:firstLineChars="100"/>
        <w:rPr>
          <w:color w:val="000000" w:themeColor="text1"/>
          <w14:textFill>
            <w14:solidFill>
              <w14:schemeClr w14:val="tx1"/>
            </w14:solidFill>
          </w14:textFill>
        </w:rPr>
      </w:pPr>
      <w:r>
        <w:rPr>
          <w:color w:val="000000" w:themeColor="text1"/>
          <w14:textFill>
            <w14:solidFill>
              <w14:schemeClr w14:val="tx1"/>
            </w14:solidFill>
          </w14:textFill>
        </w:rPr>
        <w:t>换季维保</w:t>
      </w:r>
    </w:p>
    <w:p>
      <w:pPr>
        <w:pStyle w:val="18"/>
        <w:numPr>
          <w:ilvl w:val="0"/>
          <w:numId w:val="5"/>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夏季使用前（每年 4-5 月）：对所有空调进行制冷系统全面调试，检测冷凝风扇运行效率、制冷剂循环状态，清理室外机散热片杂物，确保制冷性能稳定；检查排水系统，避免雨季积水倒灌。</w:t>
      </w:r>
    </w:p>
    <w:p>
      <w:pPr>
        <w:pStyle w:val="18"/>
        <w:numPr>
          <w:ilvl w:val="0"/>
          <w:numId w:val="5"/>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冬季使用前（每年 10-11 月）：重点测试制热功能，检查电辅热元件工作状态、四通阀切换灵敏度，排查管线保温层是否破损，防止冬季管线冻裂。</w:t>
      </w:r>
    </w:p>
    <w:p>
      <w:pPr>
        <w:pStyle w:val="3"/>
        <w:rPr>
          <w:color w:val="000000" w:themeColor="text1"/>
          <w14:textFill>
            <w14:solidFill>
              <w14:schemeClr w14:val="tx1"/>
            </w14:solidFill>
          </w14:textFill>
        </w:rPr>
      </w:pPr>
      <w:r>
        <w:rPr>
          <w:color w:val="000000" w:themeColor="text1"/>
          <w14:textFill>
            <w14:solidFill>
              <w14:schemeClr w14:val="tx1"/>
            </w14:solidFill>
          </w14:textFill>
        </w:rPr>
        <w:t>五、档案管理与报告服务</w:t>
      </w:r>
    </w:p>
    <w:p>
      <w:pPr>
        <w:pStyle w:val="18"/>
        <w:numPr>
          <w:ilvl w:val="0"/>
          <w:numId w:val="6"/>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建立设备电子及纸质双重档案，详细记录每台空调的型号、安装日期、出厂编号、历次巡检、维保、维修及配件更换信息，实现设备全生命周期可追溯。</w:t>
      </w:r>
    </w:p>
    <w:p>
      <w:pPr>
        <w:pStyle w:val="18"/>
        <w:numPr>
          <w:ilvl w:val="0"/>
          <w:numId w:val="6"/>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 xml:space="preserve">每月提交《空调运行维保月报》，内容包括本月巡检设备数量、故障处理次数及类型、配件消耗情况、存在问题及改进建议； </w:t>
      </w:r>
    </w:p>
    <w:p>
      <w:pPr>
        <w:pStyle w:val="3"/>
        <w:rPr>
          <w:color w:val="000000" w:themeColor="text1"/>
          <w14:textFill>
            <w14:solidFill>
              <w14:schemeClr w14:val="tx1"/>
            </w14:solidFill>
          </w14:textFill>
        </w:rPr>
      </w:pPr>
      <w:r>
        <w:rPr>
          <w:color w:val="000000" w:themeColor="text1"/>
          <w14:textFill>
            <w14:solidFill>
              <w14:schemeClr w14:val="tx1"/>
            </w14:solidFill>
          </w14:textFill>
        </w:rPr>
        <w:t>六、服务质量保障</w:t>
      </w:r>
    </w:p>
    <w:p>
      <w:pPr>
        <w:pStyle w:val="18"/>
        <w:numPr>
          <w:ilvl w:val="0"/>
          <w:numId w:val="7"/>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人员资质：服务团队成员需持有电工证、制冷与空调作业证等相关资质证书，具备 3 年以上空调维修维保经验。</w:t>
      </w:r>
    </w:p>
    <w:p>
      <w:pPr>
        <w:pStyle w:val="18"/>
        <w:numPr>
          <w:ilvl w:val="0"/>
          <w:numId w:val="7"/>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投诉处理：建立投诉快速响应机制，接到服务投诉后 24 小时内反馈处理方案，48 小时内解决问题，事后进行满意度回访。</w:t>
      </w:r>
    </w:p>
    <w:p>
      <w:pPr>
        <w:pStyle w:val="18"/>
        <w:numPr>
          <w:ilvl w:val="0"/>
          <w:numId w:val="7"/>
        </w:numPr>
        <w:tabs>
          <w:tab w:val="left" w:pos="720"/>
        </w:tabs>
        <w:rPr>
          <w:color w:val="000000" w:themeColor="text1"/>
          <w14:textFill>
            <w14:solidFill>
              <w14:schemeClr w14:val="tx1"/>
            </w14:solidFill>
          </w14:textFill>
        </w:rPr>
      </w:pPr>
      <w:r>
        <w:rPr>
          <w:color w:val="000000" w:themeColor="text1"/>
          <w14:textFill>
            <w14:solidFill>
              <w14:schemeClr w14:val="tx1"/>
            </w14:solidFill>
          </w14:textFill>
        </w:rPr>
        <w:t>定期评估：每半年组织一次服务满意度调查，结合医院反馈优化服务流程，提升服务质量。</w:t>
      </w:r>
    </w:p>
    <w:p>
      <w:pPr>
        <w:pStyle w:val="18"/>
        <w:rPr>
          <w:color w:val="000000" w:themeColor="text1"/>
          <w14:textFill>
            <w14:solidFill>
              <w14:schemeClr w14:val="tx1"/>
            </w14:solidFill>
          </w14:textFill>
        </w:rPr>
      </w:pPr>
    </w:p>
    <w:p>
      <w:pPr>
        <w:pStyle w:val="18"/>
        <w:rPr>
          <w:color w:val="000000" w:themeColor="text1"/>
          <w14:textFill>
            <w14:solidFill>
              <w14:schemeClr w14:val="tx1"/>
            </w14:solidFill>
          </w14:textFill>
        </w:rPr>
      </w:pPr>
      <w:r>
        <w:rPr>
          <w:rFonts w:hint="eastAsia"/>
          <w:color w:val="000000" w:themeColor="text1"/>
          <w14:textFill>
            <w14:solidFill>
              <w14:schemeClr w14:val="tx1"/>
            </w14:solidFill>
          </w14:textFill>
        </w:rPr>
        <w:t>附件：空调明细及使用年份表</w:t>
      </w:r>
    </w:p>
    <w:tbl>
      <w:tblPr>
        <w:tblStyle w:val="10"/>
        <w:tblW w:w="8926" w:type="dxa"/>
        <w:tblInd w:w="0" w:type="dxa"/>
        <w:tblLayout w:type="autofit"/>
        <w:tblCellMar>
          <w:top w:w="0" w:type="dxa"/>
          <w:left w:w="108" w:type="dxa"/>
          <w:bottom w:w="0" w:type="dxa"/>
          <w:right w:w="108" w:type="dxa"/>
        </w:tblCellMar>
      </w:tblPr>
      <w:tblGrid>
        <w:gridCol w:w="1271"/>
        <w:gridCol w:w="1418"/>
        <w:gridCol w:w="4819"/>
        <w:gridCol w:w="1418"/>
      </w:tblGrid>
      <w:tr>
        <w:trPr>
          <w:trHeight w:val="285" w:hRule="atLeast"/>
        </w:trPr>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themeColor="text1"/>
                <w:sz w:val="22"/>
                <w:szCs w:val="22"/>
                <w14:textFill>
                  <w14:solidFill>
                    <w14:schemeClr w14:val="tx1"/>
                  </w14:solidFill>
                </w14:textFill>
              </w:rPr>
            </w:pPr>
            <w:r>
              <w:rPr>
                <w:rFonts w:hint="eastAsia" w:ascii="等线" w:hAnsi="等线" w:eastAsia="等线" w:cs="宋体"/>
                <w:color w:val="000000" w:themeColor="text1"/>
                <w:sz w:val="22"/>
                <w:szCs w:val="22"/>
                <w14:textFill>
                  <w14:solidFill>
                    <w14:schemeClr w14:val="tx1"/>
                  </w14:solidFill>
                </w14:textFill>
              </w:rPr>
              <w:t>类型</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themeColor="text1"/>
                <w:sz w:val="22"/>
                <w:szCs w:val="22"/>
                <w14:textFill>
                  <w14:solidFill>
                    <w14:schemeClr w14:val="tx1"/>
                  </w14:solidFill>
                </w14:textFill>
              </w:rPr>
            </w:pPr>
            <w:r>
              <w:rPr>
                <w:rFonts w:hint="eastAsia" w:ascii="等线" w:hAnsi="等线" w:eastAsia="等线" w:cs="宋体"/>
                <w:color w:val="000000" w:themeColor="text1"/>
                <w:sz w:val="22"/>
                <w:szCs w:val="22"/>
                <w14:textFill>
                  <w14:solidFill>
                    <w14:schemeClr w14:val="tx1"/>
                  </w14:solidFill>
                </w14:textFill>
              </w:rPr>
              <w:t>品牌</w:t>
            </w:r>
          </w:p>
        </w:tc>
        <w:tc>
          <w:tcPr>
            <w:tcW w:w="4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themeColor="text1"/>
                <w:sz w:val="22"/>
                <w:szCs w:val="22"/>
                <w14:textFill>
                  <w14:solidFill>
                    <w14:schemeClr w14:val="tx1"/>
                  </w14:solidFill>
                </w14:textFill>
              </w:rPr>
            </w:pPr>
            <w:r>
              <w:rPr>
                <w:rFonts w:hint="eastAsia" w:ascii="等线" w:hAnsi="等线" w:eastAsia="等线" w:cs="宋体"/>
                <w:color w:val="000000" w:themeColor="text1"/>
                <w:sz w:val="22"/>
                <w:szCs w:val="22"/>
                <w14:textFill>
                  <w14:solidFill>
                    <w14:schemeClr w14:val="tx1"/>
                  </w14:solidFill>
                </w14:textFill>
              </w:rPr>
              <w:t>号型</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themeColor="text1"/>
                <w:sz w:val="22"/>
                <w:szCs w:val="22"/>
                <w14:textFill>
                  <w14:solidFill>
                    <w14:schemeClr w14:val="tx1"/>
                  </w14:solidFill>
                </w14:textFill>
              </w:rPr>
            </w:pPr>
            <w:r>
              <w:rPr>
                <w:rFonts w:hint="eastAsia" w:ascii="等线" w:hAnsi="等线" w:eastAsia="等线" w:cs="宋体"/>
                <w:color w:val="000000" w:themeColor="text1"/>
                <w:sz w:val="22"/>
                <w:szCs w:val="22"/>
                <w14:textFill>
                  <w14:solidFill>
                    <w14:schemeClr w14:val="tx1"/>
                  </w14:solidFill>
                </w14:textFill>
              </w:rPr>
              <w:t>使用年限</w:t>
            </w:r>
          </w:p>
        </w:tc>
      </w:tr>
      <w:tr>
        <w:tblPrEx>
          <w:tblCellMar>
            <w:top w:w="0" w:type="dxa"/>
            <w:left w:w="108" w:type="dxa"/>
            <w:bottom w:w="0" w:type="dxa"/>
            <w:right w:w="108" w:type="dxa"/>
          </w:tblCellMar>
        </w:tblPrEx>
        <w:trPr>
          <w:trHeight w:val="285" w:hRule="atLeast"/>
        </w:trPr>
        <w:tc>
          <w:tcPr>
            <w:tcW w:w="127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KFR-35GWBDN8Y-400(3)</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KFR-35GW/BDN8Y-TA101(1)A</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KFR-35GWBDN8Y-DH400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KFR-35GWBDN8Y-DH400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KFR-72LW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KF-72W/BDN8Y</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KF-72W/BDN8Y</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KF-72W/BDN8Y</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KF-72W/BDN8Y</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KF-72W/BDN8Y</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 KFR-72LW/DY- PA400（D3）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美的PA400（D2）A</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美的KFR-72LW/DY- PA400（D3）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MDC1900-1AG</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KFR-120lw/DY-ad</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KFR-120lw/DY-ad</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KFR-120lw/DY-ad</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KFR-120lw/DY-ad</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美的KFR-72LW/DY- S2（E）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格力KFR-72LW/E1（72568L1）A1-N1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格力KFR-72LW/E1（72568L1）A1-N1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格力KFR-72LW/E1（72568L1）A1-N1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KFR-35GW/(35570)Aa-3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5</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格力kfr-72lw/(72566)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PA400（D3）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KFR-72LW/（72566）Aa-3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美的P8400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海尔</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海尔</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海尔</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海尔</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海尔</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kFR-35GW/35556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海尔</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kFR-35GW/35556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kFR-35GW/35556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6</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格力KFR-72LW/（72520）Aa-2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kFR-72LW/DY-PA400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kFR-35GW/35556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KFR-72LW/DY- PA400（D3）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kFR-35GW/35556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kFR-35GW/35556</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KFR-35GW/DY-PB400(D3)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35GW/DY-DA400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8</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格力KFR-72LW/E1（72568L1）A1-N1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格力KFR-72LW/E1（72568L1）A1-N1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格力KFR-72LW/E1（72568L1）A1-N1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海尔</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格力KFR-72LW/E1（72568L1）A1-N1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9</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KFR-72LW/（72569）Bb-2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格力KFR-72LW/（72569）Ba-3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格力KFR-72LW/（72569）Bb-2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 KFR-72LW/（72569）Bb-2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 KFR-72LW/（72569）Bb-2</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格力Q-LEAD Q力 35570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10</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kFR-72LW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kFR-72LW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kFR-72LW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长虹</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KFR-36GW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KFR-37GW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KFR-38GW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KFR-39GW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KFR-40GW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KFR-41GW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KFR-42GW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KFR-43GW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KFR-44GW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KFR-45GW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12</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KFR/72W/E1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KFR/72W/E1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KFR/72W/E1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KFR/26CW/K</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KFR/72W/E1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KFR/72W/E1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KFR/72W/E1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KFR/26CW/K</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柜机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KFR/72W/E1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KFR/26CW/K</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 DY-GA(E5)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35GW-DY/4A400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35GW-DY/4A400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KFR-35GW/DY-PC400(D3)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 DY-GA(E5)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35GW/DY-J(E)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26GW/K(26556)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35GW/DY-J(E)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 DY-T(E)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 DY-GA(E5)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KFR-35GW/DY-PC400(D3)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35/DY-P8400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35GW-DY/4A400</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美的35GW/DY- T（E）</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KFR-35GW/DY-DA400（D3）</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KFR-35GW/K(35556) D1-N1</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14</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 DY-GA(E5)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35GW/DY-A(E5)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格力</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KFR-35GW</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 DY-GA(E5)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35GW-DY-A(E5)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w:t>
            </w:r>
          </w:p>
        </w:tc>
      </w:tr>
      <w:tr>
        <w:tblPrEx>
          <w:tblCellMar>
            <w:top w:w="0" w:type="dxa"/>
            <w:left w:w="108" w:type="dxa"/>
            <w:bottom w:w="0" w:type="dxa"/>
            <w:right w:w="108" w:type="dxa"/>
          </w:tblCellMar>
        </w:tblPrEx>
        <w:trPr>
          <w:trHeight w:val="285" w:hRule="atLeast"/>
        </w:trPr>
        <w:tc>
          <w:tcPr>
            <w:tcW w:w="127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壁挂机</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美的</w:t>
            </w:r>
          </w:p>
        </w:tc>
        <w:tc>
          <w:tcPr>
            <w:tcW w:w="481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35GW/DY-A(E5)</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themeColor="text1"/>
                <w:sz w:val="22"/>
                <w:szCs w:val="22"/>
                <w14:textFill>
                  <w14:solidFill>
                    <w14:schemeClr w14:val="tx1"/>
                  </w14:solidFill>
                </w14:textFill>
              </w:rPr>
            </w:pPr>
            <w:r>
              <w:rPr>
                <w:rFonts w:hint="eastAsia" w:ascii="仿宋" w:hAnsi="仿宋" w:eastAsia="仿宋" w:cs="宋体"/>
                <w:color w:val="000000" w:themeColor="text1"/>
                <w:sz w:val="22"/>
                <w:szCs w:val="22"/>
                <w14:textFill>
                  <w14:solidFill>
                    <w14:schemeClr w14:val="tx1"/>
                  </w14:solidFill>
                </w14:textFill>
              </w:rPr>
              <w:t>15</w:t>
            </w:r>
          </w:p>
        </w:tc>
      </w:tr>
    </w:tbl>
    <w:p>
      <w:pPr>
        <w:pStyle w:val="18"/>
        <w:rPr>
          <w:color w:val="000000" w:themeColor="text1"/>
          <w14:textFill>
            <w14:solidFill>
              <w14:schemeClr w14:val="tx1"/>
            </w14:solidFill>
          </w14:textFill>
        </w:rPr>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D57C18"/>
    <w:multiLevelType w:val="multilevel"/>
    <w:tmpl w:val="17D57C18"/>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0EC"/>
    <w:rsid w:val="00091390"/>
    <w:rsid w:val="000C1E2B"/>
    <w:rsid w:val="000C3341"/>
    <w:rsid w:val="000F7E48"/>
    <w:rsid w:val="0045472C"/>
    <w:rsid w:val="00492087"/>
    <w:rsid w:val="005477E8"/>
    <w:rsid w:val="00550DC6"/>
    <w:rsid w:val="005830EC"/>
    <w:rsid w:val="00654148"/>
    <w:rsid w:val="007D5451"/>
    <w:rsid w:val="0081755D"/>
    <w:rsid w:val="00835214"/>
    <w:rsid w:val="00841686"/>
    <w:rsid w:val="009C2E0E"/>
    <w:rsid w:val="00C05328"/>
    <w:rsid w:val="00D72BAC"/>
    <w:rsid w:val="00DB3FA4"/>
    <w:rsid w:val="3E2D2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Times New Roman" w:eastAsiaTheme="minorEastAsia"/>
      <w:lang w:val="en-US" w:eastAsia="zh-CN" w:bidi="ar-SA"/>
    </w:rPr>
  </w:style>
  <w:style w:type="paragraph" w:styleId="2">
    <w:name w:val="heading 1"/>
    <w:next w:val="1"/>
    <w:qFormat/>
    <w:uiPriority w:val="9"/>
    <w:pPr>
      <w:spacing w:before="380" w:after="140" w:line="288" w:lineRule="auto"/>
      <w:outlineLvl w:val="0"/>
    </w:pPr>
    <w:rPr>
      <w:rFonts w:ascii="Arial" w:hAnsi="Arial" w:eastAsia="等线" w:cs="Arial"/>
      <w:b/>
      <w:bCs/>
      <w:sz w:val="36"/>
      <w:szCs w:val="36"/>
      <w:lang w:val="en-US" w:eastAsia="zh-CN" w:bidi="ar-SA"/>
    </w:rPr>
  </w:style>
  <w:style w:type="paragraph" w:styleId="3">
    <w:name w:val="heading 2"/>
    <w:next w:val="1"/>
    <w:unhideWhenUsed/>
    <w:qFormat/>
    <w:uiPriority w:val="9"/>
    <w:pPr>
      <w:spacing w:before="320" w:after="120" w:line="288" w:lineRule="auto"/>
      <w:outlineLvl w:val="1"/>
    </w:pPr>
    <w:rPr>
      <w:rFonts w:ascii="Arial" w:hAnsi="Arial" w:eastAsia="等线" w:cs="Arial"/>
      <w:b/>
      <w:bCs/>
      <w:sz w:val="32"/>
      <w:szCs w:val="32"/>
      <w:lang w:val="en-US" w:eastAsia="zh-CN" w:bidi="ar-SA"/>
    </w:rPr>
  </w:style>
  <w:style w:type="paragraph" w:styleId="4">
    <w:name w:val="heading 3"/>
    <w:next w:val="1"/>
    <w:unhideWhenUsed/>
    <w:qFormat/>
    <w:uiPriority w:val="9"/>
    <w:pPr>
      <w:spacing w:before="300" w:after="120" w:line="288" w:lineRule="auto"/>
      <w:outlineLvl w:val="2"/>
    </w:pPr>
    <w:rPr>
      <w:rFonts w:ascii="Arial" w:hAnsi="Arial" w:eastAsia="等线" w:cs="Arial"/>
      <w:b/>
      <w:bCs/>
      <w:sz w:val="30"/>
      <w:szCs w:val="30"/>
      <w:lang w:val="en-US" w:eastAsia="zh-CN" w:bidi="ar-SA"/>
    </w:rPr>
  </w:style>
  <w:style w:type="paragraph" w:styleId="5">
    <w:name w:val="heading 4"/>
    <w:next w:val="1"/>
    <w:semiHidden/>
    <w:unhideWhenUsed/>
    <w:qFormat/>
    <w:uiPriority w:val="9"/>
    <w:pPr>
      <w:spacing w:before="260" w:after="120" w:line="288" w:lineRule="auto"/>
      <w:outlineLvl w:val="3"/>
    </w:pPr>
    <w:rPr>
      <w:rFonts w:ascii="Arial" w:hAnsi="Arial" w:eastAsia="等线" w:cs="Arial"/>
      <w:b/>
      <w:bCs/>
      <w:sz w:val="28"/>
      <w:szCs w:val="28"/>
      <w:lang w:val="en-US" w:eastAsia="zh-CN" w:bidi="ar-SA"/>
    </w:rPr>
  </w:style>
  <w:style w:type="paragraph" w:styleId="6">
    <w:name w:val="heading 5"/>
    <w:next w:val="1"/>
    <w:semiHidden/>
    <w:unhideWhenUsed/>
    <w:qFormat/>
    <w:uiPriority w:val="9"/>
    <w:pPr>
      <w:spacing w:before="240" w:after="120" w:line="288" w:lineRule="auto"/>
      <w:outlineLvl w:val="4"/>
    </w:pPr>
    <w:rPr>
      <w:rFonts w:ascii="Arial" w:hAnsi="Arial" w:eastAsia="等线" w:cs="Arial"/>
      <w:b/>
      <w:bCs/>
      <w:sz w:val="24"/>
      <w:szCs w:val="24"/>
      <w:lang w:val="en-US" w:eastAsia="zh-CN" w:bidi="ar-SA"/>
    </w:rPr>
  </w:style>
  <w:style w:type="paragraph" w:styleId="7">
    <w:name w:val="heading 6"/>
    <w:next w:val="1"/>
    <w:semiHidden/>
    <w:unhideWhenUsed/>
    <w:qFormat/>
    <w:uiPriority w:val="9"/>
    <w:pPr>
      <w:spacing w:before="240" w:after="120" w:line="288" w:lineRule="auto"/>
      <w:outlineLvl w:val="5"/>
    </w:pPr>
    <w:rPr>
      <w:rFonts w:ascii="Arial" w:hAnsi="Arial" w:eastAsia="等线" w:cs="Arial"/>
      <w:b/>
      <w:bCs/>
      <w:sz w:val="24"/>
      <w:szCs w:val="24"/>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8">
    <w:name w:val="footnote text"/>
    <w:link w:val="17"/>
    <w:semiHidden/>
    <w:unhideWhenUsed/>
    <w:uiPriority w:val="99"/>
    <w:rPr>
      <w:rFonts w:ascii="Times New Roman" w:hAnsi="Times New Roman" w:cs="Times New Roman" w:eastAsiaTheme="minorEastAsia"/>
      <w:lang w:val="en-US" w:eastAsia="zh-CN" w:bidi="ar-SA"/>
    </w:rPr>
  </w:style>
  <w:style w:type="paragraph" w:styleId="9">
    <w:name w:val="Title"/>
    <w:qFormat/>
    <w:uiPriority w:val="10"/>
    <w:pPr>
      <w:spacing w:before="480" w:after="480" w:line="288" w:lineRule="auto"/>
    </w:pPr>
    <w:rPr>
      <w:rFonts w:ascii="Arial" w:hAnsi="Arial" w:eastAsia="等线" w:cs="Arial"/>
      <w:b/>
      <w:bCs/>
      <w:sz w:val="52"/>
      <w:szCs w:val="52"/>
      <w:lang w:val="en-US" w:eastAsia="zh-CN" w:bidi="ar-SA"/>
    </w:rPr>
  </w:style>
  <w:style w:type="character" w:styleId="12">
    <w:name w:val="FollowedHyperlink"/>
    <w:basedOn w:val="11"/>
    <w:semiHidden/>
    <w:unhideWhenUsed/>
    <w:uiPriority w:val="99"/>
    <w:rPr>
      <w:color w:val="954F72"/>
      <w:u w:val="single"/>
    </w:rPr>
  </w:style>
  <w:style w:type="character" w:styleId="13">
    <w:name w:val="Hyperlink"/>
    <w:unhideWhenUsed/>
    <w:uiPriority w:val="99"/>
    <w:rPr>
      <w:color w:val="0563C1"/>
      <w:u w:val="single"/>
    </w:rPr>
  </w:style>
  <w:style w:type="character" w:styleId="14">
    <w:name w:val="footnote reference"/>
    <w:semiHidden/>
    <w:unhideWhenUsed/>
    <w:uiPriority w:val="99"/>
    <w:rPr>
      <w:vertAlign w:val="superscript"/>
    </w:rPr>
  </w:style>
  <w:style w:type="paragraph" w:customStyle="1" w:styleId="15">
    <w:name w:val="要点1"/>
    <w:qFormat/>
    <w:uiPriority w:val="0"/>
    <w:rPr>
      <w:rFonts w:ascii="Times New Roman" w:hAnsi="Times New Roman" w:cs="Times New Roman" w:eastAsiaTheme="minorEastAsia"/>
      <w:b/>
      <w:bCs/>
      <w:lang w:val="en-US" w:eastAsia="zh-CN" w:bidi="ar-SA"/>
    </w:rPr>
  </w:style>
  <w:style w:type="paragraph" w:styleId="16">
    <w:name w:val="List Paragraph"/>
    <w:qFormat/>
    <w:uiPriority w:val="0"/>
    <w:rPr>
      <w:rFonts w:ascii="Times New Roman" w:hAnsi="Times New Roman" w:cs="Times New Roman" w:eastAsiaTheme="minorEastAsia"/>
      <w:lang w:val="en-US" w:eastAsia="zh-CN" w:bidi="ar-SA"/>
    </w:rPr>
  </w:style>
  <w:style w:type="character" w:customStyle="1" w:styleId="17">
    <w:name w:val="脚注文本 字符"/>
    <w:link w:val="8"/>
    <w:semiHidden/>
    <w:unhideWhenUsed/>
    <w:uiPriority w:val="99"/>
    <w:rPr>
      <w:sz w:val="20"/>
      <w:szCs w:val="20"/>
    </w:rPr>
  </w:style>
  <w:style w:type="paragraph" w:customStyle="1" w:styleId="18">
    <w:name w:val="2"/>
    <w:uiPriority w:val="0"/>
    <w:pPr>
      <w:spacing w:before="120" w:after="120" w:line="288" w:lineRule="auto"/>
    </w:pPr>
    <w:rPr>
      <w:rFonts w:ascii="Arial" w:hAnsi="Arial" w:eastAsia="等线" w:cs="Arial"/>
      <w:sz w:val="22"/>
      <w:szCs w:val="22"/>
      <w:lang w:val="en-US" w:eastAsia="zh-CN" w:bidi="ar-SA"/>
    </w:rPr>
  </w:style>
  <w:style w:type="paragraph" w:customStyle="1" w:styleId="19">
    <w:name w:val="1"/>
    <w:uiPriority w:val="0"/>
    <w:pPr>
      <w:spacing w:before="120" w:after="120" w:line="288" w:lineRule="auto"/>
    </w:pPr>
    <w:rPr>
      <w:rFonts w:ascii="Arial" w:hAnsi="Arial" w:eastAsia="等线" w:cs="Arial"/>
      <w:color w:val="8F959E"/>
      <w:sz w:val="22"/>
      <w:szCs w:val="22"/>
      <w:lang w:val="en-US" w:eastAsia="zh-CN" w:bidi="ar-SA"/>
    </w:rPr>
  </w:style>
  <w:style w:type="paragraph" w:customStyle="1" w:styleId="20">
    <w:name w:val="msonormal"/>
    <w:basedOn w:val="1"/>
    <w:uiPriority w:val="0"/>
    <w:pPr>
      <w:widowControl/>
      <w:spacing w:before="100" w:beforeAutospacing="1" w:after="100" w:afterAutospacing="1"/>
      <w:jc w:val="left"/>
    </w:pPr>
    <w:rPr>
      <w:rFonts w:ascii="宋体" w:hAnsi="宋体" w:eastAsia="宋体" w:cs="宋体"/>
      <w:sz w:val="24"/>
      <w:szCs w:val="24"/>
    </w:rPr>
  </w:style>
  <w:style w:type="paragraph" w:customStyle="1" w:styleId="21">
    <w:name w:val="font5"/>
    <w:basedOn w:val="1"/>
    <w:uiPriority w:val="0"/>
    <w:pPr>
      <w:widowControl/>
      <w:spacing w:before="100" w:beforeAutospacing="1" w:after="100" w:afterAutospacing="1"/>
      <w:jc w:val="left"/>
    </w:pPr>
    <w:rPr>
      <w:rFonts w:ascii="等线" w:hAnsi="等线" w:eastAsia="等线" w:cs="宋体"/>
      <w:sz w:val="18"/>
      <w:szCs w:val="18"/>
    </w:rPr>
  </w:style>
  <w:style w:type="paragraph" w:customStyle="1" w:styleId="22">
    <w:name w:val="xl6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仿宋" w:hAnsi="仿宋" w:eastAsia="仿宋" w:cs="宋体"/>
      <w:color w:val="0000FF"/>
      <w:sz w:val="24"/>
      <w:szCs w:val="24"/>
    </w:rPr>
  </w:style>
  <w:style w:type="paragraph" w:customStyle="1" w:styleId="23">
    <w:name w:val="xl64"/>
    <w:basedOn w:val="1"/>
    <w:uiPriority w:val="0"/>
    <w:pPr>
      <w:widowControl/>
      <w:spacing w:before="100" w:beforeAutospacing="1" w:after="100" w:afterAutospacing="1"/>
      <w:jc w:val="center"/>
      <w:textAlignment w:val="center"/>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1704</Words>
  <Characters>9715</Characters>
  <Lines>80</Lines>
  <Paragraphs>22</Paragraphs>
  <TotalTime>44</TotalTime>
  <ScaleCrop>false</ScaleCrop>
  <LinksUpToDate>false</LinksUpToDate>
  <CharactersWithSpaces>11397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2025-09-17T07:03:00Z</dcterms:created>
  <dc:creator>Un-named</dc:creator>
  <cp:lastModifiedBy>曦曦妹要翻天</cp:lastModifiedBy>
  <dcterms:modified xsi:type="dcterms:W3CDTF">2025-09-29T06:46:53Z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7E29DE68F33245B9A17EC7188E0258EC_13</vt:lpwstr>
  </property>
</Properties>
</file>