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72C06">
      <w:pPr>
        <w:spacing w:line="360" w:lineRule="auto"/>
        <w:jc w:val="left"/>
        <w:outlineLvl w:val="0"/>
        <w:rPr>
          <w:rFonts w:hint="eastAsia" w:ascii="宋体" w:hAnsi="宋体" w:eastAsia="宋体" w:cs="宋体"/>
          <w:b/>
          <w:bCs/>
          <w:sz w:val="36"/>
          <w:szCs w:val="36"/>
          <w:highlight w:val="none"/>
        </w:rPr>
      </w:pPr>
    </w:p>
    <w:p w14:paraId="789E6B29">
      <w:pPr>
        <w:keepNext w:val="0"/>
        <w:keepLines w:val="0"/>
        <w:pageBreakBefore w:val="0"/>
        <w:widowControl w:val="0"/>
        <w:kinsoku/>
        <w:wordWrap/>
        <w:overflowPunct/>
        <w:topLinePunct w:val="0"/>
        <w:autoSpaceDE/>
        <w:autoSpaceDN/>
        <w:bidi w:val="0"/>
        <w:adjustRightInd/>
        <w:snapToGrid/>
        <w:spacing w:line="600" w:lineRule="exact"/>
        <w:ind w:left="2171" w:leftChars="130" w:hanging="1807" w:hangingChars="500"/>
        <w:jc w:val="left"/>
        <w:textAlignment w:val="auto"/>
        <w:outlineLvl w:val="0"/>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rPr>
        <w:t>项目名称：</w:t>
      </w:r>
      <w:r>
        <w:rPr>
          <w:rFonts w:hint="eastAsia" w:ascii="宋体" w:hAnsi="宋体" w:cs="宋体"/>
          <w:b/>
          <w:bCs/>
          <w:color w:val="auto"/>
          <w:sz w:val="36"/>
          <w:szCs w:val="36"/>
          <w:highlight w:val="none"/>
          <w:lang w:eastAsia="zh-CN"/>
        </w:rPr>
        <w:t>大足区2025年度自然资源常规监测技术服务</w:t>
      </w:r>
    </w:p>
    <w:p w14:paraId="4A6D8E1D">
      <w:pPr>
        <w:keepNext w:val="0"/>
        <w:keepLines w:val="0"/>
        <w:pageBreakBefore w:val="0"/>
        <w:widowControl w:val="0"/>
        <w:kinsoku/>
        <w:wordWrap/>
        <w:overflowPunct/>
        <w:topLinePunct w:val="0"/>
        <w:autoSpaceDE/>
        <w:autoSpaceDN/>
        <w:bidi w:val="0"/>
        <w:adjustRightInd/>
        <w:snapToGrid/>
        <w:spacing w:line="600" w:lineRule="exact"/>
        <w:ind w:firstLine="361" w:firstLineChars="100"/>
        <w:jc w:val="left"/>
        <w:textAlignment w:val="auto"/>
        <w:outlineLvl w:val="0"/>
        <w:rPr>
          <w:rFonts w:hint="default" w:ascii="宋体" w:hAnsi="宋体" w:eastAsia="宋体" w:cs="宋体"/>
          <w:b/>
          <w:bCs/>
          <w:color w:val="auto"/>
          <w:sz w:val="36"/>
          <w:szCs w:val="36"/>
          <w:highlight w:val="none"/>
          <w:lang w:val="en-US" w:eastAsia="zh-CN"/>
        </w:rPr>
      </w:pPr>
      <w:r>
        <w:rPr>
          <w:rFonts w:hint="eastAsia" w:ascii="宋体" w:hAnsi="宋体" w:cs="宋体"/>
          <w:b/>
          <w:bCs/>
          <w:color w:val="auto"/>
          <w:sz w:val="36"/>
          <w:szCs w:val="36"/>
          <w:highlight w:val="none"/>
          <w:lang w:val="en-US" w:eastAsia="zh-CN"/>
        </w:rPr>
        <w:t>项目</w:t>
      </w:r>
      <w:r>
        <w:rPr>
          <w:rFonts w:hint="eastAsia" w:ascii="宋体" w:hAnsi="宋体" w:eastAsia="宋体" w:cs="宋体"/>
          <w:b/>
          <w:bCs/>
          <w:color w:val="auto"/>
          <w:sz w:val="36"/>
          <w:szCs w:val="36"/>
          <w:highlight w:val="none"/>
        </w:rPr>
        <w:t>编号：</w:t>
      </w:r>
      <w:r>
        <w:rPr>
          <w:rFonts w:hint="eastAsia" w:ascii="宋体" w:hAnsi="宋体" w:cs="宋体"/>
          <w:b/>
          <w:bCs/>
          <w:color w:val="auto"/>
          <w:sz w:val="36"/>
          <w:szCs w:val="36"/>
          <w:highlight w:val="none"/>
          <w:lang w:val="en-US" w:eastAsia="zh-CN"/>
        </w:rPr>
        <w:t>ZSD25020</w:t>
      </w:r>
    </w:p>
    <w:p w14:paraId="10DBECFB">
      <w:pPr>
        <w:pStyle w:val="2"/>
        <w:rPr>
          <w:rFonts w:hint="eastAsia"/>
        </w:rPr>
      </w:pPr>
    </w:p>
    <w:p w14:paraId="4ED2C167">
      <w:pPr>
        <w:jc w:val="center"/>
        <w:rPr>
          <w:rFonts w:hint="eastAsia" w:ascii="宋体" w:hAnsi="宋体" w:eastAsia="宋体" w:cs="宋体"/>
          <w:highlight w:val="none"/>
        </w:rPr>
      </w:pPr>
    </w:p>
    <w:p w14:paraId="305A08C0">
      <w:pPr>
        <w:pStyle w:val="23"/>
        <w:rPr>
          <w:rFonts w:hint="eastAsia" w:ascii="宋体" w:hAnsi="宋体" w:eastAsia="宋体" w:cs="宋体"/>
          <w:highlight w:val="none"/>
        </w:rPr>
      </w:pPr>
    </w:p>
    <w:p w14:paraId="0F3EA82C">
      <w:pPr>
        <w:rPr>
          <w:rFonts w:hint="eastAsia" w:ascii="宋体" w:hAnsi="宋体" w:eastAsia="宋体" w:cs="宋体"/>
          <w:highlight w:val="none"/>
        </w:rPr>
      </w:pPr>
    </w:p>
    <w:p w14:paraId="012AB42C">
      <w:pPr>
        <w:pStyle w:val="2"/>
        <w:rPr>
          <w:rFonts w:hint="eastAsia"/>
        </w:rPr>
      </w:pPr>
    </w:p>
    <w:p w14:paraId="16D8CE03">
      <w:pPr>
        <w:pStyle w:val="23"/>
        <w:rPr>
          <w:rFonts w:hint="eastAsia" w:ascii="宋体" w:hAnsi="宋体" w:eastAsia="宋体" w:cs="宋体"/>
          <w:highlight w:val="none"/>
        </w:rPr>
      </w:pPr>
    </w:p>
    <w:p w14:paraId="0AE2B62E">
      <w:pPr>
        <w:rPr>
          <w:rFonts w:hint="eastAsia" w:ascii="宋体" w:hAnsi="宋体" w:eastAsia="宋体" w:cs="宋体"/>
          <w:highlight w:val="none"/>
        </w:rPr>
      </w:pPr>
    </w:p>
    <w:p w14:paraId="68E2717E">
      <w:pPr>
        <w:pStyle w:val="23"/>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宋体" w:hAnsi="宋体" w:eastAsia="宋体" w:cs="宋体"/>
          <w:highlight w:val="none"/>
        </w:rPr>
      </w:pPr>
    </w:p>
    <w:p w14:paraId="5A8DF6C0">
      <w:pPr>
        <w:keepNext w:val="0"/>
        <w:keepLines w:val="0"/>
        <w:pageBreakBefore w:val="0"/>
        <w:widowControl w:val="0"/>
        <w:kinsoku/>
        <w:wordWrap/>
        <w:overflowPunct/>
        <w:topLinePunct w:val="0"/>
        <w:autoSpaceDE/>
        <w:autoSpaceDN/>
        <w:bidi w:val="0"/>
        <w:adjustRightInd/>
        <w:snapToGrid/>
        <w:spacing w:line="1300" w:lineRule="exact"/>
        <w:jc w:val="center"/>
        <w:textAlignment w:val="auto"/>
        <w:rPr>
          <w:rFonts w:hint="default" w:ascii="宋体" w:hAnsi="宋体" w:eastAsia="宋体" w:cs="宋体"/>
          <w:sz w:val="32"/>
          <w:highlight w:val="none"/>
          <w:lang w:val="en-US"/>
        </w:rPr>
      </w:pPr>
      <w:r>
        <w:rPr>
          <w:rFonts w:hint="eastAsia" w:ascii="宋体" w:hAnsi="宋体" w:cs="宋体"/>
          <w:b/>
          <w:bCs/>
          <w:sz w:val="120"/>
          <w:szCs w:val="120"/>
          <w:highlight w:val="none"/>
          <w:lang w:val="en-US" w:eastAsia="zh-CN"/>
        </w:rPr>
        <w:t>竞争性比选</w:t>
      </w:r>
    </w:p>
    <w:p w14:paraId="1A236B7D">
      <w:pPr>
        <w:pStyle w:val="23"/>
        <w:ind w:firstLine="0"/>
        <w:rPr>
          <w:rFonts w:hint="eastAsia" w:ascii="宋体" w:hAnsi="宋体" w:eastAsia="宋体" w:cs="宋体"/>
          <w:highlight w:val="none"/>
        </w:rPr>
      </w:pPr>
    </w:p>
    <w:p w14:paraId="3A97482C">
      <w:pPr>
        <w:spacing w:line="500" w:lineRule="exact"/>
        <w:ind w:firstLine="2340" w:firstLineChars="650"/>
        <w:outlineLvl w:val="0"/>
        <w:rPr>
          <w:rFonts w:hint="eastAsia" w:ascii="宋体" w:hAnsi="宋体" w:eastAsia="宋体" w:cs="宋体"/>
          <w:sz w:val="36"/>
          <w:szCs w:val="36"/>
          <w:highlight w:val="none"/>
        </w:rPr>
      </w:pPr>
    </w:p>
    <w:p w14:paraId="200D3DFF">
      <w:pPr>
        <w:spacing w:line="700" w:lineRule="exact"/>
        <w:jc w:val="center"/>
        <w:rPr>
          <w:rFonts w:hint="eastAsia" w:ascii="宋体" w:hAnsi="宋体" w:eastAsia="宋体" w:cs="宋体"/>
          <w:b/>
          <w:sz w:val="36"/>
          <w:szCs w:val="36"/>
          <w:highlight w:val="none"/>
        </w:rPr>
      </w:pPr>
    </w:p>
    <w:p w14:paraId="13986EA4">
      <w:pPr>
        <w:pStyle w:val="3"/>
        <w:ind w:left="0" w:leftChars="0" w:firstLine="0" w:firstLineChars="0"/>
        <w:rPr>
          <w:rFonts w:hint="eastAsia" w:ascii="宋体" w:hAnsi="宋体" w:eastAsia="宋体" w:cs="宋体"/>
          <w:b/>
          <w:sz w:val="36"/>
          <w:szCs w:val="36"/>
          <w:highlight w:val="none"/>
        </w:rPr>
      </w:pPr>
    </w:p>
    <w:p w14:paraId="7CF6DBAE">
      <w:pPr>
        <w:pStyle w:val="3"/>
        <w:rPr>
          <w:rFonts w:hint="eastAsia" w:ascii="宋体" w:hAnsi="宋体" w:eastAsia="宋体" w:cs="宋体"/>
          <w:b/>
          <w:sz w:val="36"/>
          <w:szCs w:val="36"/>
          <w:highlight w:val="none"/>
        </w:rPr>
      </w:pPr>
    </w:p>
    <w:p w14:paraId="02D72891">
      <w:pPr>
        <w:pStyle w:val="3"/>
        <w:rPr>
          <w:rFonts w:hint="eastAsia" w:ascii="宋体" w:hAnsi="宋体" w:eastAsia="宋体" w:cs="宋体"/>
          <w:b/>
          <w:sz w:val="36"/>
          <w:szCs w:val="36"/>
          <w:highlight w:val="none"/>
        </w:rPr>
      </w:pPr>
    </w:p>
    <w:p w14:paraId="134E83F2">
      <w:pPr>
        <w:pStyle w:val="23"/>
        <w:ind w:firstLine="0"/>
        <w:rPr>
          <w:rFonts w:hint="eastAsia" w:ascii="宋体" w:hAnsi="宋体" w:eastAsia="宋体" w:cs="宋体"/>
          <w:sz w:val="36"/>
          <w:szCs w:val="36"/>
          <w:highlight w:val="none"/>
        </w:rPr>
      </w:pPr>
    </w:p>
    <w:p w14:paraId="2100D0B0">
      <w:pPr>
        <w:spacing w:line="500" w:lineRule="exact"/>
        <w:ind w:firstLine="1446" w:firstLineChars="400"/>
        <w:outlineLvl w:val="0"/>
        <w:rPr>
          <w:rFonts w:hint="eastAsia" w:ascii="宋体" w:hAnsi="宋体" w:eastAsia="宋体" w:cs="宋体"/>
          <w:b/>
          <w:bCs/>
          <w:sz w:val="36"/>
          <w:szCs w:val="36"/>
          <w:highlight w:val="none"/>
          <w:lang w:eastAsia="zh-CN"/>
        </w:rPr>
      </w:pPr>
      <w:r>
        <w:rPr>
          <w:rFonts w:hint="eastAsia" w:ascii="宋体" w:hAnsi="宋体" w:eastAsia="宋体" w:cs="宋体"/>
          <w:b/>
          <w:bCs/>
          <w:sz w:val="36"/>
          <w:szCs w:val="36"/>
          <w:highlight w:val="none"/>
        </w:rPr>
        <w:t>采购人：</w:t>
      </w:r>
      <w:r>
        <w:rPr>
          <w:rFonts w:hint="eastAsia" w:ascii="宋体" w:hAnsi="宋体" w:cs="宋体"/>
          <w:b/>
          <w:bCs/>
          <w:sz w:val="36"/>
          <w:szCs w:val="36"/>
          <w:highlight w:val="none"/>
          <w:lang w:eastAsia="zh-CN"/>
        </w:rPr>
        <w:t>重庆市大足区规划和自然资源局</w:t>
      </w:r>
    </w:p>
    <w:p w14:paraId="7D6B10EC">
      <w:pPr>
        <w:spacing w:line="700" w:lineRule="exact"/>
        <w:ind w:firstLine="1446" w:firstLineChars="400"/>
        <w:outlineLvl w:val="0"/>
        <w:rPr>
          <w:rFonts w:hint="eastAsia" w:ascii="宋体" w:hAnsi="宋体" w:eastAsia="宋体" w:cs="宋体"/>
          <w:b/>
          <w:bCs/>
          <w:sz w:val="36"/>
          <w:szCs w:val="36"/>
          <w:highlight w:val="none"/>
          <w:lang w:eastAsia="zh-CN"/>
        </w:rPr>
      </w:pPr>
      <w:r>
        <w:rPr>
          <w:rFonts w:hint="eastAsia" w:ascii="宋体" w:hAnsi="宋体" w:eastAsia="宋体" w:cs="宋体"/>
          <w:b/>
          <w:bCs/>
          <w:sz w:val="36"/>
          <w:szCs w:val="36"/>
          <w:highlight w:val="none"/>
        </w:rPr>
        <w:t>采购代理机构：</w:t>
      </w:r>
      <w:r>
        <w:rPr>
          <w:rFonts w:hint="eastAsia" w:ascii="宋体" w:hAnsi="宋体" w:cs="宋体"/>
          <w:b/>
          <w:bCs/>
          <w:sz w:val="36"/>
          <w:szCs w:val="36"/>
          <w:highlight w:val="none"/>
          <w:lang w:eastAsia="zh-CN"/>
        </w:rPr>
        <w:t>重庆智胜达工程管理咨询有限公司</w:t>
      </w:r>
    </w:p>
    <w:p w14:paraId="7B6061B4">
      <w:pPr>
        <w:pStyle w:val="2"/>
        <w:rPr>
          <w:rFonts w:hint="eastAsia" w:ascii="宋体" w:hAnsi="宋体" w:eastAsia="宋体" w:cs="宋体"/>
          <w:sz w:val="36"/>
          <w:szCs w:val="36"/>
          <w:highlight w:val="none"/>
        </w:rPr>
      </w:pPr>
    </w:p>
    <w:p w14:paraId="7149D245">
      <w:pPr>
        <w:spacing w:line="480" w:lineRule="exact"/>
        <w:jc w:val="center"/>
        <w:outlineLvl w:val="0"/>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二〇二</w:t>
      </w:r>
      <w:r>
        <w:rPr>
          <w:rFonts w:hint="eastAsia" w:ascii="宋体" w:hAnsi="宋体" w:cs="宋体"/>
          <w:b/>
          <w:bCs/>
          <w:sz w:val="36"/>
          <w:szCs w:val="36"/>
          <w:highlight w:val="none"/>
          <w:lang w:eastAsia="zh-CN"/>
        </w:rPr>
        <w:t>五</w:t>
      </w:r>
      <w:r>
        <w:rPr>
          <w:rFonts w:hint="eastAsia" w:ascii="宋体" w:hAnsi="宋体" w:eastAsia="宋体" w:cs="宋体"/>
          <w:b/>
          <w:bCs/>
          <w:sz w:val="36"/>
          <w:szCs w:val="36"/>
          <w:highlight w:val="none"/>
        </w:rPr>
        <w:t>年</w:t>
      </w:r>
      <w:r>
        <w:rPr>
          <w:rFonts w:hint="eastAsia" w:ascii="宋体" w:hAnsi="宋体" w:cs="宋体"/>
          <w:b/>
          <w:bCs/>
          <w:sz w:val="36"/>
          <w:szCs w:val="36"/>
          <w:highlight w:val="none"/>
          <w:lang w:eastAsia="zh-CN"/>
        </w:rPr>
        <w:t>四</w:t>
      </w:r>
      <w:r>
        <w:rPr>
          <w:rFonts w:hint="eastAsia" w:ascii="宋体" w:hAnsi="宋体" w:eastAsia="宋体" w:cs="宋体"/>
          <w:b/>
          <w:bCs/>
          <w:sz w:val="36"/>
          <w:szCs w:val="36"/>
          <w:highlight w:val="none"/>
        </w:rPr>
        <w:t>月</w:t>
      </w:r>
    </w:p>
    <w:p w14:paraId="5ED27C0A">
      <w:pPr>
        <w:spacing w:line="480" w:lineRule="exact"/>
        <w:jc w:val="center"/>
        <w:outlineLvl w:val="0"/>
        <w:rPr>
          <w:rFonts w:hint="eastAsia" w:ascii="宋体" w:hAnsi="宋体" w:eastAsia="宋体" w:cs="宋体"/>
          <w:b/>
          <w:bCs/>
          <w:sz w:val="44"/>
          <w:szCs w:val="44"/>
          <w:highlight w:val="none"/>
        </w:rPr>
      </w:pPr>
    </w:p>
    <w:p w14:paraId="29BBEBCF">
      <w:pPr>
        <w:spacing w:line="480" w:lineRule="exact"/>
        <w:jc w:val="center"/>
        <w:outlineLvl w:val="0"/>
        <w:rPr>
          <w:rFonts w:hint="eastAsia" w:ascii="宋体" w:hAnsi="宋体" w:eastAsia="宋体" w:cs="宋体"/>
          <w:b/>
          <w:bCs/>
          <w:sz w:val="44"/>
          <w:szCs w:val="44"/>
          <w:highlight w:val="none"/>
        </w:rPr>
      </w:pPr>
    </w:p>
    <w:p w14:paraId="2BE25543">
      <w:pPr>
        <w:rPr>
          <w:rFonts w:hint="eastAsia" w:ascii="宋体" w:hAnsi="宋体" w:eastAsia="宋体" w:cs="宋体"/>
          <w:sz w:val="44"/>
          <w:szCs w:val="28"/>
          <w:highlight w:val="none"/>
        </w:rPr>
      </w:pPr>
      <w:r>
        <w:rPr>
          <w:rFonts w:hint="eastAsia" w:ascii="宋体" w:hAnsi="宋体" w:eastAsia="宋体" w:cs="宋体"/>
          <w:sz w:val="44"/>
          <w:szCs w:val="28"/>
          <w:highlight w:val="none"/>
        </w:rPr>
        <w:br w:type="page"/>
      </w:r>
    </w:p>
    <w:p w14:paraId="73148248">
      <w:pPr>
        <w:spacing w:line="480" w:lineRule="exact"/>
        <w:jc w:val="center"/>
        <w:outlineLvl w:val="0"/>
        <w:rPr>
          <w:rFonts w:hint="eastAsia" w:ascii="宋体" w:hAnsi="宋体" w:eastAsia="宋体" w:cs="宋体"/>
          <w:sz w:val="44"/>
          <w:szCs w:val="28"/>
          <w:highlight w:val="none"/>
        </w:rPr>
      </w:pPr>
      <w:r>
        <w:rPr>
          <w:rFonts w:hint="eastAsia" w:ascii="宋体" w:hAnsi="宋体" w:eastAsia="宋体" w:cs="宋体"/>
          <w:sz w:val="44"/>
          <w:szCs w:val="28"/>
          <w:highlight w:val="none"/>
        </w:rPr>
        <w:t>目   录</w:t>
      </w:r>
    </w:p>
    <w:p w14:paraId="6D277927">
      <w:pPr>
        <w:pStyle w:val="18"/>
        <w:tabs>
          <w:tab w:val="right" w:leader="dot" w:pos="9412"/>
        </w:tabs>
        <w:spacing w:line="480" w:lineRule="auto"/>
        <w:rPr>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TOC \o "1-3" \h \z </w:instrText>
      </w:r>
      <w:r>
        <w:rPr>
          <w:rFonts w:hint="eastAsia" w:ascii="宋体" w:hAnsi="宋体" w:eastAsia="宋体" w:cs="宋体"/>
          <w:sz w:val="24"/>
          <w:szCs w:val="24"/>
          <w:highlight w:val="none"/>
        </w:rPr>
        <w:fldChar w:fldCharType="separate"/>
      </w: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_Toc17317 </w:instrText>
      </w:r>
      <w:r>
        <w:rPr>
          <w:rFonts w:hint="eastAsia" w:ascii="宋体" w:hAnsi="宋体" w:eastAsia="宋体" w:cs="宋体"/>
          <w:szCs w:val="24"/>
          <w:highlight w:val="none"/>
        </w:rPr>
        <w:fldChar w:fldCharType="separate"/>
      </w:r>
      <w:r>
        <w:rPr>
          <w:rFonts w:hint="eastAsia" w:ascii="宋体" w:hAnsi="宋体" w:eastAsia="宋体" w:cs="宋体"/>
          <w:szCs w:val="30"/>
          <w:highlight w:val="none"/>
        </w:rPr>
        <w:t xml:space="preserve">第一篇  </w:t>
      </w:r>
      <w:r>
        <w:rPr>
          <w:rFonts w:hint="eastAsia" w:ascii="宋体" w:hAnsi="宋体" w:cs="宋体"/>
          <w:szCs w:val="30"/>
          <w:highlight w:val="none"/>
          <w:lang w:eastAsia="zh-CN"/>
        </w:rPr>
        <w:t>采购</w:t>
      </w:r>
      <w:r>
        <w:rPr>
          <w:rFonts w:hint="eastAsia" w:ascii="宋体" w:hAnsi="宋体" w:eastAsia="宋体" w:cs="宋体"/>
          <w:szCs w:val="30"/>
          <w:highlight w:val="none"/>
        </w:rPr>
        <w:t>邀请书</w:t>
      </w:r>
      <w:r>
        <w:rPr>
          <w:highlight w:val="none"/>
        </w:rPr>
        <w:tab/>
      </w:r>
      <w:r>
        <w:rPr>
          <w:highlight w:val="none"/>
        </w:rPr>
        <w:fldChar w:fldCharType="begin"/>
      </w:r>
      <w:r>
        <w:rPr>
          <w:highlight w:val="none"/>
        </w:rPr>
        <w:instrText xml:space="preserve"> PAGEREF _Toc17317 \h </w:instrText>
      </w:r>
      <w:r>
        <w:rPr>
          <w:highlight w:val="none"/>
        </w:rPr>
        <w:fldChar w:fldCharType="separate"/>
      </w:r>
      <w:r>
        <w:rPr>
          <w:highlight w:val="none"/>
        </w:rPr>
        <w:t>- 3 -</w:t>
      </w:r>
      <w:r>
        <w:rPr>
          <w:highlight w:val="none"/>
        </w:rPr>
        <w:fldChar w:fldCharType="end"/>
      </w:r>
      <w:r>
        <w:rPr>
          <w:rFonts w:hint="eastAsia" w:ascii="宋体" w:hAnsi="宋体" w:eastAsia="宋体" w:cs="宋体"/>
          <w:szCs w:val="24"/>
          <w:highlight w:val="none"/>
        </w:rPr>
        <w:fldChar w:fldCharType="end"/>
      </w:r>
    </w:p>
    <w:p w14:paraId="081EE494">
      <w:pPr>
        <w:pStyle w:val="18"/>
        <w:tabs>
          <w:tab w:val="right" w:leader="dot" w:pos="9412"/>
        </w:tabs>
        <w:spacing w:line="480" w:lineRule="auto"/>
        <w:rPr>
          <w:rFonts w:hint="eastAsia" w:eastAsia="宋体"/>
          <w:highlight w:val="none"/>
          <w:lang w:val="en-US" w:eastAsia="zh-CN"/>
        </w:rPr>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_Toc23299 </w:instrText>
      </w:r>
      <w:r>
        <w:rPr>
          <w:rFonts w:hint="eastAsia" w:ascii="宋体" w:hAnsi="宋体" w:eastAsia="宋体" w:cs="宋体"/>
          <w:szCs w:val="24"/>
          <w:highlight w:val="none"/>
        </w:rPr>
        <w:fldChar w:fldCharType="separate"/>
      </w:r>
      <w:r>
        <w:rPr>
          <w:rFonts w:hint="eastAsia" w:ascii="宋体" w:hAnsi="宋体" w:eastAsia="宋体" w:cs="宋体"/>
          <w:szCs w:val="30"/>
          <w:highlight w:val="none"/>
        </w:rPr>
        <w:t xml:space="preserve">第二篇  </w:t>
      </w:r>
      <w:r>
        <w:rPr>
          <w:rFonts w:hint="eastAsia" w:ascii="宋体" w:hAnsi="宋体" w:cs="宋体"/>
          <w:szCs w:val="30"/>
          <w:highlight w:val="none"/>
          <w:lang w:eastAsia="zh-CN"/>
        </w:rPr>
        <w:t>项目服务需求</w:t>
      </w:r>
      <w:r>
        <w:rPr>
          <w:highlight w:val="none"/>
        </w:rPr>
        <w:tab/>
      </w:r>
      <w:r>
        <w:rPr>
          <w:rFonts w:hint="eastAsia"/>
          <w:highlight w:val="none"/>
          <w:lang w:val="en-US" w:eastAsia="zh-CN"/>
        </w:rPr>
        <w:t>-</w:t>
      </w:r>
      <w:r>
        <w:rPr>
          <w:highlight w:val="none"/>
        </w:rPr>
        <w:fldChar w:fldCharType="begin"/>
      </w:r>
      <w:r>
        <w:rPr>
          <w:highlight w:val="none"/>
        </w:rPr>
        <w:instrText xml:space="preserve"> PAGEREF _Toc23299 \h </w:instrText>
      </w:r>
      <w:r>
        <w:rPr>
          <w:highlight w:val="none"/>
        </w:rPr>
        <w:fldChar w:fldCharType="separate"/>
      </w:r>
      <w:r>
        <w:rPr>
          <w:highlight w:val="none"/>
        </w:rPr>
        <w:t>6</w:t>
      </w:r>
      <w:r>
        <w:rPr>
          <w:highlight w:val="none"/>
        </w:rPr>
        <w:fldChar w:fldCharType="end"/>
      </w:r>
      <w:r>
        <w:rPr>
          <w:rFonts w:hint="eastAsia" w:ascii="宋体" w:hAnsi="宋体" w:eastAsia="宋体" w:cs="宋体"/>
          <w:szCs w:val="24"/>
          <w:highlight w:val="none"/>
        </w:rPr>
        <w:fldChar w:fldCharType="end"/>
      </w:r>
      <w:r>
        <w:rPr>
          <w:rFonts w:hint="eastAsia" w:ascii="宋体" w:hAnsi="宋体" w:cs="宋体"/>
          <w:szCs w:val="24"/>
          <w:highlight w:val="none"/>
          <w:lang w:val="en-US" w:eastAsia="zh-CN"/>
        </w:rPr>
        <w:t>-</w:t>
      </w:r>
    </w:p>
    <w:p w14:paraId="54DB6B59">
      <w:pPr>
        <w:pStyle w:val="18"/>
        <w:tabs>
          <w:tab w:val="right" w:leader="dot" w:pos="9412"/>
        </w:tabs>
        <w:spacing w:line="480" w:lineRule="auto"/>
        <w:rPr>
          <w:rFonts w:hint="eastAsia" w:eastAsia="宋体"/>
          <w:highlight w:val="none"/>
          <w:lang w:val="en-US" w:eastAsia="zh-CN"/>
        </w:rPr>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_Toc6175 </w:instrText>
      </w:r>
      <w:r>
        <w:rPr>
          <w:rFonts w:hint="eastAsia" w:ascii="宋体" w:hAnsi="宋体" w:eastAsia="宋体" w:cs="宋体"/>
          <w:szCs w:val="24"/>
          <w:highlight w:val="none"/>
        </w:rPr>
        <w:fldChar w:fldCharType="separate"/>
      </w:r>
      <w:r>
        <w:rPr>
          <w:rFonts w:hint="eastAsia" w:ascii="宋体" w:hAnsi="宋体" w:eastAsia="宋体" w:cs="宋体"/>
          <w:szCs w:val="30"/>
          <w:highlight w:val="none"/>
        </w:rPr>
        <w:t>第三篇  项目商务需求</w:t>
      </w:r>
      <w:r>
        <w:rPr>
          <w:highlight w:val="none"/>
        </w:rPr>
        <w:tab/>
      </w:r>
      <w:r>
        <w:rPr>
          <w:rFonts w:hint="eastAsia"/>
          <w:highlight w:val="none"/>
          <w:lang w:val="en-US" w:eastAsia="zh-CN"/>
        </w:rPr>
        <w:t>-</w:t>
      </w:r>
      <w:r>
        <w:rPr>
          <w:highlight w:val="none"/>
        </w:rPr>
        <w:fldChar w:fldCharType="begin"/>
      </w:r>
      <w:r>
        <w:rPr>
          <w:highlight w:val="none"/>
        </w:rPr>
        <w:instrText xml:space="preserve"> PAGEREF _Toc6175 \h </w:instrText>
      </w:r>
      <w:r>
        <w:rPr>
          <w:highlight w:val="none"/>
        </w:rPr>
        <w:fldChar w:fldCharType="separate"/>
      </w:r>
      <w:r>
        <w:rPr>
          <w:highlight w:val="none"/>
        </w:rPr>
        <w:t>15</w:t>
      </w:r>
      <w:r>
        <w:rPr>
          <w:highlight w:val="none"/>
        </w:rPr>
        <w:fldChar w:fldCharType="end"/>
      </w:r>
      <w:r>
        <w:rPr>
          <w:rFonts w:hint="eastAsia" w:ascii="宋体" w:hAnsi="宋体" w:eastAsia="宋体" w:cs="宋体"/>
          <w:szCs w:val="24"/>
          <w:highlight w:val="none"/>
        </w:rPr>
        <w:fldChar w:fldCharType="end"/>
      </w:r>
      <w:r>
        <w:rPr>
          <w:rFonts w:hint="eastAsia" w:ascii="宋体" w:hAnsi="宋体" w:cs="宋体"/>
          <w:szCs w:val="24"/>
          <w:highlight w:val="none"/>
          <w:lang w:val="en-US" w:eastAsia="zh-CN"/>
        </w:rPr>
        <w:t>-</w:t>
      </w:r>
    </w:p>
    <w:p w14:paraId="3B0FF3D1">
      <w:pPr>
        <w:pStyle w:val="18"/>
        <w:tabs>
          <w:tab w:val="right" w:leader="dot" w:pos="9412"/>
        </w:tabs>
        <w:spacing w:line="480" w:lineRule="auto"/>
        <w:rPr>
          <w:rFonts w:hint="eastAsia" w:ascii="宋体" w:hAnsi="宋体" w:eastAsia="宋体" w:cs="宋体"/>
          <w:szCs w:val="24"/>
          <w:highlight w:val="none"/>
          <w:lang w:val="en-US" w:eastAsia="zh-CN"/>
        </w:rPr>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_Toc12201 </w:instrText>
      </w:r>
      <w:r>
        <w:rPr>
          <w:rFonts w:hint="eastAsia" w:ascii="宋体" w:hAnsi="宋体" w:eastAsia="宋体" w:cs="宋体"/>
          <w:szCs w:val="24"/>
          <w:highlight w:val="none"/>
        </w:rPr>
        <w:fldChar w:fldCharType="separate"/>
      </w:r>
      <w:r>
        <w:rPr>
          <w:rFonts w:hint="eastAsia" w:ascii="宋体" w:hAnsi="宋体" w:eastAsia="宋体"/>
          <w:szCs w:val="30"/>
          <w:highlight w:val="none"/>
        </w:rPr>
        <w:t>第四篇  开标程序及方法、评审标准、无效响应和</w:t>
      </w:r>
      <w:r>
        <w:rPr>
          <w:rFonts w:hint="eastAsia" w:ascii="宋体" w:hAnsi="宋体" w:eastAsia="宋体"/>
          <w:szCs w:val="36"/>
          <w:highlight w:val="none"/>
        </w:rPr>
        <w:t>采购终止</w:t>
      </w:r>
      <w:r>
        <w:rPr>
          <w:highlight w:val="none"/>
        </w:rPr>
        <w:tab/>
      </w:r>
      <w:r>
        <w:rPr>
          <w:rFonts w:hint="eastAsia"/>
          <w:highlight w:val="none"/>
          <w:lang w:val="en-US" w:eastAsia="zh-CN"/>
        </w:rPr>
        <w:t>-</w:t>
      </w:r>
      <w:r>
        <w:rPr>
          <w:highlight w:val="none"/>
        </w:rPr>
        <w:fldChar w:fldCharType="begin"/>
      </w:r>
      <w:r>
        <w:rPr>
          <w:highlight w:val="none"/>
        </w:rPr>
        <w:instrText xml:space="preserve"> PAGEREF _Toc12201 \h </w:instrText>
      </w:r>
      <w:r>
        <w:rPr>
          <w:highlight w:val="none"/>
        </w:rPr>
        <w:fldChar w:fldCharType="separate"/>
      </w:r>
      <w:r>
        <w:rPr>
          <w:highlight w:val="none"/>
        </w:rPr>
        <w:t>16</w:t>
      </w:r>
      <w:r>
        <w:rPr>
          <w:highlight w:val="none"/>
        </w:rPr>
        <w:fldChar w:fldCharType="end"/>
      </w:r>
      <w:r>
        <w:rPr>
          <w:rFonts w:hint="eastAsia" w:ascii="宋体" w:hAnsi="宋体" w:eastAsia="宋体" w:cs="宋体"/>
          <w:szCs w:val="24"/>
          <w:highlight w:val="none"/>
        </w:rPr>
        <w:fldChar w:fldCharType="end"/>
      </w:r>
      <w:r>
        <w:rPr>
          <w:rFonts w:hint="eastAsia" w:ascii="宋体" w:hAnsi="宋体" w:cs="宋体"/>
          <w:szCs w:val="24"/>
          <w:highlight w:val="none"/>
          <w:lang w:val="en-US" w:eastAsia="zh-CN"/>
        </w:rPr>
        <w:t>-</w:t>
      </w:r>
    </w:p>
    <w:p w14:paraId="51BBADC3">
      <w:pPr>
        <w:pStyle w:val="10"/>
        <w:tabs>
          <w:tab w:val="right" w:leader="dot" w:pos="9412"/>
        </w:tabs>
        <w:spacing w:line="480" w:lineRule="auto"/>
        <w:ind w:left="0" w:leftChars="0" w:firstLine="560" w:firstLineChars="200"/>
        <w:rPr>
          <w:highlight w:val="none"/>
        </w:rPr>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_Toc17949 </w:instrText>
      </w:r>
      <w:r>
        <w:rPr>
          <w:rFonts w:hint="eastAsia" w:ascii="宋体" w:hAnsi="宋体" w:eastAsia="宋体" w:cs="宋体"/>
          <w:szCs w:val="24"/>
          <w:highlight w:val="none"/>
        </w:rPr>
        <w:fldChar w:fldCharType="separate"/>
      </w:r>
      <w:r>
        <w:rPr>
          <w:rFonts w:hint="eastAsia" w:ascii="宋体" w:hAnsi="宋体" w:eastAsia="宋体" w:cs="宋体"/>
          <w:szCs w:val="30"/>
          <w:highlight w:val="none"/>
        </w:rPr>
        <w:t>第</w:t>
      </w:r>
      <w:r>
        <w:rPr>
          <w:rFonts w:hint="eastAsia" w:ascii="宋体" w:hAnsi="宋体" w:eastAsia="宋体" w:cs="宋体"/>
          <w:szCs w:val="30"/>
          <w:highlight w:val="none"/>
          <w:lang w:eastAsia="zh-CN"/>
        </w:rPr>
        <w:t>五</w:t>
      </w:r>
      <w:r>
        <w:rPr>
          <w:rFonts w:hint="eastAsia" w:ascii="宋体" w:hAnsi="宋体" w:eastAsia="宋体" w:cs="宋体"/>
          <w:szCs w:val="30"/>
          <w:highlight w:val="none"/>
        </w:rPr>
        <w:t xml:space="preserve">篇  </w:t>
      </w:r>
      <w:r>
        <w:rPr>
          <w:rFonts w:hint="eastAsia" w:ascii="宋体" w:hAnsi="宋体" w:eastAsia="宋体" w:cs="宋体"/>
          <w:szCs w:val="30"/>
          <w:highlight w:val="none"/>
          <w:lang w:eastAsia="zh-CN"/>
        </w:rPr>
        <w:t>供应商须知</w:t>
      </w:r>
      <w:r>
        <w:rPr>
          <w:highlight w:val="none"/>
        </w:rPr>
        <w:tab/>
      </w:r>
      <w:r>
        <w:rPr>
          <w:highlight w:val="none"/>
        </w:rPr>
        <w:fldChar w:fldCharType="begin"/>
      </w:r>
      <w:r>
        <w:rPr>
          <w:highlight w:val="none"/>
        </w:rPr>
        <w:instrText xml:space="preserve"> PAGEREF _Toc17949 \h </w:instrText>
      </w:r>
      <w:r>
        <w:rPr>
          <w:highlight w:val="none"/>
        </w:rPr>
        <w:fldChar w:fldCharType="separate"/>
      </w:r>
      <w:r>
        <w:rPr>
          <w:highlight w:val="none"/>
        </w:rPr>
        <w:t>- 25 -</w:t>
      </w:r>
      <w:r>
        <w:rPr>
          <w:highlight w:val="none"/>
        </w:rPr>
        <w:fldChar w:fldCharType="end"/>
      </w:r>
      <w:r>
        <w:rPr>
          <w:rFonts w:hint="eastAsia" w:ascii="宋体" w:hAnsi="宋体" w:eastAsia="宋体" w:cs="宋体"/>
          <w:szCs w:val="24"/>
          <w:highlight w:val="none"/>
        </w:rPr>
        <w:fldChar w:fldCharType="end"/>
      </w:r>
    </w:p>
    <w:p w14:paraId="77B6B8DD">
      <w:pPr>
        <w:pStyle w:val="18"/>
        <w:tabs>
          <w:tab w:val="right" w:leader="dot" w:pos="9412"/>
        </w:tabs>
        <w:spacing w:line="480" w:lineRule="auto"/>
        <w:rPr>
          <w:highlight w:val="none"/>
        </w:rPr>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_Toc17949 </w:instrText>
      </w:r>
      <w:r>
        <w:rPr>
          <w:rFonts w:hint="eastAsia" w:ascii="宋体" w:hAnsi="宋体" w:eastAsia="宋体" w:cs="宋体"/>
          <w:szCs w:val="24"/>
          <w:highlight w:val="none"/>
        </w:rPr>
        <w:fldChar w:fldCharType="separate"/>
      </w:r>
      <w:r>
        <w:rPr>
          <w:rFonts w:hint="eastAsia" w:ascii="宋体" w:hAnsi="宋体" w:eastAsia="宋体" w:cs="宋体"/>
          <w:szCs w:val="30"/>
          <w:highlight w:val="none"/>
        </w:rPr>
        <w:t>第</w:t>
      </w:r>
      <w:r>
        <w:rPr>
          <w:rFonts w:hint="eastAsia" w:ascii="宋体" w:hAnsi="宋体" w:eastAsia="宋体" w:cs="宋体"/>
          <w:szCs w:val="30"/>
          <w:highlight w:val="none"/>
          <w:lang w:eastAsia="zh-CN"/>
        </w:rPr>
        <w:t>六</w:t>
      </w:r>
      <w:r>
        <w:rPr>
          <w:rFonts w:hint="eastAsia" w:ascii="宋体" w:hAnsi="宋体" w:eastAsia="宋体" w:cs="宋体"/>
          <w:szCs w:val="30"/>
          <w:highlight w:val="none"/>
        </w:rPr>
        <w:t>篇  合同草案条款</w:t>
      </w:r>
      <w:r>
        <w:rPr>
          <w:highlight w:val="none"/>
        </w:rPr>
        <w:tab/>
      </w:r>
      <w:r>
        <w:rPr>
          <w:highlight w:val="none"/>
        </w:rPr>
        <w:fldChar w:fldCharType="begin"/>
      </w:r>
      <w:r>
        <w:rPr>
          <w:highlight w:val="none"/>
        </w:rPr>
        <w:instrText xml:space="preserve"> PAGEREF _Toc17949 \h </w:instrText>
      </w:r>
      <w:r>
        <w:rPr>
          <w:highlight w:val="none"/>
        </w:rPr>
        <w:fldChar w:fldCharType="separate"/>
      </w:r>
      <w:r>
        <w:rPr>
          <w:highlight w:val="none"/>
        </w:rPr>
        <w:t>- 25 -</w:t>
      </w:r>
      <w:r>
        <w:rPr>
          <w:highlight w:val="none"/>
        </w:rPr>
        <w:fldChar w:fldCharType="end"/>
      </w:r>
      <w:r>
        <w:rPr>
          <w:rFonts w:hint="eastAsia" w:ascii="宋体" w:hAnsi="宋体" w:eastAsia="宋体" w:cs="宋体"/>
          <w:szCs w:val="24"/>
          <w:highlight w:val="none"/>
        </w:rPr>
        <w:fldChar w:fldCharType="end"/>
      </w:r>
    </w:p>
    <w:p w14:paraId="26915014">
      <w:pPr>
        <w:pStyle w:val="18"/>
        <w:tabs>
          <w:tab w:val="right" w:leader="dot" w:pos="9412"/>
        </w:tabs>
        <w:spacing w:line="480" w:lineRule="auto"/>
        <w:rPr>
          <w:highlight w:val="none"/>
        </w:rPr>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_Toc24744 </w:instrText>
      </w:r>
      <w:r>
        <w:rPr>
          <w:rFonts w:hint="eastAsia" w:ascii="宋体" w:hAnsi="宋体" w:eastAsia="宋体" w:cs="宋体"/>
          <w:szCs w:val="24"/>
          <w:highlight w:val="none"/>
        </w:rPr>
        <w:fldChar w:fldCharType="separate"/>
      </w:r>
      <w:r>
        <w:rPr>
          <w:rFonts w:hint="eastAsia" w:ascii="宋体" w:hAnsi="宋体" w:eastAsia="宋体" w:cs="宋体"/>
          <w:szCs w:val="30"/>
          <w:highlight w:val="none"/>
        </w:rPr>
        <w:t>第</w:t>
      </w:r>
      <w:r>
        <w:rPr>
          <w:rFonts w:hint="eastAsia" w:ascii="宋体" w:hAnsi="宋体" w:eastAsia="宋体" w:cs="宋体"/>
          <w:szCs w:val="30"/>
          <w:highlight w:val="none"/>
          <w:lang w:eastAsia="zh-CN"/>
        </w:rPr>
        <w:t>七</w:t>
      </w:r>
      <w:r>
        <w:rPr>
          <w:rFonts w:hint="eastAsia" w:ascii="宋体" w:hAnsi="宋体" w:eastAsia="宋体" w:cs="宋体"/>
          <w:szCs w:val="30"/>
          <w:highlight w:val="none"/>
        </w:rPr>
        <w:t>篇  响应文件格式要求</w:t>
      </w:r>
      <w:r>
        <w:rPr>
          <w:highlight w:val="none"/>
        </w:rPr>
        <w:tab/>
      </w:r>
      <w:r>
        <w:rPr>
          <w:highlight w:val="none"/>
        </w:rPr>
        <w:fldChar w:fldCharType="begin"/>
      </w:r>
      <w:r>
        <w:rPr>
          <w:highlight w:val="none"/>
        </w:rPr>
        <w:instrText xml:space="preserve"> PAGEREF _Toc24744 \h </w:instrText>
      </w:r>
      <w:r>
        <w:rPr>
          <w:highlight w:val="none"/>
        </w:rPr>
        <w:fldChar w:fldCharType="separate"/>
      </w:r>
      <w:r>
        <w:rPr>
          <w:highlight w:val="none"/>
        </w:rPr>
        <w:t>- 26 -</w:t>
      </w:r>
      <w:r>
        <w:rPr>
          <w:highlight w:val="none"/>
        </w:rPr>
        <w:fldChar w:fldCharType="end"/>
      </w:r>
      <w:r>
        <w:rPr>
          <w:rFonts w:hint="eastAsia" w:ascii="宋体" w:hAnsi="宋体" w:eastAsia="宋体" w:cs="宋体"/>
          <w:szCs w:val="24"/>
          <w:highlight w:val="none"/>
        </w:rPr>
        <w:fldChar w:fldCharType="end"/>
      </w:r>
    </w:p>
    <w:p w14:paraId="3407068D">
      <w:pPr>
        <w:pStyle w:val="17"/>
        <w:tabs>
          <w:tab w:val="right" w:leader="dot" w:pos="9412"/>
        </w:tabs>
        <w:rPr>
          <w:highlight w:val="none"/>
        </w:rPr>
      </w:pPr>
    </w:p>
    <w:p w14:paraId="6382ED34">
      <w:pPr>
        <w:pStyle w:val="18"/>
        <w:tabs>
          <w:tab w:val="right" w:leader="dot" w:pos="9402"/>
        </w:tabs>
        <w:spacing w:line="240" w:lineRule="auto"/>
        <w:ind w:left="0" w:leftChars="0"/>
        <w:rPr>
          <w:rFonts w:hint="eastAsia" w:ascii="宋体" w:hAnsi="宋体" w:eastAsia="宋体" w:cs="宋体"/>
          <w:sz w:val="24"/>
          <w:szCs w:val="24"/>
          <w:highlight w:val="none"/>
        </w:rPr>
        <w:sectPr>
          <w:headerReference r:id="rId3" w:type="default"/>
          <w:footerReference r:id="rId4" w:type="default"/>
          <w:pgSz w:w="11907" w:h="16840"/>
          <w:pgMar w:top="1134" w:right="1191" w:bottom="1134" w:left="1304" w:header="851" w:footer="992" w:gutter="0"/>
          <w:pgBorders>
            <w:top w:val="none" w:sz="0" w:space="0"/>
            <w:left w:val="none" w:sz="0" w:space="0"/>
            <w:bottom w:val="none" w:sz="0" w:space="0"/>
            <w:right w:val="none" w:sz="0" w:space="0"/>
          </w:pgBorders>
          <w:pgNumType w:fmt="numberInDash" w:start="1"/>
          <w:cols w:space="720" w:num="1"/>
          <w:docGrid w:linePitch="381" w:charSpace="-5735"/>
        </w:sectPr>
      </w:pPr>
      <w:r>
        <w:rPr>
          <w:rFonts w:hint="eastAsia" w:ascii="宋体" w:hAnsi="宋体" w:eastAsia="宋体" w:cs="宋体"/>
          <w:szCs w:val="24"/>
          <w:highlight w:val="none"/>
        </w:rPr>
        <w:fldChar w:fldCharType="end"/>
      </w:r>
    </w:p>
    <w:p w14:paraId="32ABB6A2">
      <w:pPr>
        <w:pStyle w:val="5"/>
        <w:spacing w:before="0" w:after="0" w:line="360" w:lineRule="auto"/>
        <w:jc w:val="center"/>
        <w:rPr>
          <w:rFonts w:hint="eastAsia" w:ascii="宋体" w:hAnsi="宋体" w:eastAsia="宋体" w:cs="宋体"/>
          <w:b w:val="0"/>
          <w:color w:val="auto"/>
          <w:sz w:val="36"/>
          <w:szCs w:val="30"/>
          <w:highlight w:val="none"/>
        </w:rPr>
      </w:pPr>
      <w:bookmarkStart w:id="0" w:name="_Toc17317"/>
      <w:bookmarkStart w:id="1" w:name="_Toc12789052"/>
      <w:bookmarkStart w:id="2" w:name="_Toc11641050"/>
      <w:r>
        <w:rPr>
          <w:rFonts w:hint="eastAsia" w:ascii="宋体" w:hAnsi="宋体" w:eastAsia="宋体" w:cs="宋体"/>
          <w:b/>
          <w:bCs/>
          <w:color w:val="auto"/>
          <w:sz w:val="36"/>
          <w:szCs w:val="30"/>
          <w:highlight w:val="none"/>
        </w:rPr>
        <w:t xml:space="preserve">第一篇  </w:t>
      </w:r>
      <w:r>
        <w:rPr>
          <w:rFonts w:hint="eastAsia" w:ascii="宋体" w:hAnsi="宋体" w:eastAsia="宋体" w:cs="宋体"/>
          <w:b/>
          <w:bCs/>
          <w:color w:val="auto"/>
          <w:sz w:val="36"/>
          <w:szCs w:val="30"/>
          <w:highlight w:val="none"/>
          <w:lang w:eastAsia="zh-CN"/>
        </w:rPr>
        <w:t>采购</w:t>
      </w:r>
      <w:r>
        <w:rPr>
          <w:rFonts w:hint="eastAsia" w:ascii="宋体" w:hAnsi="宋体" w:eastAsia="宋体" w:cs="宋体"/>
          <w:b/>
          <w:bCs/>
          <w:color w:val="auto"/>
          <w:sz w:val="36"/>
          <w:szCs w:val="30"/>
          <w:highlight w:val="none"/>
        </w:rPr>
        <w:t>邀请书</w:t>
      </w:r>
      <w:bookmarkEnd w:id="0"/>
      <w:bookmarkEnd w:id="1"/>
      <w:bookmarkEnd w:id="2"/>
    </w:p>
    <w:p w14:paraId="3547E15A">
      <w:pPr>
        <w:pStyle w:val="13"/>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u w:val="single"/>
          <w:lang w:val="en-US" w:eastAsia="zh-CN"/>
        </w:rPr>
        <w:t>重庆智胜达工程管理咨询有限公司</w:t>
      </w:r>
      <w:r>
        <w:rPr>
          <w:rFonts w:hint="eastAsia" w:ascii="宋体" w:hAnsi="宋体" w:eastAsia="宋体" w:cs="宋体"/>
          <w:color w:val="auto"/>
          <w:sz w:val="24"/>
          <w:szCs w:val="24"/>
          <w:highlight w:val="none"/>
        </w:rPr>
        <w:t>（以下简称：采购代理机构）接受</w:t>
      </w:r>
      <w:r>
        <w:rPr>
          <w:rFonts w:hint="eastAsia" w:ascii="宋体" w:hAnsi="宋体" w:cs="宋体"/>
          <w:color w:val="auto"/>
          <w:sz w:val="24"/>
          <w:szCs w:val="24"/>
          <w:highlight w:val="none"/>
          <w:u w:val="single"/>
          <w:lang w:val="en-US" w:eastAsia="zh-CN"/>
        </w:rPr>
        <w:t>重庆市大足区规划和自然资源局</w:t>
      </w:r>
      <w:r>
        <w:rPr>
          <w:rFonts w:hint="eastAsia" w:ascii="宋体" w:hAnsi="宋体" w:eastAsia="宋体" w:cs="宋体"/>
          <w:color w:val="auto"/>
          <w:sz w:val="24"/>
          <w:szCs w:val="24"/>
          <w:highlight w:val="none"/>
        </w:rPr>
        <w:t>（以下简称：采购人）的委托，对</w:t>
      </w:r>
      <w:r>
        <w:rPr>
          <w:rFonts w:hint="eastAsia" w:ascii="宋体" w:hAnsi="宋体" w:cs="宋体"/>
          <w:color w:val="auto"/>
          <w:sz w:val="24"/>
          <w:szCs w:val="24"/>
          <w:highlight w:val="none"/>
          <w:u w:val="single"/>
          <w:lang w:eastAsia="zh-CN"/>
        </w:rPr>
        <w:t>大足区2025年度自然资源常规监测技术服务</w:t>
      </w:r>
      <w:r>
        <w:rPr>
          <w:rFonts w:hint="eastAsia" w:ascii="宋体" w:hAnsi="宋体" w:eastAsia="宋体" w:cs="宋体"/>
          <w:color w:val="auto"/>
          <w:sz w:val="24"/>
          <w:szCs w:val="24"/>
          <w:highlight w:val="none"/>
        </w:rPr>
        <w:t>进行</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采购。欢迎有资格的供应商前来参加</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w:t>
      </w:r>
    </w:p>
    <w:p w14:paraId="783081B4">
      <w:pPr>
        <w:pStyle w:val="6"/>
        <w:numPr>
          <w:ilvl w:val="0"/>
          <w:numId w:val="1"/>
        </w:numPr>
        <w:adjustRightInd w:val="0"/>
        <w:snapToGrid w:val="0"/>
        <w:spacing w:before="0" w:after="0" w:line="400" w:lineRule="exact"/>
        <w:ind w:firstLine="482" w:firstLineChars="200"/>
        <w:rPr>
          <w:rFonts w:hint="eastAsia" w:ascii="宋体" w:hAnsi="宋体" w:eastAsia="宋体" w:cs="宋体"/>
          <w:color w:val="auto"/>
          <w:sz w:val="24"/>
          <w:szCs w:val="24"/>
          <w:highlight w:val="none"/>
        </w:rPr>
      </w:pPr>
      <w:bookmarkStart w:id="3" w:name="_Toc313893526"/>
      <w:bookmarkStart w:id="4" w:name="_Toc317775175"/>
      <w:bookmarkStart w:id="5" w:name="_Toc29871"/>
      <w:r>
        <w:rPr>
          <w:rFonts w:hint="eastAsia" w:ascii="宋体" w:hAnsi="宋体" w:eastAsia="宋体" w:cs="宋体"/>
          <w:color w:val="auto"/>
          <w:sz w:val="24"/>
          <w:szCs w:val="24"/>
          <w:highlight w:val="none"/>
        </w:rPr>
        <w:t>采购内容</w:t>
      </w:r>
      <w:bookmarkEnd w:id="3"/>
      <w:bookmarkEnd w:id="4"/>
      <w:bookmarkEnd w:id="5"/>
    </w:p>
    <w:tbl>
      <w:tblPr>
        <w:tblStyle w:val="25"/>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86"/>
        <w:gridCol w:w="1521"/>
        <w:gridCol w:w="2074"/>
        <w:gridCol w:w="1956"/>
      </w:tblGrid>
      <w:tr w14:paraId="419E2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3786" w:type="dxa"/>
            <w:tcBorders>
              <w:top w:val="single" w:color="auto" w:sz="4" w:space="0"/>
              <w:left w:val="single" w:color="auto" w:sz="4" w:space="0"/>
              <w:right w:val="single" w:color="auto" w:sz="4" w:space="0"/>
            </w:tcBorders>
            <w:noWrap w:val="0"/>
            <w:vAlign w:val="center"/>
          </w:tcPr>
          <w:p w14:paraId="1FD21236">
            <w:pPr>
              <w:widowControl/>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名称</w:t>
            </w:r>
          </w:p>
        </w:tc>
        <w:tc>
          <w:tcPr>
            <w:tcW w:w="1521" w:type="dxa"/>
            <w:tcBorders>
              <w:top w:val="single" w:color="auto" w:sz="4" w:space="0"/>
              <w:left w:val="single" w:color="auto" w:sz="4" w:space="0"/>
              <w:right w:val="single" w:color="auto" w:sz="4" w:space="0"/>
            </w:tcBorders>
            <w:noWrap w:val="0"/>
            <w:vAlign w:val="center"/>
          </w:tcPr>
          <w:p w14:paraId="0BA938D1">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最高限价</w:t>
            </w:r>
          </w:p>
          <w:p w14:paraId="76B18BD6">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（元）</w:t>
            </w:r>
          </w:p>
        </w:tc>
        <w:tc>
          <w:tcPr>
            <w:tcW w:w="2074" w:type="dxa"/>
            <w:tcBorders>
              <w:top w:val="single" w:color="auto" w:sz="4" w:space="0"/>
              <w:left w:val="single" w:color="auto" w:sz="4" w:space="0"/>
              <w:right w:val="single" w:color="auto" w:sz="4" w:space="0"/>
            </w:tcBorders>
            <w:noWrap w:val="0"/>
            <w:vAlign w:val="center"/>
          </w:tcPr>
          <w:p w14:paraId="4168FDC6">
            <w:pPr>
              <w:jc w:val="center"/>
              <w:rPr>
                <w:rFonts w:hint="eastAsia" w:ascii="宋体" w:hAnsi="宋体" w:cs="宋体"/>
                <w:b/>
                <w:bCs/>
                <w:color w:val="auto"/>
                <w:kern w:val="0"/>
                <w:sz w:val="24"/>
                <w:szCs w:val="24"/>
                <w:highlight w:val="none"/>
                <w:lang w:eastAsia="zh-CN"/>
              </w:rPr>
            </w:pPr>
            <w:r>
              <w:rPr>
                <w:rFonts w:hint="eastAsia" w:ascii="宋体" w:hAnsi="宋体" w:cs="宋体"/>
                <w:b/>
                <w:bCs/>
                <w:color w:val="auto"/>
                <w:kern w:val="0"/>
                <w:sz w:val="24"/>
                <w:szCs w:val="24"/>
                <w:highlight w:val="none"/>
                <w:lang w:eastAsia="zh-CN"/>
              </w:rPr>
              <w:t>比选保证金</w:t>
            </w:r>
          </w:p>
          <w:p w14:paraId="7A44B699">
            <w:pPr>
              <w:jc w:val="center"/>
              <w:rPr>
                <w:rFonts w:hint="eastAsia" w:ascii="宋体" w:hAnsi="宋体" w:eastAsia="宋体" w:cs="宋体"/>
                <w:b/>
                <w:bCs/>
                <w:color w:val="auto"/>
                <w:kern w:val="0"/>
                <w:sz w:val="24"/>
                <w:szCs w:val="24"/>
                <w:highlight w:val="none"/>
                <w:lang w:eastAsia="zh-CN"/>
              </w:rPr>
            </w:pP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万元</w:t>
            </w:r>
            <w:r>
              <w:rPr>
                <w:rFonts w:hint="eastAsia" w:ascii="宋体" w:hAnsi="宋体" w:cs="宋体"/>
                <w:b/>
                <w:bCs/>
                <w:color w:val="auto"/>
                <w:kern w:val="0"/>
                <w:sz w:val="24"/>
                <w:szCs w:val="24"/>
                <w:highlight w:val="none"/>
                <w:lang w:eastAsia="zh-CN"/>
              </w:rPr>
              <w:t>）</w:t>
            </w:r>
          </w:p>
        </w:tc>
        <w:tc>
          <w:tcPr>
            <w:tcW w:w="1956" w:type="dxa"/>
            <w:tcBorders>
              <w:top w:val="single" w:color="auto" w:sz="4" w:space="0"/>
              <w:left w:val="single" w:color="auto" w:sz="4" w:space="0"/>
              <w:right w:val="single" w:color="auto" w:sz="4" w:space="0"/>
            </w:tcBorders>
            <w:noWrap w:val="0"/>
            <w:vAlign w:val="center"/>
          </w:tcPr>
          <w:p w14:paraId="77356C45">
            <w:pPr>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成交供应商数量（名）</w:t>
            </w:r>
          </w:p>
        </w:tc>
      </w:tr>
      <w:tr w14:paraId="1F741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3786" w:type="dxa"/>
            <w:tcBorders>
              <w:top w:val="single" w:color="auto" w:sz="4" w:space="0"/>
              <w:left w:val="single" w:color="auto" w:sz="4" w:space="0"/>
              <w:bottom w:val="single" w:color="auto" w:sz="4" w:space="0"/>
              <w:right w:val="single" w:color="auto" w:sz="4" w:space="0"/>
            </w:tcBorders>
            <w:noWrap w:val="0"/>
            <w:vAlign w:val="center"/>
          </w:tcPr>
          <w:p w14:paraId="665D3EDF">
            <w:pPr>
              <w:widowControl/>
              <w:ind w:left="0" w:leftChars="0" w:right="0" w:rightChars="0" w:firstLine="0" w:firstLineChars="0"/>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大足区2025年度自然资源常规监测技术服务</w:t>
            </w:r>
          </w:p>
        </w:tc>
        <w:tc>
          <w:tcPr>
            <w:tcW w:w="1521" w:type="dxa"/>
            <w:tcBorders>
              <w:top w:val="single" w:color="auto" w:sz="4" w:space="0"/>
              <w:left w:val="single" w:color="auto" w:sz="4" w:space="0"/>
              <w:bottom w:val="single" w:color="auto" w:sz="4" w:space="0"/>
              <w:right w:val="single" w:color="auto" w:sz="4" w:space="0"/>
            </w:tcBorders>
            <w:noWrap w:val="0"/>
            <w:vAlign w:val="center"/>
          </w:tcPr>
          <w:p w14:paraId="0E8FDBB1">
            <w:pPr>
              <w:widowControl/>
              <w:ind w:left="0" w:leftChars="0" w:right="0" w:rightChars="0" w:firstLine="0" w:firstLineChars="0"/>
              <w:jc w:val="center"/>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 xml:space="preserve"> </w:t>
            </w:r>
            <w:r>
              <w:rPr>
                <w:rFonts w:hint="eastAsia" w:ascii="宋体" w:hAnsi="宋体" w:cs="宋体"/>
                <w:i w:val="0"/>
                <w:iCs w:val="0"/>
                <w:color w:val="auto"/>
                <w:sz w:val="24"/>
                <w:szCs w:val="24"/>
                <w:u w:val="none"/>
                <w:lang w:val="en-US" w:eastAsia="zh-CN"/>
              </w:rPr>
              <w:t>18</w:t>
            </w:r>
          </w:p>
        </w:tc>
        <w:tc>
          <w:tcPr>
            <w:tcW w:w="2074" w:type="dxa"/>
            <w:tcBorders>
              <w:top w:val="single" w:color="auto" w:sz="4" w:space="0"/>
              <w:left w:val="single" w:color="auto" w:sz="4" w:space="0"/>
              <w:bottom w:val="single" w:color="auto" w:sz="4" w:space="0"/>
              <w:right w:val="single" w:color="auto" w:sz="4" w:space="0"/>
            </w:tcBorders>
            <w:noWrap w:val="0"/>
            <w:vAlign w:val="center"/>
          </w:tcPr>
          <w:p w14:paraId="67822470">
            <w:pPr>
              <w:widowControl/>
              <w:ind w:left="0" w:leftChars="0" w:right="0" w:rightChars="0" w:firstLine="0" w:firstLineChars="0"/>
              <w:jc w:val="center"/>
              <w:rPr>
                <w:rFonts w:hint="default"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 xml:space="preserve"> 0.3</w:t>
            </w:r>
          </w:p>
        </w:tc>
        <w:tc>
          <w:tcPr>
            <w:tcW w:w="1956" w:type="dxa"/>
            <w:tcBorders>
              <w:top w:val="single" w:color="auto" w:sz="4" w:space="0"/>
              <w:left w:val="single" w:color="auto" w:sz="4" w:space="0"/>
              <w:bottom w:val="single" w:color="auto" w:sz="4" w:space="0"/>
              <w:right w:val="single" w:color="auto" w:sz="4" w:space="0"/>
            </w:tcBorders>
            <w:noWrap w:val="0"/>
            <w:vAlign w:val="center"/>
          </w:tcPr>
          <w:p w14:paraId="572CCB56">
            <w:pPr>
              <w:widowControl/>
              <w:ind w:left="0" w:leftChars="0" w:right="0" w:rightChars="0" w:firstLine="0" w:firstLineChars="0"/>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w:t>
            </w:r>
          </w:p>
        </w:tc>
      </w:tr>
    </w:tbl>
    <w:p w14:paraId="41D769E6">
      <w:pPr>
        <w:pStyle w:val="6"/>
        <w:adjustRightInd w:val="0"/>
        <w:snapToGrid w:val="0"/>
        <w:spacing w:before="0" w:after="0" w:line="400" w:lineRule="exact"/>
        <w:ind w:firstLine="482" w:firstLineChars="200"/>
        <w:rPr>
          <w:rFonts w:hint="eastAsia" w:ascii="宋体" w:hAnsi="宋体" w:eastAsia="宋体" w:cs="宋体"/>
          <w:color w:val="auto"/>
          <w:sz w:val="24"/>
          <w:szCs w:val="24"/>
          <w:highlight w:val="none"/>
        </w:rPr>
      </w:pPr>
      <w:bookmarkStart w:id="6" w:name="_Toc27165"/>
      <w:bookmarkStart w:id="7" w:name="_Toc373860293"/>
      <w:bookmarkStart w:id="8" w:name="_Toc317775178"/>
      <w:r>
        <w:rPr>
          <w:rFonts w:hint="eastAsia" w:ascii="宋体" w:hAnsi="宋体" w:eastAsia="宋体" w:cs="宋体"/>
          <w:color w:val="auto"/>
          <w:sz w:val="24"/>
          <w:szCs w:val="24"/>
          <w:highlight w:val="none"/>
        </w:rPr>
        <w:t>二、资金来源</w:t>
      </w:r>
      <w:bookmarkEnd w:id="6"/>
    </w:p>
    <w:p w14:paraId="166D4C91">
      <w:pPr>
        <w:spacing w:line="400" w:lineRule="exact"/>
        <w:ind w:firstLine="480" w:firstLineChars="200"/>
        <w:rPr>
          <w:rFonts w:hint="eastAsia" w:ascii="宋体" w:hAnsi="宋体" w:eastAsia="宋体" w:cs="宋体"/>
          <w:color w:val="auto"/>
          <w:sz w:val="24"/>
          <w:szCs w:val="24"/>
          <w:highlight w:val="none"/>
        </w:rPr>
      </w:pPr>
      <w:bookmarkStart w:id="9" w:name="_Toc14941"/>
      <w:r>
        <w:rPr>
          <w:rFonts w:hint="eastAsia" w:ascii="宋体" w:hAnsi="宋体" w:cs="宋体"/>
          <w:color w:val="auto"/>
          <w:sz w:val="24"/>
          <w:szCs w:val="24"/>
          <w:highlight w:val="none"/>
          <w:lang w:eastAsia="zh-CN"/>
        </w:rPr>
        <w:t>财政预算</w:t>
      </w:r>
      <w:r>
        <w:rPr>
          <w:rFonts w:hint="eastAsia" w:ascii="宋体" w:hAnsi="宋体" w:eastAsia="宋体" w:cs="宋体"/>
          <w:color w:val="auto"/>
          <w:sz w:val="24"/>
          <w:szCs w:val="24"/>
          <w:highlight w:val="none"/>
        </w:rPr>
        <w:t>资金</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预算金额为</w:t>
      </w:r>
      <w:r>
        <w:rPr>
          <w:rFonts w:hint="eastAsia" w:ascii="宋体" w:hAnsi="宋体" w:cs="宋体"/>
          <w:i w:val="0"/>
          <w:iCs w:val="0"/>
          <w:color w:val="auto"/>
          <w:sz w:val="24"/>
          <w:szCs w:val="24"/>
          <w:u w:val="none"/>
          <w:lang w:val="en-US" w:eastAsia="zh-CN"/>
        </w:rPr>
        <w:t>18万</w:t>
      </w:r>
      <w:r>
        <w:rPr>
          <w:rFonts w:hint="eastAsia" w:ascii="宋体" w:hAnsi="宋体" w:eastAsia="宋体" w:cs="宋体"/>
          <w:color w:val="auto"/>
          <w:sz w:val="24"/>
          <w:szCs w:val="24"/>
          <w:highlight w:val="none"/>
        </w:rPr>
        <w:t>元。</w:t>
      </w:r>
    </w:p>
    <w:p w14:paraId="5DF4C024">
      <w:pPr>
        <w:pStyle w:val="6"/>
        <w:adjustRightInd w:val="0"/>
        <w:snapToGrid w:val="0"/>
        <w:spacing w:before="0" w:after="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三、供应商资格条件</w:t>
      </w:r>
      <w:bookmarkEnd w:id="9"/>
    </w:p>
    <w:p w14:paraId="34B456C6">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（一）满足《中华人民共和国政府采购法》第二十二条规定；</w:t>
      </w:r>
    </w:p>
    <w:p w14:paraId="6450D0CB">
      <w:pPr>
        <w:snapToGrid w:val="0"/>
        <w:spacing w:line="400" w:lineRule="exact"/>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（二）落实政府采购政策需满足的资格要求：</w:t>
      </w:r>
      <w:r>
        <w:rPr>
          <w:rFonts w:hint="eastAsia" w:ascii="宋体" w:hAnsi="宋体" w:cs="宋体"/>
          <w:color w:val="auto"/>
          <w:sz w:val="24"/>
          <w:szCs w:val="24"/>
          <w:highlight w:val="none"/>
          <w:lang w:eastAsia="zh-CN"/>
        </w:rPr>
        <w:t>无。</w:t>
      </w:r>
    </w:p>
    <w:p w14:paraId="67661C7D">
      <w:pPr>
        <w:snapToGrid w:val="0"/>
        <w:spacing w:line="400" w:lineRule="exact"/>
        <w:ind w:firstLine="480" w:firstLineChars="20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rPr>
        <w:t>（三）本项目的特定资格要求：</w:t>
      </w:r>
      <w:bookmarkStart w:id="10" w:name="_Toc6513"/>
      <w:r>
        <w:rPr>
          <w:rFonts w:hint="eastAsia" w:ascii="宋体" w:hAnsi="宋体" w:eastAsia="宋体" w:cs="宋体"/>
          <w:color w:val="auto"/>
          <w:sz w:val="24"/>
          <w:szCs w:val="24"/>
          <w:highlight w:val="none"/>
        </w:rPr>
        <w:t>供应商应具备测绘乙级</w:t>
      </w:r>
      <w:r>
        <w:rPr>
          <w:rFonts w:hint="eastAsia" w:ascii="宋体" w:hAnsi="宋体" w:cs="宋体"/>
          <w:color w:val="auto"/>
          <w:sz w:val="24"/>
          <w:szCs w:val="24"/>
          <w:highlight w:val="none"/>
          <w:lang w:val="en-US" w:eastAsia="zh-CN"/>
        </w:rPr>
        <w:t>及</w:t>
      </w:r>
      <w:r>
        <w:rPr>
          <w:rFonts w:hint="eastAsia" w:ascii="宋体" w:hAnsi="宋体" w:eastAsia="宋体" w:cs="宋体"/>
          <w:color w:val="auto"/>
          <w:sz w:val="24"/>
          <w:szCs w:val="24"/>
          <w:highlight w:val="none"/>
        </w:rPr>
        <w:t>以上资质，提供资质证书复印件并加盖供应商公章</w:t>
      </w:r>
      <w:r>
        <w:rPr>
          <w:rFonts w:hint="eastAsia" w:ascii="宋体" w:hAnsi="宋体" w:cs="宋体"/>
          <w:color w:val="auto"/>
          <w:sz w:val="24"/>
          <w:szCs w:val="24"/>
          <w:highlight w:val="none"/>
          <w:lang w:val="en-US" w:eastAsia="zh-CN"/>
        </w:rPr>
        <w:t>。</w:t>
      </w:r>
    </w:p>
    <w:p w14:paraId="0B5BC5DE">
      <w:pPr>
        <w:pStyle w:val="6"/>
        <w:adjustRightInd w:val="0"/>
        <w:snapToGrid w:val="0"/>
        <w:spacing w:before="0" w:after="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有关说明</w:t>
      </w:r>
      <w:bookmarkEnd w:id="7"/>
      <w:bookmarkEnd w:id="10"/>
    </w:p>
    <w:bookmarkEnd w:id="8"/>
    <w:p w14:paraId="374B75CC">
      <w:pPr>
        <w:snapToGrid w:val="0"/>
        <w:spacing w:line="400" w:lineRule="exact"/>
        <w:ind w:firstLine="480" w:firstLineChars="200"/>
        <w:rPr>
          <w:rFonts w:ascii="宋体" w:hAnsi="宋体" w:cs="宋体"/>
          <w:color w:val="auto"/>
          <w:sz w:val="24"/>
          <w:szCs w:val="24"/>
        </w:rPr>
      </w:pPr>
      <w:bookmarkStart w:id="11" w:name="_Toc373860294"/>
      <w:bookmarkStart w:id="12" w:name="_Toc521053053"/>
      <w:bookmarkStart w:id="13" w:name="_Toc525047161"/>
      <w:r>
        <w:rPr>
          <w:rFonts w:hint="eastAsia" w:ascii="宋体" w:hAnsi="宋体" w:cs="宋体"/>
          <w:color w:val="auto"/>
          <w:sz w:val="24"/>
          <w:szCs w:val="24"/>
        </w:rPr>
        <w:t>（一）供应商需通过行采家（https://www.gec123.com/）进行注册，登记加入“行采家供应商库”。</w:t>
      </w:r>
    </w:p>
    <w:p w14:paraId="60407837">
      <w:pPr>
        <w:snapToGrid w:val="0"/>
        <w:spacing w:line="4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w:t>
      </w:r>
      <w:r>
        <w:rPr>
          <w:rFonts w:hint="eastAsia" w:ascii="宋体" w:hAnsi="宋体" w:eastAsia="宋体" w:cs="宋体"/>
          <w:color w:val="auto"/>
          <w:spacing w:val="-20"/>
          <w:sz w:val="24"/>
          <w:szCs w:val="24"/>
          <w:highlight w:val="none"/>
        </w:rPr>
        <w:t>凡有意参加本次采购的供应商，请在</w:t>
      </w:r>
      <w:r>
        <w:rPr>
          <w:rFonts w:hint="eastAsia" w:ascii="宋体" w:hAnsi="宋体" w:cs="宋体"/>
          <w:color w:val="auto"/>
          <w:spacing w:val="-20"/>
          <w:sz w:val="24"/>
          <w:szCs w:val="24"/>
          <w:highlight w:val="none"/>
          <w:lang w:eastAsia="zh-CN"/>
        </w:rPr>
        <w:t>行采家</w:t>
      </w:r>
      <w:r>
        <w:rPr>
          <w:rFonts w:hint="eastAsia" w:ascii="宋体" w:hAnsi="宋体" w:cs="宋体"/>
          <w:color w:val="auto"/>
          <w:spacing w:val="-20"/>
          <w:sz w:val="24"/>
          <w:szCs w:val="24"/>
          <w:highlight w:val="none"/>
          <w:lang w:val="en-US" w:eastAsia="zh-CN"/>
        </w:rPr>
        <w:t>·电子竞采</w:t>
      </w:r>
      <w:r>
        <w:rPr>
          <w:rFonts w:hint="eastAsia" w:ascii="宋体" w:hAnsi="宋体" w:cs="宋体"/>
          <w:color w:val="auto"/>
          <w:spacing w:val="-20"/>
          <w:sz w:val="24"/>
          <w:szCs w:val="24"/>
          <w:highlight w:val="none"/>
          <w:lang w:eastAsia="zh-CN"/>
        </w:rPr>
        <w:t>（https://www.gec123.com/xe/）</w:t>
      </w:r>
      <w:r>
        <w:rPr>
          <w:rFonts w:hint="eastAsia" w:ascii="宋体" w:hAnsi="宋体" w:eastAsia="宋体" w:cs="宋体"/>
          <w:color w:val="auto"/>
          <w:sz w:val="24"/>
          <w:szCs w:val="24"/>
          <w:highlight w:val="none"/>
        </w:rPr>
        <w:t>上下载或到采购代理机构处领取本项目</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以及澄清等</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前公布的所有项目资料，无论供应商下载或领取与否，均视为已知晓所有</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实质性要求内容。</w:t>
      </w:r>
    </w:p>
    <w:p w14:paraId="04CEC881">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（三）获取</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期限：</w:t>
      </w:r>
    </w:p>
    <w:p w14:paraId="29D7610D">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提供期限：</w:t>
      </w:r>
      <w:r>
        <w:rPr>
          <w:rFonts w:hint="eastAsia" w:ascii="宋体" w:hAnsi="宋体" w:eastAsia="宋体" w:cs="宋体"/>
          <w:color w:val="auto"/>
          <w:sz w:val="24"/>
          <w:szCs w:val="24"/>
          <w:highlight w:val="none"/>
          <w:lang w:eastAsia="zh-CN"/>
        </w:rPr>
        <w:t>同采购</w:t>
      </w:r>
      <w:r>
        <w:rPr>
          <w:rFonts w:hint="eastAsia" w:ascii="宋体" w:hAnsi="宋体" w:eastAsia="宋体" w:cs="宋体"/>
          <w:color w:val="auto"/>
          <w:sz w:val="24"/>
          <w:szCs w:val="24"/>
          <w:highlight w:val="none"/>
        </w:rPr>
        <w:t>公告</w:t>
      </w:r>
      <w:r>
        <w:rPr>
          <w:rFonts w:hint="eastAsia" w:ascii="宋体" w:hAnsi="宋体" w:eastAsia="宋体" w:cs="宋体"/>
          <w:color w:val="auto"/>
          <w:sz w:val="24"/>
          <w:szCs w:val="24"/>
          <w:highlight w:val="none"/>
          <w:lang w:eastAsia="zh-CN"/>
        </w:rPr>
        <w:t>期限（</w:t>
      </w:r>
      <w:r>
        <w:rPr>
          <w:rFonts w:hint="eastAsia" w:ascii="宋体" w:hAnsi="宋体" w:eastAsia="宋体" w:cs="宋体"/>
          <w:color w:val="auto"/>
          <w:sz w:val="24"/>
          <w:szCs w:val="24"/>
          <w:highlight w:val="none"/>
        </w:rPr>
        <w:t>发布之日起</w:t>
      </w:r>
      <w:r>
        <w:rPr>
          <w:rFonts w:hint="eastAsia" w:ascii="宋体" w:hAnsi="宋体" w:cs="宋体"/>
          <w:color w:val="auto"/>
          <w:sz w:val="24"/>
          <w:szCs w:val="24"/>
          <w:highlight w:val="none"/>
          <w:lang w:eastAsia="zh-CN"/>
        </w:rPr>
        <w:t>三</w:t>
      </w:r>
      <w:r>
        <w:rPr>
          <w:rFonts w:hint="eastAsia" w:ascii="宋体" w:hAnsi="宋体" w:eastAsia="宋体" w:cs="宋体"/>
          <w:color w:val="auto"/>
          <w:sz w:val="24"/>
          <w:szCs w:val="24"/>
          <w:highlight w:val="none"/>
        </w:rPr>
        <w:t>个工作日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p>
    <w:p w14:paraId="6AE02770">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2.文件售价：500.00元</w:t>
      </w:r>
    </w:p>
    <w:p w14:paraId="00084EA8">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.报名时间：</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"mailto:2023年7月XX日至2023年7月XX日，在报名时间内，供应商将《网上竞采项目报名登记表》加盖供应商公章扫描后发送至656258653@qq.com。"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日至202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27</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fldChar w:fldCharType="end"/>
      </w:r>
    </w:p>
    <w:p w14:paraId="28CC26D5">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.报名方式：在规定的报名时间内，供应商</w:t>
      </w:r>
      <w:r>
        <w:rPr>
          <w:rFonts w:hint="eastAsia" w:ascii="宋体" w:hAnsi="宋体" w:cs="宋体"/>
          <w:color w:val="auto"/>
          <w:sz w:val="24"/>
          <w:szCs w:val="24"/>
          <w:highlight w:val="none"/>
          <w:lang w:eastAsia="zh-CN"/>
        </w:rPr>
        <w:t>到重庆智胜达工程管理咨询有限公司现场登记递交</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采购文件发售登记表</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（格式详见附件）</w:t>
      </w:r>
      <w:r>
        <w:rPr>
          <w:rFonts w:hint="eastAsia" w:ascii="宋体" w:hAnsi="宋体" w:eastAsia="宋体" w:cs="宋体"/>
          <w:color w:val="auto"/>
          <w:sz w:val="24"/>
          <w:szCs w:val="24"/>
          <w:highlight w:val="none"/>
        </w:rPr>
        <w:t>，未在规定时间内报名的供应商，响应文件恕不接收。</w:t>
      </w:r>
    </w:p>
    <w:p w14:paraId="365BD97F">
      <w:pPr>
        <w:spacing w:line="400" w:lineRule="exact"/>
        <w:ind w:firstLine="480" w:firstLineChars="200"/>
        <w:rPr>
          <w:rFonts w:hint="default" w:ascii="宋体" w:hAnsi="宋体" w:eastAsia="宋体" w:cs="宋体"/>
          <w:color w:val="auto"/>
          <w:sz w:val="24"/>
          <w:szCs w:val="24"/>
          <w:lang w:val="en-US" w:eastAsia="zh-CN"/>
        </w:rPr>
      </w:pPr>
      <w:r>
        <w:rPr>
          <w:rFonts w:hint="eastAsia" w:ascii="宋体" w:hAnsi="宋体" w:cs="宋体"/>
          <w:color w:val="auto"/>
          <w:sz w:val="24"/>
          <w:szCs w:val="24"/>
          <w:lang w:eastAsia="zh-CN"/>
        </w:rPr>
        <w:t>（四）线上报价截止时间：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10:30</w:t>
      </w:r>
    </w:p>
    <w:p w14:paraId="7DEBC45A">
      <w:pPr>
        <w:spacing w:line="400" w:lineRule="exact"/>
        <w:ind w:firstLine="482" w:firstLineChars="200"/>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rPr>
        <w:t>注：供应商线上报价时需上传盖章后的电子文档（PDF）格式一份。上传电子文档必须按照要求制作，规定签字、盖章的地方必须按其规定签字、盖章，未按要求制作响应文件的</w:t>
      </w:r>
      <w:r>
        <w:rPr>
          <w:rFonts w:hint="eastAsia" w:ascii="宋体" w:hAnsi="宋体" w:cs="宋体"/>
          <w:b/>
          <w:bCs/>
          <w:color w:val="auto"/>
          <w:sz w:val="24"/>
          <w:szCs w:val="24"/>
          <w:highlight w:val="none"/>
          <w:lang w:val="en-US" w:eastAsia="zh-CN"/>
        </w:rPr>
        <w:t>按无效响应</w:t>
      </w:r>
      <w:r>
        <w:rPr>
          <w:rFonts w:hint="eastAsia" w:ascii="宋体" w:hAnsi="宋体" w:eastAsia="宋体" w:cs="宋体"/>
          <w:b/>
          <w:bCs/>
          <w:color w:val="auto"/>
          <w:sz w:val="24"/>
          <w:szCs w:val="24"/>
          <w:highlight w:val="none"/>
        </w:rPr>
        <w:t>处理。电子文档</w:t>
      </w:r>
      <w:r>
        <w:rPr>
          <w:rFonts w:hint="eastAsia" w:ascii="宋体" w:hAnsi="宋体" w:cs="宋体"/>
          <w:b/>
          <w:bCs/>
          <w:color w:val="auto"/>
          <w:sz w:val="24"/>
          <w:szCs w:val="24"/>
          <w:highlight w:val="none"/>
          <w:lang w:eastAsia="zh-CN"/>
        </w:rPr>
        <w:t>与纸质正本不一致时，以纸质正本文件为准。</w:t>
      </w:r>
    </w:p>
    <w:p w14:paraId="7994A5B2">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rPr>
        <w:t>（</w:t>
      </w:r>
      <w:r>
        <w:rPr>
          <w:rFonts w:hint="eastAsia" w:ascii="宋体" w:hAnsi="宋体" w:cs="宋体"/>
          <w:color w:val="auto"/>
          <w:sz w:val="24"/>
          <w:szCs w:val="24"/>
          <w:lang w:eastAsia="zh-CN"/>
        </w:rPr>
        <w:t>五</w:t>
      </w:r>
      <w:r>
        <w:rPr>
          <w:rFonts w:hint="eastAsia" w:ascii="宋体" w:hAnsi="宋体" w:eastAsia="宋体" w:cs="宋体"/>
          <w:color w:val="auto"/>
          <w:sz w:val="24"/>
          <w:szCs w:val="24"/>
        </w:rPr>
        <w:t>）</w:t>
      </w:r>
      <w:r>
        <w:rPr>
          <w:rFonts w:hint="eastAsia" w:ascii="宋体" w:hAnsi="宋体" w:cs="宋体"/>
          <w:color w:val="auto"/>
          <w:sz w:val="24"/>
          <w:szCs w:val="24"/>
          <w:lang w:eastAsia="zh-CN"/>
        </w:rPr>
        <w:t>线下</w:t>
      </w:r>
      <w:r>
        <w:rPr>
          <w:rFonts w:hint="eastAsia" w:ascii="宋体" w:hAnsi="宋体" w:eastAsia="宋体" w:cs="宋体"/>
          <w:color w:val="auto"/>
          <w:sz w:val="24"/>
          <w:szCs w:val="24"/>
        </w:rPr>
        <w:t>递交响应文件</w:t>
      </w:r>
      <w:r>
        <w:rPr>
          <w:rFonts w:hint="eastAsia" w:ascii="宋体" w:hAnsi="宋体" w:cs="宋体"/>
          <w:color w:val="auto"/>
          <w:sz w:val="24"/>
          <w:szCs w:val="24"/>
          <w:lang w:eastAsia="zh-CN"/>
        </w:rPr>
        <w:t>时间</w:t>
      </w:r>
      <w:r>
        <w:rPr>
          <w:rFonts w:hint="eastAsia" w:ascii="宋体" w:hAnsi="宋体" w:eastAsia="宋体" w:cs="宋体"/>
          <w:color w:val="auto"/>
          <w:sz w:val="24"/>
          <w:szCs w:val="24"/>
        </w:rPr>
        <w:t>：</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10:30-11:00</w:t>
      </w:r>
      <w:r>
        <w:rPr>
          <w:rFonts w:hint="eastAsia" w:ascii="宋体" w:hAnsi="宋体" w:eastAsia="宋体" w:cs="宋体"/>
          <w:color w:val="auto"/>
          <w:sz w:val="24"/>
          <w:szCs w:val="24"/>
          <w:highlight w:val="none"/>
        </w:rPr>
        <w:t>。</w:t>
      </w:r>
    </w:p>
    <w:p w14:paraId="47403E9A">
      <w:pPr>
        <w:snapToGrid w:val="0"/>
        <w:spacing w:line="400" w:lineRule="exact"/>
        <w:ind w:firstLine="482"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注：供应商提交响应文件时，一并提交以下资料：</w:t>
      </w:r>
    </w:p>
    <w:p w14:paraId="7B10C55F">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1.提交报名费缴纳凭据复印件，加盖供应商公章；</w:t>
      </w:r>
    </w:p>
    <w:p w14:paraId="4E8284DD">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2.提交</w:t>
      </w:r>
      <w:r>
        <w:rPr>
          <w:rFonts w:hint="eastAsia" w:ascii="宋体" w:hAnsi="宋体" w:cs="宋体"/>
          <w:color w:val="auto"/>
          <w:sz w:val="24"/>
          <w:szCs w:val="24"/>
          <w:highlight w:val="none"/>
          <w:lang w:val="en-US" w:eastAsia="zh-CN"/>
        </w:rPr>
        <w:t>比选</w:t>
      </w:r>
      <w:r>
        <w:rPr>
          <w:rFonts w:hint="eastAsia" w:ascii="宋体" w:hAnsi="宋体" w:eastAsia="宋体" w:cs="宋体"/>
          <w:color w:val="auto"/>
          <w:sz w:val="24"/>
          <w:szCs w:val="24"/>
          <w:highlight w:val="none"/>
          <w:lang w:val="en-US" w:eastAsia="zh-CN"/>
        </w:rPr>
        <w:t>保证金银行转账凭据，加盖供应商公章；</w:t>
      </w:r>
    </w:p>
    <w:p w14:paraId="024F7F20">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3.递交“供应商信息卡”（格式详见附件），内容填写完整，加盖供应商公章；</w:t>
      </w:r>
    </w:p>
    <w:p w14:paraId="4FEAAD73">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4.递交供应商银行“基本账户信息”或“开户许可证”复印件，加盖供应商公章；</w:t>
      </w:r>
    </w:p>
    <w:p w14:paraId="28B02E91">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5.递交</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采购文件发售登记表</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（格式详见附件）</w:t>
      </w:r>
      <w:r>
        <w:rPr>
          <w:rFonts w:hint="eastAsia" w:ascii="宋体" w:hAnsi="宋体" w:eastAsia="宋体" w:cs="宋体"/>
          <w:color w:val="auto"/>
          <w:sz w:val="24"/>
          <w:szCs w:val="24"/>
          <w:highlight w:val="none"/>
          <w:lang w:val="en-US" w:eastAsia="zh-CN"/>
        </w:rPr>
        <w:t>，加盖供应商公章；</w:t>
      </w:r>
    </w:p>
    <w:p w14:paraId="33097BBB">
      <w:pPr>
        <w:spacing w:line="400" w:lineRule="exact"/>
        <w:ind w:firstLine="482" w:firstLineChars="200"/>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lang w:eastAsia="zh-CN"/>
        </w:rPr>
        <w:t>说明：以上资料为手持件，不得密封。</w:t>
      </w:r>
    </w:p>
    <w:p w14:paraId="77A68009">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六</w:t>
      </w:r>
      <w:r>
        <w:rPr>
          <w:rFonts w:hint="eastAsia" w:ascii="宋体" w:hAnsi="宋体" w:eastAsia="宋体" w:cs="宋体"/>
          <w:color w:val="auto"/>
          <w:sz w:val="24"/>
          <w:szCs w:val="24"/>
          <w:highlight w:val="none"/>
        </w:rPr>
        <w:t>）</w:t>
      </w:r>
      <w:r>
        <w:rPr>
          <w:rFonts w:hint="eastAsia" w:ascii="宋体" w:hAnsi="宋体" w:cs="宋体"/>
          <w:color w:val="auto"/>
          <w:sz w:val="24"/>
          <w:szCs w:val="24"/>
          <w:lang w:eastAsia="zh-CN"/>
        </w:rPr>
        <w:t>线下</w:t>
      </w:r>
      <w:r>
        <w:rPr>
          <w:rFonts w:hint="eastAsia" w:ascii="宋体" w:hAnsi="宋体" w:eastAsia="宋体" w:cs="宋体"/>
          <w:color w:val="auto"/>
          <w:sz w:val="24"/>
          <w:szCs w:val="24"/>
        </w:rPr>
        <w:t>递交响应文件</w:t>
      </w:r>
      <w:r>
        <w:rPr>
          <w:rFonts w:hint="eastAsia" w:ascii="宋体" w:hAnsi="宋体" w:cs="宋体"/>
          <w:color w:val="auto"/>
          <w:sz w:val="24"/>
          <w:szCs w:val="24"/>
          <w:lang w:eastAsia="zh-CN"/>
        </w:rPr>
        <w:t>地点</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重庆市大足区宏声北路</w:t>
      </w:r>
      <w:r>
        <w:rPr>
          <w:rFonts w:hint="eastAsia" w:ascii="宋体" w:hAnsi="宋体" w:cs="宋体"/>
          <w:color w:val="auto"/>
          <w:sz w:val="24"/>
          <w:szCs w:val="24"/>
          <w:highlight w:val="none"/>
          <w:lang w:val="en-US" w:eastAsia="zh-CN"/>
        </w:rPr>
        <w:t>18号</w:t>
      </w:r>
    </w:p>
    <w:bookmarkEnd w:id="11"/>
    <w:bookmarkEnd w:id="12"/>
    <w:bookmarkEnd w:id="13"/>
    <w:p w14:paraId="2F55473B">
      <w:pPr>
        <w:spacing w:line="400" w:lineRule="exact"/>
        <w:ind w:firstLine="480" w:firstLineChars="200"/>
        <w:rPr>
          <w:rFonts w:hint="default" w:ascii="宋体" w:hAnsi="宋体" w:cs="宋体"/>
          <w:color w:val="auto"/>
          <w:sz w:val="24"/>
          <w:szCs w:val="24"/>
          <w:lang w:val="en-US" w:eastAsia="zh-CN"/>
        </w:rPr>
      </w:pPr>
      <w:bookmarkStart w:id="14" w:name="_Toc16269"/>
      <w:bookmarkStart w:id="15" w:name="_Toc25546"/>
      <w:bookmarkStart w:id="16" w:name="_Toc26051"/>
      <w:bookmarkStart w:id="17" w:name="_Toc521053055"/>
      <w:bookmarkStart w:id="18" w:name="_Toc65660336"/>
      <w:bookmarkStart w:id="19" w:name="_Toc525047163"/>
      <w:bookmarkStart w:id="20" w:name="_Toc6563"/>
      <w:bookmarkStart w:id="21" w:name="_Toc102227313"/>
      <w:r>
        <w:rPr>
          <w:rFonts w:hint="eastAsia" w:ascii="宋体" w:hAnsi="宋体" w:cs="宋体"/>
          <w:color w:val="auto"/>
          <w:sz w:val="24"/>
          <w:szCs w:val="24"/>
          <w:lang w:val="en-US" w:eastAsia="zh-CN"/>
        </w:rPr>
        <w:t>（七）比选开始时间：2025年4月28日11:00</w:t>
      </w:r>
    </w:p>
    <w:p w14:paraId="6AC09DE8">
      <w:pPr>
        <w:pStyle w:val="5"/>
        <w:adjustRightInd w:val="0"/>
        <w:snapToGrid w:val="0"/>
        <w:spacing w:before="0" w:after="0" w:line="400" w:lineRule="exact"/>
        <w:ind w:firstLine="482"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保证金</w:t>
      </w:r>
    </w:p>
    <w:p w14:paraId="0A8DD28B">
      <w:pPr>
        <w:snapToGrid w:val="0"/>
        <w:spacing w:line="400" w:lineRule="exact"/>
        <w:ind w:firstLine="480" w:firstLineChars="200"/>
        <w:outlineLvl w:val="2"/>
        <w:rPr>
          <w:rFonts w:ascii="宋体" w:hAnsi="宋体" w:cs="宋体"/>
          <w:color w:val="auto"/>
          <w:sz w:val="24"/>
          <w:szCs w:val="24"/>
          <w:highlight w:val="none"/>
        </w:rPr>
      </w:pPr>
      <w:r>
        <w:rPr>
          <w:rFonts w:hint="eastAsia" w:ascii="宋体" w:hAnsi="宋体" w:cs="宋体"/>
          <w:color w:val="auto"/>
          <w:sz w:val="24"/>
          <w:szCs w:val="24"/>
          <w:highlight w:val="none"/>
        </w:rPr>
        <w:t>（一）保证金递交</w:t>
      </w:r>
      <w:bookmarkStart w:id="191" w:name="_GoBack"/>
      <w:bookmarkEnd w:id="191"/>
    </w:p>
    <w:p w14:paraId="108F6D26">
      <w:pPr>
        <w:widowControl w:val="0"/>
        <w:snapToGrid w:val="0"/>
        <w:spacing w:line="400" w:lineRule="exact"/>
        <w:ind w:firstLine="480" w:firstLineChars="200"/>
        <w:jc w:val="both"/>
        <w:rPr>
          <w:rFonts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1.供应商应足额交纳保证金（保证金金额详见本篇，一、采购内容），并汇至下列账户，</w:t>
      </w:r>
      <w:r>
        <w:rPr>
          <w:rFonts w:hint="eastAsia" w:ascii="宋体" w:hAnsi="宋体" w:eastAsia="宋体" w:cs="宋体"/>
          <w:b/>
          <w:bCs/>
          <w:color w:val="auto"/>
          <w:kern w:val="2"/>
          <w:sz w:val="24"/>
          <w:szCs w:val="24"/>
          <w:highlight w:val="none"/>
          <w:lang w:val="en-US" w:eastAsia="zh-CN" w:bidi="ar-SA"/>
        </w:rPr>
        <w:t>保证金的到账截止时间同响应文件开始提交时间一致。</w:t>
      </w:r>
    </w:p>
    <w:p w14:paraId="64F4EBAC">
      <w:pPr>
        <w:pageBreakBefore w:val="0"/>
        <w:widowControl/>
        <w:kinsoku/>
        <w:wordWrap w:val="0"/>
        <w:overflowPunct/>
        <w:topLinePunct w:val="0"/>
        <w:autoSpaceDE/>
        <w:autoSpaceDN/>
        <w:bidi w:val="0"/>
        <w:spacing w:line="400" w:lineRule="exact"/>
        <w:ind w:firstLine="480"/>
        <w:textAlignment w:val="auto"/>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保证金账户：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6103"/>
      </w:tblGrid>
      <w:tr w14:paraId="125D9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776" w:type="dxa"/>
            <w:noWrap w:val="0"/>
            <w:vAlign w:val="center"/>
          </w:tcPr>
          <w:p w14:paraId="789BF5A4">
            <w:pPr>
              <w:widowControl w:val="0"/>
              <w:snapToGrid w:val="0"/>
              <w:spacing w:line="400" w:lineRule="exact"/>
              <w:ind w:firstLine="0"/>
              <w:jc w:val="center"/>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户  名</w:t>
            </w:r>
          </w:p>
        </w:tc>
        <w:tc>
          <w:tcPr>
            <w:tcW w:w="6103" w:type="dxa"/>
            <w:noWrap w:val="0"/>
            <w:vAlign w:val="center"/>
          </w:tcPr>
          <w:p w14:paraId="4F7C2190">
            <w:pPr>
              <w:widowControl w:val="0"/>
              <w:snapToGrid w:val="0"/>
              <w:spacing w:line="400" w:lineRule="exact"/>
              <w:ind w:firstLine="1200" w:firstLineChars="500"/>
              <w:jc w:val="left"/>
              <w:rPr>
                <w:rFonts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重庆智胜达工程管理咨询有限公司</w:t>
            </w:r>
          </w:p>
        </w:tc>
      </w:tr>
      <w:tr w14:paraId="722C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776" w:type="dxa"/>
            <w:noWrap w:val="0"/>
            <w:vAlign w:val="center"/>
          </w:tcPr>
          <w:p w14:paraId="7B025203">
            <w:pPr>
              <w:widowControl w:val="0"/>
              <w:snapToGrid w:val="0"/>
              <w:spacing w:line="400" w:lineRule="exact"/>
              <w:ind w:firstLine="0"/>
              <w:jc w:val="center"/>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开户行</w:t>
            </w:r>
          </w:p>
        </w:tc>
        <w:tc>
          <w:tcPr>
            <w:tcW w:w="6103" w:type="dxa"/>
            <w:noWrap w:val="0"/>
            <w:vAlign w:val="center"/>
          </w:tcPr>
          <w:p w14:paraId="36F5207E">
            <w:pPr>
              <w:widowControl w:val="0"/>
              <w:snapToGrid w:val="0"/>
              <w:spacing w:line="400" w:lineRule="exact"/>
              <w:ind w:firstLine="1200" w:firstLineChars="500"/>
              <w:jc w:val="left"/>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中国银行重庆分行大足双桥支行</w:t>
            </w:r>
          </w:p>
        </w:tc>
      </w:tr>
      <w:tr w14:paraId="17141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76" w:type="dxa"/>
            <w:noWrap w:val="0"/>
            <w:vAlign w:val="center"/>
          </w:tcPr>
          <w:p w14:paraId="46096946">
            <w:pPr>
              <w:widowControl w:val="0"/>
              <w:snapToGrid w:val="0"/>
              <w:spacing w:line="400" w:lineRule="exact"/>
              <w:ind w:firstLine="0"/>
              <w:jc w:val="center"/>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账  号</w:t>
            </w:r>
          </w:p>
        </w:tc>
        <w:tc>
          <w:tcPr>
            <w:tcW w:w="6103" w:type="dxa"/>
            <w:noWrap w:val="0"/>
            <w:vAlign w:val="center"/>
          </w:tcPr>
          <w:p w14:paraId="35444F84">
            <w:pPr>
              <w:widowControl w:val="0"/>
              <w:snapToGrid w:val="0"/>
              <w:spacing w:line="400" w:lineRule="exact"/>
              <w:ind w:firstLine="1200" w:firstLineChars="500"/>
              <w:jc w:val="left"/>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114474781887</w:t>
            </w:r>
          </w:p>
        </w:tc>
      </w:tr>
    </w:tbl>
    <w:p w14:paraId="20685FD1">
      <w:pPr>
        <w:widowControl w:val="0"/>
        <w:snapToGrid w:val="0"/>
        <w:spacing w:line="400" w:lineRule="exact"/>
        <w:ind w:firstLine="480" w:firstLineChars="200"/>
        <w:jc w:val="both"/>
        <w:rPr>
          <w:rFonts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2.各供应商在银行转账（电汇）时，须充分考虑银行转账（电汇）的时间差风险，如同城转账、异地转账或汇款、跨行转账或电汇的时间要求。</w:t>
      </w:r>
    </w:p>
    <w:p w14:paraId="2FA6FAAA">
      <w:pPr>
        <w:snapToGrid w:val="0"/>
        <w:spacing w:line="400" w:lineRule="exact"/>
        <w:ind w:firstLine="360" w:firstLineChars="150"/>
        <w:outlineLvl w:val="2"/>
        <w:rPr>
          <w:rFonts w:ascii="宋体" w:hAnsi="宋体" w:cs="宋体"/>
          <w:color w:val="auto"/>
          <w:sz w:val="24"/>
          <w:szCs w:val="24"/>
          <w:highlight w:val="none"/>
        </w:rPr>
      </w:pPr>
      <w:r>
        <w:rPr>
          <w:rFonts w:hint="eastAsia" w:ascii="宋体" w:hAnsi="宋体" w:cs="宋体"/>
          <w:color w:val="auto"/>
          <w:sz w:val="24"/>
          <w:szCs w:val="24"/>
          <w:highlight w:val="none"/>
        </w:rPr>
        <w:t>（二）保证金退还方式</w:t>
      </w:r>
    </w:p>
    <w:p w14:paraId="05F84762">
      <w:pPr>
        <w:snapToGrid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1.未成交供应商的保证金，在成交通知书发放后，</w:t>
      </w:r>
      <w:r>
        <w:rPr>
          <w:rFonts w:hint="eastAsia" w:ascii="宋体" w:hAnsi="宋体" w:cs="宋体"/>
          <w:color w:val="auto"/>
          <w:sz w:val="24"/>
          <w:szCs w:val="24"/>
          <w:highlight w:val="none"/>
          <w:lang w:eastAsia="zh-CN"/>
        </w:rPr>
        <w:t>重庆智胜达工程管理咨询有限公司</w:t>
      </w:r>
      <w:r>
        <w:rPr>
          <w:rFonts w:hint="eastAsia" w:ascii="宋体" w:hAnsi="宋体" w:cs="宋体"/>
          <w:color w:val="auto"/>
          <w:sz w:val="24"/>
          <w:szCs w:val="24"/>
          <w:highlight w:val="none"/>
        </w:rPr>
        <w:t>在五个工作日内按来款渠道直接退还。</w:t>
      </w:r>
    </w:p>
    <w:p w14:paraId="5A5371A7">
      <w:pPr>
        <w:snapToGrid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2.成交供应商的保证金，在成交供应商与采购人签订合同后，将合同原件送至代理机构备案；</w:t>
      </w:r>
      <w:r>
        <w:rPr>
          <w:rFonts w:hint="eastAsia" w:ascii="宋体" w:hAnsi="宋体" w:cs="宋体"/>
          <w:color w:val="auto"/>
          <w:sz w:val="24"/>
          <w:szCs w:val="24"/>
          <w:highlight w:val="none"/>
          <w:lang w:eastAsia="zh-CN"/>
        </w:rPr>
        <w:t>重庆智胜达工程管理咨询有限公司</w:t>
      </w:r>
      <w:r>
        <w:rPr>
          <w:rFonts w:hint="eastAsia" w:ascii="宋体" w:hAnsi="宋体" w:cs="宋体"/>
          <w:color w:val="auto"/>
          <w:sz w:val="24"/>
          <w:szCs w:val="24"/>
          <w:highlight w:val="none"/>
        </w:rPr>
        <w:t>在收到合同之日起五个工作日内按资金来款渠道直接退还。</w:t>
      </w:r>
    </w:p>
    <w:p w14:paraId="0A44381B">
      <w:pPr>
        <w:snapToGrid w:val="0"/>
        <w:spacing w:line="400" w:lineRule="exact"/>
        <w:ind w:firstLine="480" w:firstLineChars="200"/>
        <w:rPr>
          <w:rFonts w:hint="default" w:eastAsia="宋体" w:cs="宋体"/>
          <w:b/>
          <w:bCs/>
          <w:color w:val="auto"/>
          <w:sz w:val="24"/>
          <w:highlight w:val="none"/>
          <w:lang w:val="en-US" w:eastAsia="zh-CN"/>
        </w:rPr>
      </w:pPr>
      <w:r>
        <w:rPr>
          <w:rFonts w:hint="eastAsia" w:ascii="宋体" w:hAnsi="宋体" w:cs="宋体"/>
          <w:color w:val="auto"/>
          <w:sz w:val="24"/>
          <w:szCs w:val="24"/>
          <w:highlight w:val="none"/>
          <w:lang w:eastAsia="zh-CN"/>
        </w:rPr>
        <w:t>重庆智胜达工程管理咨询有限公司</w:t>
      </w:r>
      <w:r>
        <w:rPr>
          <w:rFonts w:hint="eastAsia" w:ascii="宋体" w:hAnsi="宋体" w:cs="宋体"/>
          <w:color w:val="auto"/>
          <w:sz w:val="24"/>
          <w:szCs w:val="24"/>
          <w:highlight w:val="none"/>
        </w:rPr>
        <w:t>财务咨询电话：</w:t>
      </w:r>
      <w:r>
        <w:rPr>
          <w:rFonts w:hint="eastAsia" w:ascii="宋体" w:hAnsi="宋体" w:cs="宋体"/>
          <w:color w:val="auto"/>
          <w:sz w:val="24"/>
          <w:szCs w:val="24"/>
          <w:highlight w:val="none"/>
          <w:lang w:val="en-US" w:eastAsia="zh-CN"/>
        </w:rPr>
        <w:t>张</w:t>
      </w:r>
      <w:r>
        <w:rPr>
          <w:rFonts w:hint="eastAsia" w:ascii="宋体" w:hAnsi="宋体" w:cs="宋体"/>
          <w:color w:val="auto"/>
          <w:sz w:val="24"/>
          <w:szCs w:val="24"/>
          <w:highlight w:val="none"/>
        </w:rPr>
        <w:t>老师</w:t>
      </w:r>
      <w:r>
        <w:rPr>
          <w:rFonts w:hint="eastAsia" w:ascii="宋体" w:hAnsi="宋体" w:cs="宋体"/>
          <w:color w:val="auto"/>
          <w:sz w:val="24"/>
          <w:szCs w:val="24"/>
          <w:highlight w:val="none"/>
          <w:lang w:val="en-US" w:eastAsia="zh-CN"/>
        </w:rPr>
        <w:t>13098783659</w:t>
      </w:r>
    </w:p>
    <w:p w14:paraId="435442C9">
      <w:pPr>
        <w:pStyle w:val="5"/>
        <w:adjustRightInd w:val="0"/>
        <w:snapToGrid w:val="0"/>
        <w:spacing w:before="0" w:after="0" w:line="4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六</w:t>
      </w:r>
      <w:r>
        <w:rPr>
          <w:rFonts w:hint="eastAsia" w:ascii="宋体" w:hAnsi="宋体" w:eastAsia="宋体" w:cs="宋体"/>
          <w:color w:val="auto"/>
          <w:sz w:val="24"/>
          <w:szCs w:val="24"/>
          <w:highlight w:val="none"/>
        </w:rPr>
        <w:t>、其它有关规定</w:t>
      </w:r>
      <w:bookmarkEnd w:id="14"/>
      <w:bookmarkEnd w:id="15"/>
      <w:bookmarkEnd w:id="16"/>
      <w:bookmarkEnd w:id="17"/>
      <w:bookmarkEnd w:id="18"/>
      <w:bookmarkEnd w:id="19"/>
      <w:bookmarkEnd w:id="20"/>
    </w:p>
    <w:p w14:paraId="1DEB17A8">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（一）单位负责人为同一人或者存在直接控股、管理关系的不同供应商，不得参加同一合同项（包）下的</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活动，否则均为无效。</w:t>
      </w:r>
    </w:p>
    <w:p w14:paraId="7CA9FB99">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（二）为采购项目提供整体设计、规范编制或者项目管理、监理、检测等服务的供应商，不得再参加该采购项目的</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活动。</w:t>
      </w:r>
    </w:p>
    <w:p w14:paraId="4494DEC8">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（三）本项目在响应文件提交截止时间前发布的</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及补遗文件（如果有）一律在行采家·电子竞采（https://www.gec123.com/xe/）上发布，请各供应商无论下载与否，均视同供应商已知晓本项目</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、补遗文件（如果有）的内容。</w:t>
      </w:r>
    </w:p>
    <w:p w14:paraId="71EDF5E3">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（五）超过响应文件截止时间递交的响应文件，恕不接收。</w:t>
      </w:r>
    </w:p>
    <w:p w14:paraId="7C9BC1D1">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费用：无论</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结果如何，供应商参与本项目</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的所有费用均应由供应商自行承担。</w:t>
      </w:r>
    </w:p>
    <w:p w14:paraId="696CD8EF">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（七）本项目不接受联合体参与，否则按无效处理。</w:t>
      </w:r>
    </w:p>
    <w:p w14:paraId="76C15C35">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（八）本项目不接受合同分包，否则按无效处理。</w:t>
      </w:r>
    </w:p>
    <w:p w14:paraId="3FC1C246">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72699DD">
      <w:pPr>
        <w:pStyle w:val="5"/>
        <w:adjustRightInd w:val="0"/>
        <w:snapToGrid w:val="0"/>
        <w:spacing w:before="0" w:after="0" w:line="400" w:lineRule="exact"/>
        <w:ind w:firstLine="482" w:firstLineChars="200"/>
        <w:rPr>
          <w:rFonts w:hint="eastAsia" w:ascii="宋体" w:hAnsi="宋体" w:eastAsia="宋体" w:cs="宋体"/>
          <w:color w:val="auto"/>
          <w:sz w:val="24"/>
          <w:szCs w:val="24"/>
          <w:highlight w:val="none"/>
        </w:rPr>
      </w:pPr>
      <w:bookmarkStart w:id="22" w:name="_Toc4826"/>
      <w:bookmarkStart w:id="23" w:name="_Toc10415"/>
      <w:bookmarkStart w:id="24" w:name="_Toc525047164"/>
      <w:bookmarkStart w:id="25" w:name="_Toc1733"/>
      <w:bookmarkStart w:id="26" w:name="_Toc65660337"/>
      <w:bookmarkStart w:id="27" w:name="_Toc29174"/>
      <w:bookmarkStart w:id="28" w:name="_Toc521053056"/>
      <w:r>
        <w:rPr>
          <w:rFonts w:hint="eastAsia" w:ascii="宋体" w:hAnsi="宋体" w:eastAsia="宋体" w:cs="宋体"/>
          <w:color w:val="auto"/>
          <w:sz w:val="24"/>
          <w:szCs w:val="24"/>
          <w:highlight w:val="none"/>
        </w:rPr>
        <w:t>七、联系方式</w:t>
      </w:r>
      <w:bookmarkEnd w:id="22"/>
      <w:bookmarkEnd w:id="23"/>
      <w:bookmarkEnd w:id="24"/>
      <w:bookmarkEnd w:id="25"/>
      <w:bookmarkEnd w:id="26"/>
      <w:bookmarkEnd w:id="27"/>
      <w:bookmarkEnd w:id="28"/>
    </w:p>
    <w:p w14:paraId="2CF5DD68">
      <w:pPr>
        <w:snapToGrid w:val="0"/>
        <w:spacing w:line="400" w:lineRule="exact"/>
        <w:ind w:firstLine="360" w:firstLineChars="15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（一）采购人：</w:t>
      </w:r>
      <w:r>
        <w:rPr>
          <w:rFonts w:hint="eastAsia" w:ascii="宋体" w:hAnsi="宋体" w:cs="宋体"/>
          <w:color w:val="auto"/>
          <w:sz w:val="24"/>
          <w:szCs w:val="24"/>
          <w:highlight w:val="none"/>
          <w:lang w:eastAsia="zh-CN"/>
        </w:rPr>
        <w:t>重庆市大足区规划和自然资源局</w:t>
      </w:r>
    </w:p>
    <w:p w14:paraId="3CDFEB42">
      <w:pPr>
        <w:snapToGrid w:val="0"/>
        <w:spacing w:line="40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eastAsia="zh-CN"/>
        </w:rPr>
        <w:t>李老师</w:t>
      </w:r>
    </w:p>
    <w:p w14:paraId="03490B13">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lang w:val="en-US" w:eastAsia="zh-CN"/>
        </w:rPr>
        <w:t>023-</w:t>
      </w:r>
      <w:r>
        <w:rPr>
          <w:rFonts w:hint="eastAsia" w:ascii="宋体" w:hAnsi="宋体" w:eastAsia="宋体" w:cs="宋体"/>
          <w:color w:val="auto"/>
          <w:sz w:val="24"/>
          <w:szCs w:val="24"/>
          <w:highlight w:val="none"/>
        </w:rPr>
        <w:t>43730483</w:t>
      </w:r>
    </w:p>
    <w:p w14:paraId="6058FC00">
      <w:pPr>
        <w:snapToGrid w:val="0"/>
        <w:spacing w:line="4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rPr>
        <w:t>重庆市大足区五星大道北段1号</w:t>
      </w:r>
    </w:p>
    <w:p w14:paraId="58C963DC">
      <w:pPr>
        <w:snapToGrid w:val="0"/>
        <w:spacing w:line="400" w:lineRule="exact"/>
        <w:ind w:firstLine="360" w:firstLineChars="15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（二）采购代理机构：</w:t>
      </w:r>
      <w:r>
        <w:rPr>
          <w:rFonts w:hint="eastAsia" w:ascii="宋体" w:hAnsi="宋体" w:cs="宋体"/>
          <w:color w:val="auto"/>
          <w:sz w:val="24"/>
          <w:szCs w:val="24"/>
          <w:highlight w:val="none"/>
          <w:lang w:eastAsia="zh-CN"/>
        </w:rPr>
        <w:t>重庆智胜达工程管理咨询有限公司</w:t>
      </w:r>
    </w:p>
    <w:p w14:paraId="0E1E3093">
      <w:pPr>
        <w:snapToGrid w:val="0"/>
        <w:spacing w:line="400" w:lineRule="exact"/>
        <w:ind w:firstLine="360" w:firstLineChars="15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val="en-US" w:eastAsia="zh-CN"/>
        </w:rPr>
        <w:t>于</w:t>
      </w:r>
      <w:r>
        <w:rPr>
          <w:rFonts w:hint="eastAsia" w:ascii="宋体" w:hAnsi="宋体" w:eastAsia="宋体" w:cs="宋体"/>
          <w:color w:val="auto"/>
          <w:sz w:val="24"/>
          <w:szCs w:val="24"/>
          <w:highlight w:val="none"/>
          <w:lang w:eastAsia="zh-CN"/>
        </w:rPr>
        <w:t>老师</w:t>
      </w:r>
    </w:p>
    <w:p w14:paraId="677B64EC">
      <w:pPr>
        <w:snapToGrid w:val="0"/>
        <w:spacing w:line="400" w:lineRule="exact"/>
        <w:ind w:firstLine="360" w:firstLineChars="15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  话：</w:t>
      </w:r>
      <w:r>
        <w:rPr>
          <w:rFonts w:hint="eastAsia" w:ascii="宋体" w:hAnsi="宋体" w:cs="宋体"/>
          <w:color w:val="auto"/>
          <w:sz w:val="24"/>
          <w:szCs w:val="24"/>
          <w:highlight w:val="none"/>
          <w:lang w:val="en-US" w:eastAsia="zh-CN"/>
        </w:rPr>
        <w:t>18983148312</w:t>
      </w:r>
    </w:p>
    <w:p w14:paraId="6F673F13">
      <w:pPr>
        <w:snapToGrid w:val="0"/>
        <w:spacing w:line="400" w:lineRule="exact"/>
        <w:ind w:firstLine="360" w:firstLineChars="150"/>
        <w:rPr>
          <w:rFonts w:hint="eastAsia" w:ascii="宋体" w:hAnsi="宋体" w:eastAsia="宋体" w:cs="宋体"/>
          <w:color w:val="auto"/>
          <w:sz w:val="24"/>
          <w:szCs w:val="24"/>
          <w:highlight w:val="none"/>
        </w:rPr>
        <w:sectPr>
          <w:headerReference r:id="rId5" w:type="default"/>
          <w:pgSz w:w="11907" w:h="16840"/>
          <w:pgMar w:top="1134" w:right="1418" w:bottom="1134" w:left="1418" w:header="964" w:footer="992" w:gutter="0"/>
          <w:pgBorders>
            <w:top w:val="none" w:sz="0" w:space="0"/>
            <w:left w:val="none" w:sz="0" w:space="0"/>
            <w:bottom w:val="none" w:sz="0" w:space="0"/>
            <w:right w:val="none" w:sz="0" w:space="0"/>
          </w:pgBorders>
          <w:pgNumType w:fmt="numberInDash"/>
          <w:cols w:space="720" w:num="1"/>
          <w:docGrid w:linePitch="312" w:charSpace="0"/>
        </w:sect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重庆市大足区宏声北路</w:t>
      </w:r>
      <w:r>
        <w:rPr>
          <w:rFonts w:hint="eastAsia" w:ascii="宋体" w:hAnsi="宋体" w:cs="宋体"/>
          <w:color w:val="auto"/>
          <w:sz w:val="24"/>
          <w:szCs w:val="24"/>
          <w:highlight w:val="none"/>
          <w:lang w:val="en-US" w:eastAsia="zh-CN"/>
        </w:rPr>
        <w:t>18号</w:t>
      </w:r>
    </w:p>
    <w:p w14:paraId="5296B1D5">
      <w:pPr>
        <w:pStyle w:val="5"/>
        <w:spacing w:before="0" w:after="0" w:line="360" w:lineRule="auto"/>
        <w:jc w:val="center"/>
        <w:rPr>
          <w:rFonts w:hint="eastAsia" w:ascii="宋体" w:hAnsi="宋体" w:eastAsia="宋体" w:cs="宋体"/>
          <w:b/>
          <w:bCs/>
          <w:color w:val="auto"/>
          <w:sz w:val="36"/>
          <w:szCs w:val="30"/>
          <w:highlight w:val="none"/>
        </w:rPr>
      </w:pPr>
      <w:bookmarkStart w:id="29" w:name="_Toc23299"/>
      <w:r>
        <w:rPr>
          <w:rFonts w:hint="eastAsia" w:ascii="宋体" w:hAnsi="宋体" w:eastAsia="宋体" w:cs="宋体"/>
          <w:b/>
          <w:bCs/>
          <w:color w:val="auto"/>
          <w:sz w:val="36"/>
          <w:szCs w:val="30"/>
          <w:highlight w:val="none"/>
        </w:rPr>
        <w:t>第二篇  项目</w:t>
      </w:r>
      <w:r>
        <w:rPr>
          <w:rFonts w:hint="eastAsia" w:ascii="宋体" w:hAnsi="宋体" w:eastAsia="宋体" w:cs="宋体"/>
          <w:b/>
          <w:bCs/>
          <w:color w:val="auto"/>
          <w:sz w:val="36"/>
          <w:szCs w:val="30"/>
          <w:highlight w:val="none"/>
          <w:lang w:eastAsia="zh-CN"/>
        </w:rPr>
        <w:t>服务</w:t>
      </w:r>
      <w:r>
        <w:rPr>
          <w:rFonts w:hint="eastAsia" w:ascii="宋体" w:hAnsi="宋体" w:eastAsia="宋体" w:cs="宋体"/>
          <w:b/>
          <w:bCs/>
          <w:color w:val="auto"/>
          <w:sz w:val="36"/>
          <w:szCs w:val="30"/>
          <w:highlight w:val="none"/>
        </w:rPr>
        <w:t>需求</w:t>
      </w:r>
      <w:bookmarkEnd w:id="29"/>
    </w:p>
    <w:p w14:paraId="03F39455">
      <w:pPr>
        <w:spacing w:line="360" w:lineRule="auto"/>
        <w:rPr>
          <w:rFonts w:hint="eastAsia"/>
          <w:color w:val="auto"/>
        </w:rPr>
      </w:pPr>
      <w:r>
        <w:rPr>
          <w:rFonts w:hint="eastAsia" w:ascii="宋体" w:hAnsi="宋体" w:cs="宋体"/>
          <w:b/>
          <w:bCs/>
          <w:color w:val="auto"/>
          <w:sz w:val="24"/>
          <w:szCs w:val="24"/>
        </w:rPr>
        <w:t>注：本篇服务需求均为符合性审查中的实质性要求，响应文件若不满足按无效处理。</w:t>
      </w:r>
    </w:p>
    <w:p w14:paraId="64A7E6F2">
      <w:pPr>
        <w:pStyle w:val="5"/>
        <w:adjustRightInd w:val="0"/>
        <w:snapToGrid w:val="0"/>
        <w:spacing w:before="0" w:after="0" w:line="400" w:lineRule="exact"/>
        <w:ind w:firstLine="482" w:firstLineChars="200"/>
        <w:rPr>
          <w:rFonts w:hint="eastAsia" w:ascii="宋体" w:hAnsi="宋体" w:eastAsia="宋体" w:cs="宋体"/>
          <w:color w:val="auto"/>
          <w:sz w:val="24"/>
          <w:highlight w:val="none"/>
        </w:rPr>
      </w:pPr>
      <w:bookmarkStart w:id="30" w:name="_Toc18345"/>
      <w:r>
        <w:rPr>
          <w:rFonts w:hint="eastAsia" w:ascii="宋体" w:hAnsi="宋体" w:eastAsia="宋体" w:cs="宋体"/>
          <w:color w:val="auto"/>
          <w:sz w:val="24"/>
          <w:highlight w:val="none"/>
        </w:rPr>
        <w:t>一、项目基本概况</w:t>
      </w:r>
      <w:bookmarkEnd w:id="30"/>
    </w:p>
    <w:tbl>
      <w:tblPr>
        <w:tblStyle w:val="25"/>
        <w:tblW w:w="9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2"/>
        <w:gridCol w:w="1384"/>
        <w:gridCol w:w="1514"/>
        <w:gridCol w:w="1398"/>
        <w:gridCol w:w="2579"/>
      </w:tblGrid>
      <w:tr w14:paraId="4AC76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62" w:type="dxa"/>
            <w:tcBorders>
              <w:top w:val="single" w:color="auto" w:sz="4" w:space="0"/>
              <w:left w:val="single" w:color="auto" w:sz="4" w:space="0"/>
              <w:bottom w:val="single" w:color="auto" w:sz="4" w:space="0"/>
              <w:right w:val="single" w:color="auto" w:sz="4" w:space="0"/>
            </w:tcBorders>
            <w:noWrap w:val="0"/>
            <w:vAlign w:val="center"/>
          </w:tcPr>
          <w:p w14:paraId="45BCCDD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lang w:val="en-US" w:eastAsia="zh-CN" w:bidi="ar-SA"/>
              </w:rPr>
            </w:pPr>
            <w:bookmarkStart w:id="31" w:name="_Toc513627036"/>
            <w:r>
              <w:rPr>
                <w:rFonts w:hint="eastAsia" w:ascii="宋体" w:hAnsi="宋体" w:eastAsia="宋体" w:cs="宋体"/>
                <w:b/>
                <w:bCs/>
                <w:color w:val="auto"/>
                <w:kern w:val="0"/>
                <w:sz w:val="24"/>
                <w:szCs w:val="24"/>
                <w:lang w:val="en-US" w:eastAsia="zh-CN" w:bidi="ar-SA"/>
              </w:rPr>
              <w:t>项目名称</w:t>
            </w:r>
          </w:p>
        </w:tc>
        <w:tc>
          <w:tcPr>
            <w:tcW w:w="1384" w:type="dxa"/>
            <w:tcBorders>
              <w:top w:val="single" w:color="auto" w:sz="4" w:space="0"/>
              <w:left w:val="nil"/>
              <w:bottom w:val="single" w:color="auto" w:sz="4" w:space="0"/>
              <w:right w:val="single" w:color="auto" w:sz="4" w:space="0"/>
            </w:tcBorders>
            <w:noWrap w:val="0"/>
            <w:vAlign w:val="center"/>
          </w:tcPr>
          <w:p w14:paraId="531479CF">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color w:val="auto"/>
                <w:kern w:val="0"/>
                <w:sz w:val="24"/>
                <w:szCs w:val="24"/>
                <w:lang w:val="en-US" w:eastAsia="zh-CN" w:bidi="ar-SA"/>
              </w:rPr>
            </w:pPr>
            <w:r>
              <w:rPr>
                <w:rFonts w:hint="eastAsia" w:ascii="宋体" w:hAnsi="宋体" w:cs="宋体"/>
                <w:b/>
                <w:bCs/>
                <w:color w:val="auto"/>
                <w:kern w:val="0"/>
                <w:sz w:val="24"/>
                <w:szCs w:val="24"/>
                <w:lang w:val="en-US" w:eastAsia="zh-CN" w:bidi="ar-SA"/>
              </w:rPr>
              <w:t>服务内容</w:t>
            </w:r>
          </w:p>
        </w:tc>
        <w:tc>
          <w:tcPr>
            <w:tcW w:w="1514" w:type="dxa"/>
            <w:tcBorders>
              <w:top w:val="single" w:color="auto" w:sz="4" w:space="0"/>
              <w:left w:val="single" w:color="auto" w:sz="4" w:space="0"/>
              <w:bottom w:val="single" w:color="auto" w:sz="4" w:space="0"/>
              <w:right w:val="single" w:color="auto" w:sz="4" w:space="0"/>
            </w:tcBorders>
            <w:noWrap w:val="0"/>
            <w:vAlign w:val="center"/>
          </w:tcPr>
          <w:p w14:paraId="001D10C1">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cs="宋体"/>
                <w:b/>
                <w:bCs/>
                <w:color w:val="auto"/>
                <w:kern w:val="0"/>
                <w:sz w:val="24"/>
                <w:szCs w:val="24"/>
                <w:lang w:val="en-US" w:eastAsia="zh-CN" w:bidi="ar-SA"/>
              </w:rPr>
            </w:pPr>
            <w:r>
              <w:rPr>
                <w:rFonts w:hint="eastAsia" w:ascii="宋体" w:hAnsi="宋体" w:cs="宋体"/>
                <w:b/>
                <w:bCs/>
                <w:color w:val="auto"/>
                <w:kern w:val="0"/>
                <w:sz w:val="24"/>
                <w:szCs w:val="24"/>
                <w:lang w:val="en-US" w:eastAsia="zh-CN" w:bidi="ar-SA"/>
              </w:rPr>
              <w:t>最高限价</w:t>
            </w:r>
          </w:p>
        </w:tc>
        <w:tc>
          <w:tcPr>
            <w:tcW w:w="1398" w:type="dxa"/>
            <w:tcBorders>
              <w:top w:val="single" w:color="auto" w:sz="4" w:space="0"/>
              <w:left w:val="single" w:color="auto" w:sz="4" w:space="0"/>
              <w:bottom w:val="single" w:color="auto" w:sz="4" w:space="0"/>
              <w:right w:val="single" w:color="auto" w:sz="4" w:space="0"/>
            </w:tcBorders>
            <w:noWrap w:val="0"/>
            <w:vAlign w:val="center"/>
          </w:tcPr>
          <w:p w14:paraId="6056416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b/>
                <w:bCs/>
                <w:color w:val="auto"/>
                <w:kern w:val="0"/>
                <w:sz w:val="24"/>
                <w:szCs w:val="24"/>
                <w:lang w:val="en-US" w:eastAsia="zh-CN" w:bidi="ar-SA"/>
              </w:rPr>
            </w:pPr>
            <w:r>
              <w:rPr>
                <w:rFonts w:hint="eastAsia" w:ascii="宋体" w:hAnsi="宋体" w:cs="宋体"/>
                <w:b/>
                <w:bCs/>
                <w:color w:val="auto"/>
                <w:kern w:val="0"/>
                <w:sz w:val="24"/>
                <w:szCs w:val="24"/>
                <w:lang w:val="en-US" w:eastAsia="zh-CN" w:bidi="ar-SA"/>
              </w:rPr>
              <w:t>数量/单位</w:t>
            </w:r>
          </w:p>
        </w:tc>
        <w:tc>
          <w:tcPr>
            <w:tcW w:w="2579" w:type="dxa"/>
            <w:tcBorders>
              <w:top w:val="single" w:color="auto" w:sz="4" w:space="0"/>
              <w:left w:val="nil"/>
              <w:bottom w:val="single" w:color="auto" w:sz="4" w:space="0"/>
              <w:right w:val="single" w:color="auto" w:sz="4" w:space="0"/>
            </w:tcBorders>
            <w:noWrap w:val="0"/>
            <w:vAlign w:val="center"/>
          </w:tcPr>
          <w:p w14:paraId="2593A09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lang w:val="en-US" w:eastAsia="zh-CN" w:bidi="ar-SA"/>
              </w:rPr>
              <w:t>备注</w:t>
            </w:r>
          </w:p>
        </w:tc>
      </w:tr>
      <w:tr w14:paraId="2F4AA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2262" w:type="dxa"/>
            <w:vMerge w:val="restart"/>
            <w:tcBorders>
              <w:top w:val="single" w:color="auto" w:sz="4" w:space="0"/>
              <w:left w:val="single" w:color="auto" w:sz="4" w:space="0"/>
              <w:right w:val="single" w:color="auto" w:sz="4" w:space="0"/>
            </w:tcBorders>
            <w:noWrap w:val="0"/>
            <w:vAlign w:val="center"/>
          </w:tcPr>
          <w:p w14:paraId="5FBE81F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大足区2025年度自然资源常规监测技术服务</w:t>
            </w:r>
          </w:p>
        </w:tc>
        <w:tc>
          <w:tcPr>
            <w:tcW w:w="1384" w:type="dxa"/>
            <w:tcBorders>
              <w:top w:val="single" w:color="auto" w:sz="4" w:space="0"/>
              <w:left w:val="nil"/>
              <w:bottom w:val="single" w:color="auto" w:sz="4" w:space="0"/>
              <w:right w:val="single" w:color="auto" w:sz="4" w:space="0"/>
            </w:tcBorders>
            <w:noWrap w:val="0"/>
            <w:vAlign w:val="center"/>
          </w:tcPr>
          <w:p w14:paraId="4492EF2E">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highlight w:val="none"/>
              </w:rPr>
              <w:t>内业核实</w:t>
            </w:r>
          </w:p>
        </w:tc>
        <w:tc>
          <w:tcPr>
            <w:tcW w:w="1514" w:type="dxa"/>
            <w:tcBorders>
              <w:top w:val="single" w:color="auto" w:sz="4" w:space="0"/>
              <w:left w:val="single" w:color="auto" w:sz="4" w:space="0"/>
              <w:bottom w:val="single" w:color="auto" w:sz="4" w:space="0"/>
              <w:right w:val="single" w:color="auto" w:sz="4" w:space="0"/>
            </w:tcBorders>
            <w:noWrap w:val="0"/>
            <w:vAlign w:val="center"/>
          </w:tcPr>
          <w:p w14:paraId="09D96679">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cs="宋体"/>
                <w:color w:val="auto"/>
                <w:sz w:val="24"/>
                <w:szCs w:val="24"/>
                <w:lang w:val="en-US" w:eastAsia="zh-CN" w:bidi="ar-SA"/>
              </w:rPr>
            </w:pPr>
            <w:r>
              <w:rPr>
                <w:rFonts w:hint="eastAsia" w:ascii="宋体" w:hAnsi="宋体" w:cs="宋体"/>
                <w:color w:val="auto"/>
                <w:sz w:val="24"/>
                <w:szCs w:val="24"/>
                <w:lang w:val="en-US" w:eastAsia="zh-CN" w:bidi="ar-SA"/>
              </w:rPr>
              <w:t>7万元</w:t>
            </w:r>
          </w:p>
        </w:tc>
        <w:tc>
          <w:tcPr>
            <w:tcW w:w="1398" w:type="dxa"/>
            <w:tcBorders>
              <w:top w:val="single" w:color="auto" w:sz="4" w:space="0"/>
              <w:left w:val="single" w:color="auto" w:sz="4" w:space="0"/>
              <w:bottom w:val="single" w:color="auto" w:sz="4" w:space="0"/>
              <w:right w:val="single" w:color="auto" w:sz="4" w:space="0"/>
            </w:tcBorders>
            <w:noWrap w:val="0"/>
            <w:vAlign w:val="center"/>
          </w:tcPr>
          <w:p w14:paraId="25AFAA5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color w:val="auto"/>
                <w:sz w:val="24"/>
                <w:szCs w:val="24"/>
                <w:lang w:val="en-US" w:eastAsia="zh-CN" w:bidi="ar-SA"/>
              </w:rPr>
            </w:pPr>
            <w:r>
              <w:rPr>
                <w:rFonts w:hint="eastAsia" w:ascii="宋体" w:hAnsi="宋体" w:cs="宋体"/>
                <w:color w:val="auto"/>
                <w:sz w:val="24"/>
                <w:szCs w:val="24"/>
                <w:lang w:val="en-US" w:eastAsia="zh-CN" w:bidi="ar-SA"/>
              </w:rPr>
              <w:t>1项</w:t>
            </w:r>
          </w:p>
        </w:tc>
        <w:tc>
          <w:tcPr>
            <w:tcW w:w="2579" w:type="dxa"/>
            <w:tcBorders>
              <w:top w:val="single" w:color="auto" w:sz="4" w:space="0"/>
              <w:left w:val="nil"/>
              <w:bottom w:val="single" w:color="auto" w:sz="4" w:space="0"/>
              <w:right w:val="single" w:color="auto" w:sz="4" w:space="0"/>
            </w:tcBorders>
            <w:noWrap w:val="0"/>
            <w:vAlign w:val="center"/>
          </w:tcPr>
          <w:p w14:paraId="09CEBF93">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highlight w:val="none"/>
              </w:rPr>
              <w:t>内业核实</w:t>
            </w:r>
            <w:r>
              <w:rPr>
                <w:rFonts w:hint="eastAsia" w:ascii="宋体" w:hAnsi="宋体" w:eastAsia="宋体" w:cs="宋体"/>
                <w:color w:val="auto"/>
                <w:sz w:val="24"/>
                <w:szCs w:val="24"/>
                <w:highlight w:val="none"/>
                <w:lang w:val="en-US" w:eastAsia="zh-CN"/>
              </w:rPr>
              <w:t>为包干价</w:t>
            </w:r>
            <w:r>
              <w:rPr>
                <w:rFonts w:hint="eastAsia" w:ascii="宋体" w:hAnsi="宋体" w:cs="宋体"/>
                <w:color w:val="auto"/>
                <w:sz w:val="24"/>
                <w:szCs w:val="24"/>
                <w:highlight w:val="none"/>
                <w:lang w:val="en-US" w:eastAsia="zh-CN"/>
              </w:rPr>
              <w:t>。</w:t>
            </w:r>
          </w:p>
        </w:tc>
      </w:tr>
      <w:tr w14:paraId="1FE80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2262" w:type="dxa"/>
            <w:vMerge w:val="continue"/>
            <w:tcBorders>
              <w:left w:val="single" w:color="auto" w:sz="4" w:space="0"/>
              <w:right w:val="single" w:color="auto" w:sz="4" w:space="0"/>
            </w:tcBorders>
            <w:noWrap w:val="0"/>
            <w:vAlign w:val="center"/>
          </w:tcPr>
          <w:p w14:paraId="2DC60ED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color w:val="auto"/>
                <w:sz w:val="24"/>
                <w:szCs w:val="24"/>
                <w:lang w:val="en-US" w:eastAsia="zh-CN"/>
              </w:rPr>
            </w:pPr>
          </w:p>
        </w:tc>
        <w:tc>
          <w:tcPr>
            <w:tcW w:w="1384" w:type="dxa"/>
            <w:tcBorders>
              <w:top w:val="single" w:color="auto" w:sz="4" w:space="0"/>
              <w:left w:val="nil"/>
              <w:bottom w:val="single" w:color="auto" w:sz="4" w:space="0"/>
              <w:right w:val="single" w:color="auto" w:sz="4" w:space="0"/>
            </w:tcBorders>
            <w:noWrap w:val="0"/>
            <w:vAlign w:val="center"/>
          </w:tcPr>
          <w:p w14:paraId="3B969517">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highlight w:val="none"/>
                <w:lang w:val="en-US" w:eastAsia="zh-CN"/>
              </w:rPr>
              <w:t>外</w:t>
            </w:r>
            <w:r>
              <w:rPr>
                <w:rFonts w:hint="eastAsia" w:ascii="宋体" w:hAnsi="宋体" w:eastAsia="宋体" w:cs="宋体"/>
                <w:color w:val="auto"/>
                <w:sz w:val="24"/>
                <w:szCs w:val="24"/>
                <w:highlight w:val="none"/>
              </w:rPr>
              <w:t>业核实</w:t>
            </w:r>
          </w:p>
        </w:tc>
        <w:tc>
          <w:tcPr>
            <w:tcW w:w="1514" w:type="dxa"/>
            <w:tcBorders>
              <w:top w:val="single" w:color="auto" w:sz="4" w:space="0"/>
              <w:left w:val="single" w:color="auto" w:sz="4" w:space="0"/>
              <w:bottom w:val="single" w:color="auto" w:sz="4" w:space="0"/>
              <w:right w:val="single" w:color="auto" w:sz="4" w:space="0"/>
            </w:tcBorders>
            <w:noWrap w:val="0"/>
            <w:vAlign w:val="center"/>
          </w:tcPr>
          <w:p w14:paraId="618B6C44">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cs="宋体"/>
                <w:color w:val="auto"/>
                <w:sz w:val="24"/>
                <w:szCs w:val="24"/>
                <w:lang w:val="en-US" w:eastAsia="zh-CN" w:bidi="ar-SA"/>
              </w:rPr>
            </w:pPr>
            <w:r>
              <w:rPr>
                <w:rFonts w:hint="eastAsia" w:ascii="宋体" w:hAnsi="宋体" w:eastAsia="宋体" w:cs="宋体"/>
                <w:color w:val="auto"/>
                <w:kern w:val="2"/>
                <w:sz w:val="24"/>
                <w:szCs w:val="24"/>
                <w:lang w:val="en-US" w:eastAsia="zh-CN" w:bidi="ar-SA"/>
              </w:rPr>
              <w:t>90元/图斑</w:t>
            </w:r>
          </w:p>
        </w:tc>
        <w:tc>
          <w:tcPr>
            <w:tcW w:w="1398" w:type="dxa"/>
            <w:tcBorders>
              <w:top w:val="single" w:color="auto" w:sz="4" w:space="0"/>
              <w:left w:val="single" w:color="auto" w:sz="4" w:space="0"/>
              <w:bottom w:val="single" w:color="auto" w:sz="4" w:space="0"/>
              <w:right w:val="single" w:color="auto" w:sz="4" w:space="0"/>
            </w:tcBorders>
            <w:noWrap w:val="0"/>
            <w:vAlign w:val="center"/>
          </w:tcPr>
          <w:p w14:paraId="3ADFADB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cs="宋体"/>
                <w:color w:val="auto"/>
                <w:sz w:val="24"/>
                <w:szCs w:val="24"/>
                <w:lang w:val="en-US" w:eastAsia="zh-CN" w:bidi="ar-SA"/>
              </w:rPr>
            </w:pPr>
            <w:r>
              <w:rPr>
                <w:rFonts w:hint="eastAsia" w:ascii="宋体" w:hAnsi="宋体" w:cs="宋体"/>
                <w:color w:val="auto"/>
                <w:sz w:val="24"/>
                <w:szCs w:val="24"/>
                <w:lang w:val="en-US" w:eastAsia="zh-CN" w:bidi="ar-SA"/>
              </w:rPr>
              <w:t>1项</w:t>
            </w:r>
          </w:p>
        </w:tc>
        <w:tc>
          <w:tcPr>
            <w:tcW w:w="2579" w:type="dxa"/>
            <w:tcBorders>
              <w:top w:val="single" w:color="auto" w:sz="4" w:space="0"/>
              <w:left w:val="nil"/>
              <w:bottom w:val="single" w:color="auto" w:sz="4" w:space="0"/>
              <w:right w:val="single" w:color="auto" w:sz="4" w:space="0"/>
            </w:tcBorders>
            <w:noWrap w:val="0"/>
            <w:vAlign w:val="top"/>
          </w:tcPr>
          <w:p w14:paraId="274F4FB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因市局下发图斑个数不确定，本项根据供应商所报单价</w:t>
            </w:r>
            <w:r>
              <w:rPr>
                <w:rFonts w:hint="eastAsia" w:ascii="宋体" w:hAnsi="宋体" w:cs="宋体"/>
                <w:color w:val="auto"/>
                <w:sz w:val="24"/>
                <w:szCs w:val="24"/>
                <w:highlight w:val="none"/>
                <w:lang w:val="en-US" w:eastAsia="zh-CN"/>
              </w:rPr>
              <w:t>为基准据实结算。</w:t>
            </w:r>
          </w:p>
        </w:tc>
      </w:tr>
      <w:tr w14:paraId="7825A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9137" w:type="dxa"/>
            <w:gridSpan w:val="5"/>
            <w:tcBorders>
              <w:left w:val="single" w:color="auto" w:sz="4" w:space="0"/>
              <w:bottom w:val="single" w:color="auto" w:sz="4" w:space="0"/>
              <w:right w:val="single" w:color="auto" w:sz="4" w:space="0"/>
            </w:tcBorders>
            <w:noWrap w:val="0"/>
            <w:vAlign w:val="top"/>
          </w:tcPr>
          <w:p w14:paraId="782CC29D">
            <w:pPr>
              <w:keepNext w:val="0"/>
              <w:keepLines w:val="0"/>
              <w:pageBreakBefore w:val="0"/>
              <w:kinsoku/>
              <w:wordWrap/>
              <w:overflowPunct/>
              <w:topLinePunct w:val="0"/>
              <w:autoSpaceDE/>
              <w:autoSpaceDN/>
              <w:bidi w:val="0"/>
              <w:adjustRightInd/>
              <w:snapToGrid/>
              <w:spacing w:line="400" w:lineRule="exact"/>
              <w:jc w:val="both"/>
              <w:textAlignment w:val="auto"/>
              <w:rPr>
                <w:rFonts w:hint="default" w:ascii="宋体" w:hAnsi="宋体" w:eastAsia="宋体" w:cs="宋体"/>
                <w:color w:val="auto"/>
                <w:sz w:val="24"/>
                <w:szCs w:val="24"/>
                <w:lang w:val="en-US" w:eastAsia="zh-CN" w:bidi="ar-SA"/>
              </w:rPr>
            </w:pPr>
            <w:r>
              <w:rPr>
                <w:rFonts w:hint="eastAsia" w:ascii="宋体" w:hAnsi="宋体" w:cs="宋体"/>
                <w:color w:val="auto"/>
                <w:sz w:val="24"/>
                <w:szCs w:val="24"/>
                <w:lang w:val="en-US" w:eastAsia="zh-CN" w:bidi="ar-SA"/>
              </w:rPr>
              <w:t>注：本项目最高预算金额为18万元，若结算总金额未超过18万元，按项目实际金额进行结算；若结算总金额超过18万元，按18万元进行结算。</w:t>
            </w:r>
          </w:p>
        </w:tc>
      </w:tr>
      <w:bookmarkEnd w:id="31"/>
    </w:tbl>
    <w:p w14:paraId="412A05B3">
      <w:pPr>
        <w:pStyle w:val="6"/>
        <w:numPr>
          <w:ilvl w:val="0"/>
          <w:numId w:val="0"/>
        </w:numPr>
        <w:spacing w:before="0" w:after="0" w:line="400" w:lineRule="exact"/>
        <w:ind w:leftChars="200"/>
        <w:rPr>
          <w:rFonts w:hint="eastAsia" w:ascii="宋体" w:hAnsi="宋体" w:eastAsia="宋体" w:cs="宋体"/>
          <w:b/>
          <w:color w:val="auto"/>
          <w:kern w:val="2"/>
          <w:sz w:val="24"/>
          <w:lang w:val="en-US" w:eastAsia="zh-CN" w:bidi="ar-SA"/>
        </w:rPr>
      </w:pPr>
      <w:r>
        <w:rPr>
          <w:rFonts w:hint="eastAsia" w:ascii="宋体" w:hAnsi="宋体" w:eastAsia="宋体" w:cs="宋体"/>
          <w:color w:val="auto"/>
          <w:sz w:val="24"/>
          <w:szCs w:val="24"/>
          <w:highlight w:val="none"/>
          <w:lang w:eastAsia="zh-CN"/>
        </w:rPr>
        <w:t>二、</w:t>
      </w:r>
      <w:r>
        <w:rPr>
          <w:rFonts w:hint="eastAsia" w:ascii="宋体" w:hAnsi="宋体" w:eastAsia="宋体" w:cs="宋体"/>
          <w:b/>
          <w:color w:val="auto"/>
          <w:kern w:val="2"/>
          <w:sz w:val="24"/>
          <w:lang w:val="en-US" w:eastAsia="zh-CN" w:bidi="ar-SA"/>
        </w:rPr>
        <w:t>项目基本情况</w:t>
      </w:r>
    </w:p>
    <w:p w14:paraId="1434E415">
      <w:pPr>
        <w:pStyle w:val="5"/>
        <w:pageBreakBefore w:val="0"/>
        <w:widowControl w:val="0"/>
        <w:kinsoku/>
        <w:wordWrap/>
        <w:overflowPunct/>
        <w:topLinePunct w:val="0"/>
        <w:bidi w:val="0"/>
        <w:adjustRightInd w:val="0"/>
        <w:snapToGrid w:val="0"/>
        <w:spacing w:before="0" w:after="0" w:line="400" w:lineRule="exact"/>
        <w:ind w:left="0" w:leftChars="0" w:firstLine="480" w:firstLineChars="200"/>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（一）</w:t>
      </w:r>
      <w:r>
        <w:rPr>
          <w:rFonts w:hint="eastAsia" w:ascii="宋体" w:hAnsi="宋体" w:eastAsia="宋体" w:cs="宋体"/>
          <w:b w:val="0"/>
          <w:bCs/>
          <w:color w:val="auto"/>
          <w:sz w:val="24"/>
          <w:szCs w:val="24"/>
          <w:highlight w:val="none"/>
          <w:lang w:eastAsia="zh-CN"/>
        </w:rPr>
        <w:t>根据《重庆市规划和自然资源局关于印发&lt;重庆市自然资源常规监测工作方案&gt; 的通知》（渝规资发〔2021〕11号）文件要求，开展大足区2025年常规监测（含耕地监测）工作。主要按照“实时监测、季度报告、年度更新”的原则开展，是对自然资源动态变化进行实时监测，提取并识别耕地、城镇工矿用地、交通运输用地、水利设施用地、农民建房、设施农用地、临时用地、农村道路、矿产开采等变化图斑，在原有年度国土变更调查、半年监测基础上，进一步丰富监测内容，拓展监测频次，扩大监测范围，以动态掌握自然资源变化为根本任务，为管理决策提供全面基础支撑。</w:t>
      </w:r>
    </w:p>
    <w:p w14:paraId="2ADC6B46">
      <w:pPr>
        <w:pStyle w:val="5"/>
        <w:pageBreakBefore w:val="0"/>
        <w:widowControl w:val="0"/>
        <w:kinsoku/>
        <w:wordWrap/>
        <w:overflowPunct/>
        <w:topLinePunct w:val="0"/>
        <w:bidi w:val="0"/>
        <w:adjustRightInd w:val="0"/>
        <w:snapToGrid w:val="0"/>
        <w:spacing w:before="0" w:after="0" w:line="400" w:lineRule="exact"/>
        <w:ind w:left="0" w:leftChars="0"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（二）今年将对耕地“非农化”“非粮化”实行精准监测，更好服务执法督察、耕地保护以及生态修复等工作，发现问题及时推送相关部门处置，为实现“早发现、早制止、严查处”监管目标奠定工作基础。</w:t>
      </w:r>
    </w:p>
    <w:p w14:paraId="502B3722">
      <w:pPr>
        <w:pStyle w:val="5"/>
        <w:pageBreakBefore w:val="0"/>
        <w:widowControl w:val="0"/>
        <w:kinsoku/>
        <w:wordWrap/>
        <w:overflowPunct/>
        <w:topLinePunct w:val="0"/>
        <w:bidi w:val="0"/>
        <w:adjustRightInd w:val="0"/>
        <w:snapToGrid w:val="0"/>
        <w:spacing w:before="0" w:after="0" w:line="400" w:lineRule="exact"/>
        <w:ind w:left="0" w:leftChars="0"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三、服务及质量要求</w:t>
      </w:r>
    </w:p>
    <w:p w14:paraId="7615EE4F">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）主要工作内容和工作流程</w:t>
      </w:r>
    </w:p>
    <w:p w14:paraId="7427BA41">
      <w:pPr>
        <w:pStyle w:val="5"/>
        <w:pageBreakBefore w:val="0"/>
        <w:widowControl w:val="0"/>
        <w:kinsoku/>
        <w:wordWrap/>
        <w:overflowPunct/>
        <w:topLinePunct w:val="0"/>
        <w:bidi w:val="0"/>
        <w:adjustRightInd w:val="0"/>
        <w:snapToGrid w:val="0"/>
        <w:spacing w:before="0" w:after="0" w:line="400" w:lineRule="exact"/>
        <w:ind w:left="0" w:leftChars="0" w:firstLine="480" w:firstLineChars="200"/>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val="en-US" w:eastAsia="zh-CN"/>
        </w:rPr>
        <w:t>1.服务</w:t>
      </w:r>
      <w:r>
        <w:rPr>
          <w:rFonts w:hint="eastAsia" w:ascii="宋体" w:hAnsi="宋体" w:eastAsia="宋体" w:cs="宋体"/>
          <w:b w:val="0"/>
          <w:bCs/>
          <w:color w:val="auto"/>
          <w:sz w:val="24"/>
          <w:szCs w:val="24"/>
          <w:highlight w:val="none"/>
          <w:lang w:eastAsia="zh-CN"/>
        </w:rPr>
        <w:t>工作主要内容：一是根据市级下发“季度监测”图斑，开展外业举证核实工作，并上传至“国土调查云”平台常规监测模块；二是收集常规监测图斑涉及的征地、供地、宅基地审批等批准文件；三是结合外业调查和内业资料完善并填报监测图斑信息。</w:t>
      </w:r>
    </w:p>
    <w:p w14:paraId="540E40E6">
      <w:pPr>
        <w:spacing w:line="380" w:lineRule="exact"/>
        <w:ind w:firstLine="480" w:firstLineChars="200"/>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2.图斑分析：将市级下发的变化图斑，通过依次叠加收集的管理数据，筛选已取得合法用地手续或审批手续的变化图斑，及时开展佐证材料的收集和整理；对于未取得相应审批手续的变化图斑，特别重点标注占用耕地、永久基本农田和生态保护红线图斑，叠加最新高清遥感影像，并初步研判图斑实地现状地类变化和建设行为的合法性、合理性，并将重点关注问题在实地调查过程中进行核实和备注。</w:t>
      </w:r>
    </w:p>
    <w:p w14:paraId="18513962">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.区县内业核实</w:t>
      </w:r>
    </w:p>
    <w:p w14:paraId="6E2896E7">
      <w:pPr>
        <w:spacing w:line="38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区县常规监测工作联络员登录“重庆调查云”网页端，地址http://49.4.81.50:9090/landCloudWork/login，运用电脑在网页端对市级下发的疑似变化图斑进行内业核实工作，结合自身掌握的管理审批数据，一是对市级初判合法的变化图斑进行批量确认；二是对于市级初判不合法的图斑通过补充填写用途、批文或情况说明等，明确其合法性；三是对于区县自身掌握情况的疑似违法图斑根据实际情况填报用途、项目名称等情况，对于不明确实际情况的疑似违法图斑推送至区县外业核实人员“重庆调查云”手机APP端进行实地核实，原则上涉及自然保护地核心区的疑似违法用地必须进行外业核实。</w:t>
      </w:r>
    </w:p>
    <w:p w14:paraId="0B64F0FA">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.区县外业核实</w:t>
      </w:r>
    </w:p>
    <w:p w14:paraId="3B51D844">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由区县常规监测外业人员运用“重庆调查云”手机软件至疑似违法图斑点开展实地外业核实，上传实地照片，填写实际用途情况等信息并上报。</w:t>
      </w:r>
    </w:p>
    <w:p w14:paraId="536A14A3">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.数据分析</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供应商承担监测成果的全部数据分析工作。</w:t>
      </w:r>
    </w:p>
    <w:p w14:paraId="613AB71E">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.工作要求</w:t>
      </w:r>
    </w:p>
    <w:p w14:paraId="41AB92E1">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以上内容如与重庆市规划和自然资源局不一致，或有遗漏之处，供应商无条件配合采购人按规定完成调整后和遗漏的工作任务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最终要求及技术规定以市局及区局要求为准</w:t>
      </w:r>
      <w:r>
        <w:rPr>
          <w:rFonts w:hint="eastAsia" w:ascii="宋体" w:hAnsi="宋体" w:eastAsia="宋体" w:cs="宋体"/>
          <w:color w:val="auto"/>
          <w:sz w:val="24"/>
          <w:szCs w:val="24"/>
          <w:highlight w:val="none"/>
        </w:rPr>
        <w:t>。</w:t>
      </w:r>
    </w:p>
    <w:p w14:paraId="66D42DC6">
      <w:pPr>
        <w:spacing w:line="38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严格按照国家和我市规定，实事求是，以“正规、严格”为标尺；明确责任，分工协作，规范推进；加强组织领导、数据共享和成果应用。</w:t>
      </w:r>
    </w:p>
    <w:p w14:paraId="1F74C637">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（三）监测标准</w:t>
      </w:r>
    </w:p>
    <w:p w14:paraId="5BB3A366">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自然资源常规监测上图标准原则上参照第三次国土调查及年度变更调查上图标准进行细化，即实地建设用地60㎡、设施农用地200 ㎡、农用地400 ㎡ (不含设施农用地)、其他地类600㎡。如重点关注地类、重要监测区域确需深入进行精细化监测的，监测标准可视情再进行细化调整。</w:t>
      </w:r>
    </w:p>
    <w:p w14:paraId="580ED4F9">
      <w:pPr>
        <w:spacing w:line="3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（四）服务要求</w:t>
      </w:r>
    </w:p>
    <w:p w14:paraId="20038584">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负责运用“互联网+”外业实地核查技术方法与手段，对市局下发的监测变化图斑通过“国土调查云”平台进行内业比对、现场核实，对发现的待完善手续图斑、疑似违法图斑应及时分类拟定移交科室、执法部门交采购人，并按月（季度）形成工作报告移交相关科。</w:t>
      </w:r>
    </w:p>
    <w:p w14:paraId="1497804C">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四、成果要求</w:t>
      </w:r>
    </w:p>
    <w:p w14:paraId="65BF041A">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（一）文档资料：大足区2025年一、二、三、四季度常规监测报告，大足区2025年一、二、三、四季度常规监测图斑核实情况表等；</w:t>
      </w:r>
    </w:p>
    <w:p w14:paraId="72C0C32B">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（二）数据成果：大足区2025年度常规监测数据库等；</w:t>
      </w:r>
    </w:p>
    <w:p w14:paraId="32F5C9CE">
      <w:pPr>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（三）其他资料：市和区要求的其他有关资料；</w:t>
      </w:r>
    </w:p>
    <w:p w14:paraId="3D5B78AA">
      <w:pPr>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（四）以上数据成果刻录光盘，纸质成果装订成册，一式两份。</w:t>
      </w:r>
    </w:p>
    <w:p w14:paraId="2E47F619">
      <w:pPr>
        <w:spacing w:line="400" w:lineRule="exact"/>
        <w:ind w:firstLine="480" w:firstLineChars="200"/>
        <w:rPr>
          <w:rFonts w:hint="default" w:ascii="宋体" w:hAnsi="宋体" w:eastAsia="宋体" w:cs="宋体"/>
          <w:color w:val="auto"/>
          <w:sz w:val="24"/>
          <w:szCs w:val="24"/>
          <w:highlight w:val="none"/>
          <w:lang w:val="en-US" w:eastAsia="zh-CN"/>
        </w:rPr>
      </w:pPr>
    </w:p>
    <w:p w14:paraId="05526DE1">
      <w:pPr>
        <w:rPr>
          <w:rFonts w:hint="eastAsia"/>
          <w:color w:val="auto"/>
          <w:lang w:val="en-US" w:eastAsia="zh-CN"/>
        </w:rPr>
      </w:pPr>
    </w:p>
    <w:p w14:paraId="59103F56">
      <w:pPr>
        <w:pageBreakBefore w:val="0"/>
        <w:kinsoku/>
        <w:wordWrap/>
        <w:overflowPunct/>
        <w:topLinePunct w:val="0"/>
        <w:bidi w:val="0"/>
        <w:spacing w:line="400" w:lineRule="exact"/>
        <w:ind w:left="0" w:leftChars="0" w:firstLine="723" w:firstLineChars="200"/>
        <w:textAlignment w:val="auto"/>
        <w:rPr>
          <w:rFonts w:hint="eastAsia" w:ascii="宋体" w:hAnsi="宋体" w:eastAsia="宋体" w:cs="宋体"/>
          <w:b/>
          <w:bCs/>
          <w:color w:val="auto"/>
          <w:kern w:val="2"/>
          <w:sz w:val="36"/>
          <w:szCs w:val="30"/>
          <w:highlight w:val="none"/>
          <w:lang w:val="en-US" w:eastAsia="zh-CN" w:bidi="ar-SA"/>
        </w:rPr>
      </w:pPr>
      <w:bookmarkStart w:id="32" w:name="_Toc6175"/>
      <w:r>
        <w:rPr>
          <w:rFonts w:hint="eastAsia" w:ascii="宋体" w:hAnsi="宋体" w:eastAsia="宋体" w:cs="宋体"/>
          <w:b/>
          <w:bCs/>
          <w:color w:val="auto"/>
          <w:kern w:val="2"/>
          <w:sz w:val="36"/>
          <w:szCs w:val="30"/>
          <w:highlight w:val="none"/>
          <w:lang w:val="en-US" w:eastAsia="zh-CN" w:bidi="ar-SA"/>
        </w:rPr>
        <w:br w:type="page"/>
      </w:r>
    </w:p>
    <w:p w14:paraId="35046CF2">
      <w:pPr>
        <w:pStyle w:val="5"/>
        <w:spacing w:before="0" w:after="0" w:line="360" w:lineRule="auto"/>
        <w:ind w:left="0" w:leftChars="0" w:right="0" w:rightChars="0" w:firstLine="0" w:firstLineChars="0"/>
        <w:jc w:val="center"/>
        <w:rPr>
          <w:rFonts w:hint="eastAsia" w:ascii="宋体" w:hAnsi="宋体" w:eastAsia="宋体" w:cs="宋体"/>
          <w:b w:val="0"/>
          <w:color w:val="auto"/>
          <w:sz w:val="36"/>
          <w:szCs w:val="30"/>
          <w:highlight w:val="none"/>
        </w:rPr>
      </w:pPr>
      <w:r>
        <w:rPr>
          <w:rFonts w:hint="eastAsia" w:ascii="宋体" w:hAnsi="宋体" w:eastAsia="宋体" w:cs="宋体"/>
          <w:b/>
          <w:bCs/>
          <w:color w:val="auto"/>
          <w:kern w:val="2"/>
          <w:sz w:val="36"/>
          <w:szCs w:val="30"/>
          <w:highlight w:val="none"/>
          <w:lang w:val="en-US" w:eastAsia="zh-CN" w:bidi="ar-SA"/>
        </w:rPr>
        <w:t xml:space="preserve">第三篇  </w:t>
      </w:r>
      <w:bookmarkEnd w:id="21"/>
      <w:r>
        <w:rPr>
          <w:rFonts w:hint="eastAsia" w:ascii="宋体" w:hAnsi="宋体" w:eastAsia="宋体" w:cs="宋体"/>
          <w:b/>
          <w:bCs/>
          <w:color w:val="auto"/>
          <w:kern w:val="2"/>
          <w:sz w:val="36"/>
          <w:szCs w:val="30"/>
          <w:highlight w:val="none"/>
          <w:lang w:val="en-US" w:eastAsia="zh-CN" w:bidi="ar-SA"/>
        </w:rPr>
        <w:t>项目商务需求</w:t>
      </w:r>
      <w:bookmarkEnd w:id="32"/>
    </w:p>
    <w:p w14:paraId="05341A04">
      <w:pPr>
        <w:spacing w:line="360" w:lineRule="auto"/>
        <w:ind w:firstLine="482" w:firstLineChars="200"/>
        <w:rPr>
          <w:rFonts w:hint="eastAsia" w:ascii="宋体" w:hAnsi="宋体" w:eastAsia="宋体" w:cs="宋体"/>
          <w:color w:val="auto"/>
          <w:sz w:val="24"/>
          <w:highlight w:val="none"/>
        </w:rPr>
      </w:pPr>
      <w:bookmarkStart w:id="33" w:name="_Toc858"/>
      <w:bookmarkStart w:id="34" w:name="_Toc342913389"/>
      <w:r>
        <w:rPr>
          <w:rFonts w:hint="eastAsia" w:ascii="宋体" w:hAnsi="宋体" w:cs="宋体"/>
          <w:b/>
          <w:bCs/>
          <w:color w:val="auto"/>
          <w:sz w:val="24"/>
          <w:szCs w:val="24"/>
        </w:rPr>
        <w:t>注：本篇</w:t>
      </w:r>
      <w:r>
        <w:rPr>
          <w:rFonts w:hint="eastAsia" w:ascii="宋体" w:hAnsi="宋体" w:cs="宋体"/>
          <w:b/>
          <w:bCs/>
          <w:color w:val="auto"/>
          <w:sz w:val="24"/>
          <w:szCs w:val="24"/>
          <w:lang w:eastAsia="zh-CN"/>
        </w:rPr>
        <w:t>商务</w:t>
      </w:r>
      <w:r>
        <w:rPr>
          <w:rFonts w:hint="eastAsia" w:ascii="宋体" w:hAnsi="宋体" w:cs="宋体"/>
          <w:b/>
          <w:bCs/>
          <w:color w:val="auto"/>
          <w:sz w:val="24"/>
          <w:szCs w:val="24"/>
        </w:rPr>
        <w:t>需求均为符合性审查中的实质性要求，响应文件若不满足按无效处理。</w:t>
      </w:r>
    </w:p>
    <w:p w14:paraId="0CCE68FC">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w:t>
      </w:r>
      <w:r>
        <w:rPr>
          <w:rFonts w:hint="eastAsia" w:ascii="宋体" w:hAnsi="宋体" w:eastAsia="宋体" w:cs="宋体"/>
          <w:color w:val="auto"/>
          <w:sz w:val="24"/>
          <w:highlight w:val="none"/>
          <w:lang w:eastAsia="zh-CN"/>
        </w:rPr>
        <w:t>服务</w:t>
      </w:r>
      <w:r>
        <w:rPr>
          <w:rFonts w:hint="eastAsia" w:ascii="宋体" w:hAnsi="宋体" w:eastAsia="宋体" w:cs="宋体"/>
          <w:color w:val="auto"/>
          <w:sz w:val="24"/>
          <w:highlight w:val="none"/>
        </w:rPr>
        <w:t>期</w:t>
      </w:r>
      <w:r>
        <w:rPr>
          <w:rFonts w:hint="eastAsia" w:ascii="宋体" w:hAnsi="宋体" w:eastAsia="宋体" w:cs="宋体"/>
          <w:color w:val="auto"/>
          <w:sz w:val="24"/>
          <w:highlight w:val="none"/>
          <w:lang w:eastAsia="zh-CN"/>
        </w:rPr>
        <w:t>限</w:t>
      </w:r>
      <w:r>
        <w:rPr>
          <w:rFonts w:hint="eastAsia" w:ascii="宋体" w:hAnsi="宋体" w:eastAsia="宋体" w:cs="宋体"/>
          <w:color w:val="auto"/>
          <w:sz w:val="24"/>
          <w:highlight w:val="none"/>
        </w:rPr>
        <w:t>、地点及验收方式</w:t>
      </w:r>
      <w:bookmarkEnd w:id="33"/>
    </w:p>
    <w:p w14:paraId="51F0575D">
      <w:pPr>
        <w:pStyle w:val="5"/>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rPr>
      </w:pPr>
      <w:bookmarkStart w:id="35" w:name="_Toc76462329"/>
      <w:bookmarkStart w:id="36" w:name="_Toc28053"/>
      <w:r>
        <w:rPr>
          <w:rFonts w:hint="eastAsia" w:ascii="宋体" w:hAnsi="宋体" w:eastAsia="宋体" w:cs="宋体"/>
          <w:b w:val="0"/>
          <w:bCs/>
          <w:color w:val="auto"/>
          <w:sz w:val="24"/>
          <w:highlight w:val="none"/>
        </w:rPr>
        <w:t>（一）服务时间：合同签订之日起至2025年12月31日</w:t>
      </w:r>
    </w:p>
    <w:p w14:paraId="43A36C57">
      <w:pPr>
        <w:pStyle w:val="5"/>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（二）服务地点：采购人指定地点</w:t>
      </w:r>
      <w:r>
        <w:rPr>
          <w:rFonts w:hint="eastAsia" w:ascii="宋体" w:hAnsi="宋体" w:eastAsia="宋体" w:cs="宋体"/>
          <w:b w:val="0"/>
          <w:bCs/>
          <w:color w:val="auto"/>
          <w:sz w:val="24"/>
          <w:highlight w:val="none"/>
          <w:lang w:eastAsia="zh-CN"/>
        </w:rPr>
        <w:t>。</w:t>
      </w:r>
      <w:r>
        <w:rPr>
          <w:rFonts w:hint="eastAsia" w:ascii="宋体" w:hAnsi="宋体" w:eastAsia="宋体" w:cs="宋体"/>
          <w:b w:val="0"/>
          <w:bCs/>
          <w:color w:val="auto"/>
          <w:sz w:val="24"/>
          <w:highlight w:val="none"/>
        </w:rPr>
        <w:t xml:space="preserve"> </w:t>
      </w:r>
    </w:p>
    <w:p w14:paraId="624503FF">
      <w:pPr>
        <w:pStyle w:val="5"/>
        <w:pageBreakBefore w:val="0"/>
        <w:widowControl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（三）验收方式</w:t>
      </w:r>
      <w:r>
        <w:rPr>
          <w:rFonts w:hint="eastAsia" w:ascii="宋体" w:hAnsi="宋体" w:eastAsia="宋体" w:cs="宋体"/>
          <w:b w:val="0"/>
          <w:bCs/>
          <w:color w:val="auto"/>
          <w:sz w:val="24"/>
          <w:highlight w:val="none"/>
          <w:lang w:eastAsia="zh-CN"/>
        </w:rPr>
        <w:t>：</w:t>
      </w:r>
      <w:r>
        <w:rPr>
          <w:rFonts w:hint="eastAsia" w:ascii="宋体" w:hAnsi="宋体" w:eastAsia="宋体" w:cs="宋体"/>
          <w:b w:val="0"/>
          <w:bCs/>
          <w:color w:val="auto"/>
          <w:sz w:val="24"/>
          <w:highlight w:val="none"/>
        </w:rPr>
        <w:t>项目实施完成后，采购人自行组织验收。</w:t>
      </w:r>
    </w:p>
    <w:p w14:paraId="00E31471">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二、报价要求</w:t>
      </w:r>
      <w:bookmarkEnd w:id="35"/>
      <w:bookmarkEnd w:id="36"/>
    </w:p>
    <w:p w14:paraId="37B76C0E">
      <w:pPr>
        <w:pageBreakBefore w:val="0"/>
        <w:widowControl w:val="0"/>
        <w:kinsoku/>
        <w:wordWrap/>
        <w:overflowPunct/>
        <w:topLinePunct w:val="0"/>
        <w:autoSpaceDE/>
        <w:autoSpaceDN/>
        <w:bidi w:val="0"/>
        <w:spacing w:line="400" w:lineRule="exact"/>
        <w:ind w:firstLine="480" w:firstLineChars="200"/>
        <w:textAlignment w:val="auto"/>
        <w:rPr>
          <w:rFonts w:hint="default" w:ascii="宋体" w:hAnsi="宋体" w:eastAsia="宋体" w:cs="宋体"/>
          <w:color w:val="auto"/>
          <w:sz w:val="24"/>
          <w:szCs w:val="24"/>
          <w:lang w:val="en-US" w:eastAsia="zh-CN"/>
        </w:rPr>
      </w:pPr>
      <w:bookmarkStart w:id="37" w:name="_Toc76462330"/>
      <w:bookmarkStart w:id="38" w:name="_Toc26438"/>
      <w:bookmarkStart w:id="39" w:name="_Toc344475122"/>
      <w:r>
        <w:rPr>
          <w:rFonts w:hint="eastAsia" w:ascii="宋体" w:hAnsi="宋体" w:cs="宋体"/>
          <w:color w:val="auto"/>
          <w:sz w:val="24"/>
          <w:szCs w:val="24"/>
          <w:lang w:val="en-US" w:eastAsia="zh-CN"/>
        </w:rPr>
        <w:t>1、供应商线上报价按本项目采购最高限价进行填报。结算金额以纸质响应文件中报价函填报的价格为准。</w:t>
      </w:r>
    </w:p>
    <w:p w14:paraId="02E650F9">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rPr>
      </w:pPr>
      <w:r>
        <w:rPr>
          <w:rFonts w:hint="eastAsia" w:ascii="宋体" w:hAnsi="宋体" w:cs="宋体"/>
          <w:color w:val="auto"/>
          <w:sz w:val="24"/>
          <w:szCs w:val="24"/>
          <w:lang w:val="en-US" w:eastAsia="zh-CN"/>
        </w:rPr>
        <w:t>2、</w:t>
      </w:r>
      <w:r>
        <w:rPr>
          <w:rFonts w:hint="eastAsia" w:ascii="宋体" w:hAnsi="宋体" w:cs="宋体"/>
          <w:color w:val="auto"/>
          <w:sz w:val="24"/>
          <w:szCs w:val="24"/>
        </w:rPr>
        <w:t>本次报价须为人民币报价，报价包含完成本项目所有费用，包含但不限于完成本项目所需的技术服务费、人工费、差旅费、交通费、保险费、管理费及提供服务所需的相关设备费用及各种应纳的税费等全部费用。因成交供应商自身原因造成漏报、少报皆由其自行承担责任，采购人不再补偿</w:t>
      </w:r>
      <w:r>
        <w:rPr>
          <w:rFonts w:hint="eastAsia" w:ascii="宋体" w:hAnsi="宋体" w:cs="宋体"/>
          <w:color w:val="auto"/>
          <w:sz w:val="24"/>
        </w:rPr>
        <w:t>。</w:t>
      </w:r>
    </w:p>
    <w:p w14:paraId="59297330">
      <w:pPr>
        <w:pStyle w:val="6"/>
        <w:pageBreakBefore w:val="0"/>
        <w:widowControl w:val="0"/>
        <w:kinsoku/>
        <w:wordWrap/>
        <w:overflowPunct/>
        <w:topLinePunct w:val="0"/>
        <w:autoSpaceDE/>
        <w:autoSpaceDN/>
        <w:bidi w:val="0"/>
        <w:snapToGrid w:val="0"/>
        <w:spacing w:before="0" w:after="0" w:line="400" w:lineRule="exact"/>
        <w:textAlignment w:val="auto"/>
        <w:rPr>
          <w:rFonts w:hint="eastAsia" w:ascii="宋体" w:hAnsi="宋体" w:eastAsia="宋体" w:cs="宋体"/>
          <w:color w:val="auto"/>
          <w:sz w:val="24"/>
          <w:szCs w:val="24"/>
          <w:highlight w:val="none"/>
        </w:rPr>
      </w:pPr>
      <w:bookmarkStart w:id="40" w:name="_Toc27872"/>
      <w:bookmarkStart w:id="41" w:name="_Toc30085"/>
      <w:r>
        <w:rPr>
          <w:rFonts w:hint="eastAsia" w:ascii="宋体" w:hAnsi="宋体" w:eastAsia="宋体" w:cs="宋体"/>
          <w:color w:val="auto"/>
          <w:sz w:val="24"/>
          <w:szCs w:val="24"/>
          <w:highlight w:val="none"/>
        </w:rPr>
        <w:t>三、售后及质量服务</w:t>
      </w:r>
      <w:bookmarkEnd w:id="40"/>
      <w:bookmarkEnd w:id="41"/>
    </w:p>
    <w:p w14:paraId="5AA38315">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w:t>
      </w:r>
      <w:r>
        <w:rPr>
          <w:rFonts w:hint="eastAsia" w:ascii="宋体" w:hAnsi="宋体" w:eastAsia="宋体" w:cs="宋体"/>
          <w:b w:val="0"/>
          <w:color w:val="auto"/>
          <w:kern w:val="2"/>
          <w:sz w:val="24"/>
          <w:szCs w:val="24"/>
          <w:lang w:val="en-US" w:eastAsia="zh-CN" w:bidi="ar-SA"/>
        </w:rPr>
        <w:t>成交供应商应保证在规定的时间内完成本项目服务；在项目实施过程中提供必要的技术服务</w:t>
      </w:r>
      <w:r>
        <w:rPr>
          <w:rFonts w:hint="eastAsia" w:ascii="宋体" w:hAnsi="宋体" w:eastAsia="宋体" w:cs="宋体"/>
          <w:color w:val="auto"/>
          <w:kern w:val="0"/>
          <w:sz w:val="24"/>
          <w:szCs w:val="24"/>
          <w:highlight w:val="none"/>
        </w:rPr>
        <w:t>。</w:t>
      </w:r>
    </w:p>
    <w:p w14:paraId="34F6C54A">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（二）</w:t>
      </w:r>
      <w:r>
        <w:rPr>
          <w:rFonts w:hint="eastAsia" w:ascii="宋体" w:hAnsi="宋体" w:cs="宋体"/>
          <w:color w:val="auto"/>
          <w:sz w:val="24"/>
          <w:szCs w:val="24"/>
          <w:lang w:val="en-US" w:eastAsia="zh-CN"/>
        </w:rPr>
        <w:t>成交供应商</w:t>
      </w:r>
      <w:r>
        <w:rPr>
          <w:rFonts w:hint="eastAsia" w:ascii="宋体" w:hAnsi="宋体" w:cs="宋体"/>
          <w:color w:val="auto"/>
          <w:sz w:val="24"/>
          <w:szCs w:val="24"/>
        </w:rPr>
        <w:t xml:space="preserve">必须将有关资料及工作成果报采购人。 </w:t>
      </w:r>
    </w:p>
    <w:p w14:paraId="466BE682">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（三）</w:t>
      </w:r>
      <w:r>
        <w:rPr>
          <w:rFonts w:hint="eastAsia" w:ascii="宋体" w:hAnsi="宋体" w:cs="宋体"/>
          <w:color w:val="auto"/>
          <w:sz w:val="24"/>
          <w:szCs w:val="24"/>
          <w:lang w:val="en-US" w:eastAsia="zh-CN"/>
        </w:rPr>
        <w:t>成交供应商</w:t>
      </w:r>
      <w:r>
        <w:rPr>
          <w:rFonts w:hint="eastAsia" w:ascii="宋体" w:hAnsi="宋体" w:cs="宋体"/>
          <w:color w:val="auto"/>
          <w:sz w:val="24"/>
          <w:szCs w:val="24"/>
        </w:rPr>
        <w:t>不得将采购人提供的有关资料及工作成果通过任何方式向第三方透露，未经采购人同意，不得向第三方透露，</w:t>
      </w:r>
      <w:r>
        <w:rPr>
          <w:rFonts w:hint="eastAsia" w:ascii="宋体" w:hAnsi="宋体" w:cs="宋体"/>
          <w:color w:val="auto"/>
          <w:sz w:val="24"/>
          <w:szCs w:val="24"/>
          <w:lang w:val="en-US" w:eastAsia="zh-CN"/>
        </w:rPr>
        <w:t>成交供应商</w:t>
      </w:r>
      <w:r>
        <w:rPr>
          <w:rFonts w:hint="eastAsia" w:ascii="宋体" w:hAnsi="宋体" w:cs="宋体"/>
          <w:color w:val="auto"/>
          <w:sz w:val="24"/>
          <w:szCs w:val="24"/>
        </w:rPr>
        <w:t>实施项目的一切程序都应符合国家安全、保密的有关规定和标准。</w:t>
      </w:r>
    </w:p>
    <w:p w14:paraId="2789C305">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（四）通过核查确认后，如遇有特殊情况需要修改和完善的，</w:t>
      </w:r>
      <w:r>
        <w:rPr>
          <w:rFonts w:hint="eastAsia" w:ascii="宋体" w:hAnsi="宋体" w:cs="宋体"/>
          <w:color w:val="auto"/>
          <w:sz w:val="24"/>
          <w:szCs w:val="24"/>
          <w:lang w:val="en-US" w:eastAsia="zh-CN"/>
        </w:rPr>
        <w:t>成交供应商</w:t>
      </w:r>
      <w:r>
        <w:rPr>
          <w:rFonts w:hint="eastAsia" w:ascii="宋体" w:hAnsi="宋体" w:cs="宋体"/>
          <w:color w:val="auto"/>
          <w:sz w:val="24"/>
          <w:szCs w:val="24"/>
        </w:rPr>
        <w:t>应予以支持</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四、付款方式</w:t>
      </w:r>
      <w:bookmarkEnd w:id="37"/>
      <w:bookmarkEnd w:id="38"/>
      <w:bookmarkEnd w:id="39"/>
    </w:p>
    <w:p w14:paraId="6BD604CF">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rPr>
      </w:pPr>
      <w:bookmarkStart w:id="42" w:name="_Toc3640"/>
      <w:r>
        <w:rPr>
          <w:rFonts w:hint="eastAsia" w:ascii="宋体" w:hAnsi="宋体" w:eastAsia="宋体" w:cs="宋体"/>
          <w:color w:val="auto"/>
          <w:sz w:val="24"/>
          <w:szCs w:val="24"/>
        </w:rPr>
        <w:t>由采购人支付该项目合同款项，付款方式如下：</w:t>
      </w:r>
    </w:p>
    <w:p w14:paraId="05BC79A4">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（一）本项目根据实际工作量进行结算；</w:t>
      </w:r>
    </w:p>
    <w:p w14:paraId="17DFDF91">
      <w:pPr>
        <w:pageBreakBefore w:val="0"/>
        <w:widowControl w:val="0"/>
        <w:kinsoku/>
        <w:wordWrap/>
        <w:overflowPunct/>
        <w:topLinePunct w:val="0"/>
        <w:autoSpaceDE/>
        <w:autoSpaceDN/>
        <w:bidi w:val="0"/>
        <w:snapToGrid w:val="0"/>
        <w:spacing w:line="400" w:lineRule="exact"/>
        <w:ind w:firstLine="5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（二）项目报告成果通过采购人验收合格后，成交供应商应须向采购人提供足额正规发票，采购人在收到发票后一次性支付所有合同款项。</w:t>
      </w:r>
    </w:p>
    <w:p w14:paraId="3BF44B28">
      <w:pPr>
        <w:keepNext/>
        <w:keepLines/>
        <w:pageBreakBefore w:val="0"/>
        <w:widowControl w:val="0"/>
        <w:kinsoku/>
        <w:wordWrap/>
        <w:overflowPunct/>
        <w:topLinePunct w:val="0"/>
        <w:autoSpaceDE/>
        <w:autoSpaceDN/>
        <w:bidi w:val="0"/>
        <w:adjustRightInd/>
        <w:spacing w:before="0" w:beforeLines="0" w:beforeAutospacing="0" w:after="0" w:afterLines="0" w:afterAutospacing="0" w:line="400" w:lineRule="exact"/>
        <w:ind w:firstLine="482" w:firstLineChars="200"/>
        <w:jc w:val="both"/>
        <w:textAlignment w:val="auto"/>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cs="宋体"/>
          <w:b/>
          <w:bCs/>
          <w:color w:val="auto"/>
          <w:kern w:val="2"/>
          <w:sz w:val="24"/>
          <w:szCs w:val="24"/>
          <w:highlight w:val="none"/>
          <w:lang w:val="en-US" w:eastAsia="zh-CN" w:bidi="ar-SA"/>
        </w:rPr>
        <w:t>五</w:t>
      </w:r>
      <w:r>
        <w:rPr>
          <w:rFonts w:hint="eastAsia" w:ascii="宋体" w:hAnsi="宋体" w:eastAsia="宋体" w:cs="宋体"/>
          <w:b/>
          <w:bCs/>
          <w:color w:val="auto"/>
          <w:kern w:val="2"/>
          <w:sz w:val="24"/>
          <w:szCs w:val="24"/>
          <w:highlight w:val="none"/>
          <w:lang w:val="en-US" w:eastAsia="zh-CN" w:bidi="ar-SA"/>
        </w:rPr>
        <w:t>、知识产权</w:t>
      </w:r>
      <w:bookmarkEnd w:id="42"/>
    </w:p>
    <w:p w14:paraId="03596922">
      <w:pPr>
        <w:pageBreakBefore w:val="0"/>
        <w:widowControl w:val="0"/>
        <w:kinsoku/>
        <w:wordWrap/>
        <w:overflowPunct/>
        <w:topLinePunct w:val="0"/>
        <w:autoSpaceDE/>
        <w:autoSpaceDN/>
        <w:bidi w:val="0"/>
        <w:adjustRightInd/>
        <w:spacing w:before="0" w:beforeLines="0" w:after="0" w:afterLines="0" w:line="4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43" w:name="_Toc31803"/>
      <w:bookmarkStart w:id="44" w:name="_Toc121310794"/>
      <w:bookmarkStart w:id="45" w:name="_Toc1949"/>
      <w:bookmarkStart w:id="46" w:name="_Toc15159"/>
      <w:bookmarkStart w:id="47" w:name="_Toc15548"/>
      <w:bookmarkStart w:id="48" w:name="_Toc25464"/>
      <w:bookmarkStart w:id="49" w:name="_Toc75793514"/>
      <w:bookmarkStart w:id="50" w:name="_Toc121315153"/>
      <w:bookmarkStart w:id="51" w:name="_Toc267320053"/>
      <w:bookmarkStart w:id="52" w:name="_Toc1026"/>
      <w:bookmarkStart w:id="53" w:name="_Toc4784"/>
      <w:bookmarkStart w:id="54" w:name="_Toc26926"/>
      <w:bookmarkStart w:id="55" w:name="_Toc20895"/>
      <w:bookmarkStart w:id="56" w:name="_Toc7629"/>
      <w:bookmarkStart w:id="57" w:name="_Toc27637"/>
      <w:bookmarkStart w:id="58" w:name="_Toc29615"/>
      <w:bookmarkStart w:id="59" w:name="_Toc3404"/>
      <w:bookmarkStart w:id="60" w:name="_Toc15109"/>
      <w:r>
        <w:rPr>
          <w:rFonts w:hint="eastAsia" w:ascii="宋体" w:hAnsi="宋体" w:eastAsia="宋体" w:cs="宋体"/>
          <w:b w:val="0"/>
          <w:bCs w:val="0"/>
          <w:color w:val="auto"/>
          <w:sz w:val="24"/>
          <w:szCs w:val="24"/>
          <w:highlight w:val="none"/>
          <w:lang w:val="en-US" w:eastAsia="zh-CN"/>
        </w:rPr>
        <w:t>采购人在中华人民共和国境内使用供应商提供的服务时免受第三方提出的侵犯其专利权或其它知识产权的起诉。如果第三方提出侵权指控，</w:t>
      </w:r>
      <w:r>
        <w:rPr>
          <w:rFonts w:hint="eastAsia" w:ascii="宋体" w:hAnsi="宋体" w:cs="宋体"/>
          <w:b w:val="0"/>
          <w:bCs w:val="0"/>
          <w:color w:val="auto"/>
          <w:sz w:val="24"/>
          <w:szCs w:val="24"/>
          <w:highlight w:val="none"/>
          <w:lang w:val="en-US" w:eastAsia="zh-CN"/>
        </w:rPr>
        <w:t>成交供应商</w:t>
      </w:r>
      <w:r>
        <w:rPr>
          <w:rFonts w:hint="eastAsia" w:ascii="宋体" w:hAnsi="宋体" w:eastAsia="宋体" w:cs="宋体"/>
          <w:b w:val="0"/>
          <w:bCs w:val="0"/>
          <w:color w:val="auto"/>
          <w:sz w:val="24"/>
          <w:szCs w:val="24"/>
          <w:highlight w:val="none"/>
          <w:lang w:val="en-US" w:eastAsia="zh-CN"/>
        </w:rPr>
        <w:t>应承担由此而引起的一切法律责任和费用。</w:t>
      </w:r>
    </w:p>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14:paraId="35C88C59">
      <w:pPr>
        <w:pageBreakBefore w:val="0"/>
        <w:widowControl w:val="0"/>
        <w:kinsoku/>
        <w:wordWrap/>
        <w:overflowPunct/>
        <w:topLinePunct w:val="0"/>
        <w:autoSpaceDE/>
        <w:autoSpaceDN/>
        <w:bidi w:val="0"/>
        <w:adjustRightInd/>
        <w:spacing w:before="0" w:beforeLines="0" w:after="0" w:afterLines="0" w:line="4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本项目所涉及的知识产权归采购人所有。</w:t>
      </w:r>
    </w:p>
    <w:p w14:paraId="6A029963">
      <w:pPr>
        <w:keepNext/>
        <w:keepLines/>
        <w:pageBreakBefore w:val="0"/>
        <w:widowControl w:val="0"/>
        <w:kinsoku/>
        <w:wordWrap/>
        <w:overflowPunct/>
        <w:topLinePunct w:val="0"/>
        <w:autoSpaceDE/>
        <w:autoSpaceDN/>
        <w:bidi w:val="0"/>
        <w:adjustRightInd/>
        <w:spacing w:before="0" w:beforeLines="0" w:beforeAutospacing="0" w:after="0" w:afterLines="0" w:afterAutospacing="0" w:line="400" w:lineRule="exact"/>
        <w:ind w:firstLine="482" w:firstLineChars="200"/>
        <w:jc w:val="both"/>
        <w:textAlignment w:val="auto"/>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cs="宋体"/>
          <w:b/>
          <w:color w:val="auto"/>
          <w:kern w:val="2"/>
          <w:sz w:val="24"/>
          <w:highlight w:val="none"/>
          <w:lang w:val="en-US" w:eastAsia="zh-CN" w:bidi="ar-SA"/>
        </w:rPr>
        <w:t>六、</w:t>
      </w:r>
      <w:r>
        <w:rPr>
          <w:rFonts w:hint="eastAsia" w:ascii="宋体" w:hAnsi="宋体" w:eastAsia="宋体" w:cs="宋体"/>
          <w:b/>
          <w:bCs/>
          <w:color w:val="auto"/>
          <w:kern w:val="2"/>
          <w:sz w:val="24"/>
          <w:szCs w:val="24"/>
          <w:highlight w:val="none"/>
          <w:lang w:val="en-US" w:eastAsia="zh-CN" w:bidi="ar-SA"/>
        </w:rPr>
        <w:t>不可抗力</w:t>
      </w:r>
    </w:p>
    <w:p w14:paraId="5E267D1B">
      <w:pPr>
        <w:pageBreakBefore w:val="0"/>
        <w:widowControl w:val="0"/>
        <w:kinsoku/>
        <w:wordWrap/>
        <w:overflowPunct/>
        <w:topLinePunct w:val="0"/>
        <w:autoSpaceDE/>
        <w:autoSpaceDN/>
        <w:bidi w:val="0"/>
        <w:adjustRightInd/>
        <w:spacing w:before="0" w:beforeLines="0" w:after="0" w:afterLines="0" w:line="4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因相关政策调整等不可抗力原因致使项目取消或延期或调整的，或因客观原因致使合同无法订立或订立后因无法履行而解除的，采购人不承担任何责任。</w:t>
      </w:r>
    </w:p>
    <w:p w14:paraId="008FC929">
      <w:pPr>
        <w:keepNext/>
        <w:keepLines/>
        <w:pageBreakBefore w:val="0"/>
        <w:widowControl w:val="0"/>
        <w:kinsoku/>
        <w:wordWrap/>
        <w:overflowPunct/>
        <w:topLinePunct w:val="0"/>
        <w:autoSpaceDE/>
        <w:autoSpaceDN/>
        <w:bidi w:val="0"/>
        <w:adjustRightInd w:val="0"/>
        <w:snapToGrid w:val="0"/>
        <w:spacing w:before="0" w:after="0" w:line="400" w:lineRule="exact"/>
        <w:ind w:firstLine="482" w:firstLineChars="200"/>
        <w:jc w:val="both"/>
        <w:textAlignment w:val="auto"/>
        <w:outlineLvl w:val="1"/>
        <w:rPr>
          <w:rFonts w:hint="eastAsia" w:ascii="宋体" w:hAnsi="宋体" w:eastAsia="宋体" w:cs="宋体"/>
          <w:b/>
          <w:color w:val="auto"/>
          <w:kern w:val="2"/>
          <w:sz w:val="24"/>
          <w:highlight w:val="none"/>
          <w:lang w:val="en-US" w:eastAsia="zh-CN" w:bidi="ar-SA"/>
        </w:rPr>
      </w:pPr>
      <w:r>
        <w:rPr>
          <w:rFonts w:hint="eastAsia" w:ascii="宋体" w:hAnsi="宋体" w:cs="宋体"/>
          <w:b/>
          <w:color w:val="auto"/>
          <w:kern w:val="2"/>
          <w:sz w:val="24"/>
          <w:highlight w:val="none"/>
          <w:lang w:val="en-US" w:eastAsia="zh-CN" w:bidi="ar-SA"/>
        </w:rPr>
        <w:t>七</w:t>
      </w:r>
      <w:r>
        <w:rPr>
          <w:rFonts w:hint="eastAsia" w:ascii="宋体" w:hAnsi="宋体" w:eastAsia="宋体" w:cs="宋体"/>
          <w:b/>
          <w:color w:val="auto"/>
          <w:kern w:val="2"/>
          <w:sz w:val="24"/>
          <w:highlight w:val="none"/>
          <w:lang w:val="en-US" w:eastAsia="zh-CN" w:bidi="ar-SA"/>
        </w:rPr>
        <w:t>、其他</w:t>
      </w:r>
    </w:p>
    <w:p w14:paraId="0482EECA">
      <w:pPr>
        <w:keepLines w:val="0"/>
        <w:pageBreakBefore w:val="0"/>
        <w:widowControl w:val="0"/>
        <w:kinsoku/>
        <w:wordWrap/>
        <w:overflowPunct/>
        <w:topLinePunct w:val="0"/>
        <w:autoSpaceDE/>
        <w:autoSpaceDN/>
        <w:bidi w:val="0"/>
        <w:adjustRightInd/>
        <w:snapToGrid w:val="0"/>
        <w:spacing w:line="380" w:lineRule="exact"/>
        <w:ind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（一）供应商必须在响应文件中对以上条款和服务承诺明确列出，承诺内容必须达到本篇及</w:t>
      </w:r>
      <w:r>
        <w:rPr>
          <w:rFonts w:hint="eastAsia" w:ascii="宋体" w:hAnsi="宋体" w:cs="宋体"/>
          <w:color w:val="auto"/>
          <w:kern w:val="2"/>
          <w:sz w:val="24"/>
          <w:szCs w:val="24"/>
          <w:highlight w:val="none"/>
          <w:lang w:val="en-US" w:eastAsia="zh-CN" w:bidi="ar-SA"/>
        </w:rPr>
        <w:t>比选</w:t>
      </w:r>
      <w:r>
        <w:rPr>
          <w:rFonts w:hint="eastAsia" w:ascii="宋体" w:hAnsi="宋体" w:eastAsia="宋体" w:cs="宋体"/>
          <w:color w:val="auto"/>
          <w:kern w:val="2"/>
          <w:sz w:val="24"/>
          <w:szCs w:val="24"/>
          <w:highlight w:val="none"/>
          <w:lang w:val="en-US" w:eastAsia="zh-CN" w:bidi="ar-SA"/>
        </w:rPr>
        <w:t>文件其他条款的要求。</w:t>
      </w:r>
    </w:p>
    <w:p w14:paraId="5358107F">
      <w:pPr>
        <w:pStyle w:val="4"/>
        <w:keepLines w:val="0"/>
        <w:pageBreakBefore w:val="0"/>
        <w:widowControl w:val="0"/>
        <w:kinsoku/>
        <w:wordWrap/>
        <w:overflowPunct/>
        <w:topLinePunct w:val="0"/>
        <w:autoSpaceDE/>
        <w:autoSpaceDN/>
        <w:bidi w:val="0"/>
        <w:adjustRightInd/>
        <w:snapToGrid w:val="0"/>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（二）其他未尽事宜由供需双方在采购合同中详细约定。</w:t>
      </w:r>
    </w:p>
    <w:p w14:paraId="6656C2B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bCs/>
          <w:color w:val="auto"/>
          <w:sz w:val="24"/>
          <w:szCs w:val="24"/>
          <w:highlight w:val="none"/>
        </w:rPr>
      </w:pPr>
    </w:p>
    <w:p w14:paraId="1F869BEB">
      <w:pPr>
        <w:pStyle w:val="13"/>
        <w:spacing w:line="400" w:lineRule="exact"/>
        <w:ind w:firstLine="480" w:firstLineChars="200"/>
        <w:rPr>
          <w:rFonts w:hint="eastAsia" w:ascii="宋体" w:hAnsi="宋体" w:eastAsia="宋体" w:cs="宋体"/>
          <w:bCs/>
          <w:color w:val="auto"/>
          <w:sz w:val="24"/>
          <w:szCs w:val="24"/>
          <w:highlight w:val="none"/>
        </w:rPr>
      </w:pPr>
    </w:p>
    <w:p w14:paraId="3AFB677B">
      <w:pPr>
        <w:jc w:val="center"/>
        <w:rPr>
          <w:rFonts w:hint="eastAsia" w:ascii="宋体" w:hAnsi="宋体" w:eastAsia="宋体" w:cs="宋体"/>
          <w:b/>
          <w:color w:val="auto"/>
          <w:sz w:val="24"/>
          <w:szCs w:val="24"/>
          <w:highlight w:val="none"/>
        </w:rPr>
      </w:pPr>
      <w:bookmarkStart w:id="61" w:name="_Toc3115"/>
      <w:bookmarkStart w:id="62" w:name="_Toc6453"/>
      <w:bookmarkStart w:id="63" w:name="_Toc487204778"/>
    </w:p>
    <w:p w14:paraId="4E14DC5B">
      <w:pPr>
        <w:jc w:val="both"/>
        <w:outlineLvl w:val="0"/>
        <w:rPr>
          <w:rFonts w:hint="eastAsia" w:ascii="宋体" w:hAnsi="宋体" w:eastAsia="宋体" w:cs="宋体"/>
          <w:color w:val="auto"/>
          <w:sz w:val="24"/>
          <w:szCs w:val="24"/>
          <w:highlight w:val="none"/>
        </w:rPr>
      </w:pPr>
    </w:p>
    <w:p w14:paraId="769BC871">
      <w:pPr>
        <w:rPr>
          <w:rFonts w:hint="eastAsia" w:ascii="宋体" w:hAnsi="宋体" w:eastAsia="宋体" w:cs="宋体"/>
          <w:color w:val="auto"/>
          <w:sz w:val="36"/>
          <w:szCs w:val="30"/>
          <w:highlight w:val="none"/>
        </w:rPr>
      </w:pPr>
      <w:r>
        <w:rPr>
          <w:rFonts w:hint="eastAsia" w:ascii="宋体" w:hAnsi="宋体" w:eastAsia="宋体" w:cs="宋体"/>
          <w:color w:val="auto"/>
          <w:sz w:val="36"/>
          <w:szCs w:val="30"/>
          <w:highlight w:val="none"/>
        </w:rPr>
        <w:br w:type="page"/>
      </w:r>
    </w:p>
    <w:bookmarkEnd w:id="61"/>
    <w:bookmarkEnd w:id="62"/>
    <w:bookmarkEnd w:id="63"/>
    <w:p w14:paraId="0AD4A9B4">
      <w:pPr>
        <w:pStyle w:val="5"/>
        <w:pageBreakBefore/>
        <w:snapToGrid w:val="0"/>
        <w:spacing w:before="0" w:after="0" w:line="360" w:lineRule="auto"/>
        <w:jc w:val="center"/>
        <w:rPr>
          <w:rFonts w:hint="eastAsia" w:ascii="宋体" w:hAnsi="宋体" w:eastAsia="宋体"/>
          <w:b w:val="0"/>
          <w:color w:val="auto"/>
          <w:sz w:val="36"/>
          <w:szCs w:val="30"/>
          <w:highlight w:val="none"/>
        </w:rPr>
      </w:pPr>
      <w:bookmarkStart w:id="64" w:name="_Toc12201"/>
      <w:bookmarkStart w:id="65" w:name="_Toc342913393"/>
      <w:bookmarkStart w:id="66" w:name="_Toc102227319"/>
      <w:bookmarkStart w:id="67" w:name="_Toc179714298"/>
      <w:bookmarkStart w:id="68" w:name="_Toc426965633"/>
      <w:bookmarkStart w:id="69" w:name="_Toc487204782"/>
      <w:bookmarkStart w:id="70" w:name="_Toc31795"/>
      <w:bookmarkStart w:id="71" w:name="_Toc31741"/>
      <w:r>
        <w:rPr>
          <w:rFonts w:hint="eastAsia" w:ascii="宋体" w:hAnsi="宋体" w:eastAsia="宋体"/>
          <w:b/>
          <w:bCs/>
          <w:color w:val="auto"/>
          <w:sz w:val="36"/>
          <w:szCs w:val="30"/>
          <w:highlight w:val="none"/>
        </w:rPr>
        <w:t>第四篇  开标程序及方法、评审标准、无效响应和</w:t>
      </w:r>
      <w:r>
        <w:rPr>
          <w:rFonts w:hint="eastAsia" w:ascii="宋体" w:hAnsi="宋体" w:eastAsia="宋体"/>
          <w:b/>
          <w:bCs/>
          <w:color w:val="auto"/>
          <w:sz w:val="36"/>
          <w:szCs w:val="36"/>
          <w:highlight w:val="none"/>
        </w:rPr>
        <w:t>采购终止</w:t>
      </w:r>
      <w:bookmarkEnd w:id="64"/>
    </w:p>
    <w:p w14:paraId="4B19F30F">
      <w:pPr>
        <w:pStyle w:val="6"/>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72" w:name="_Toc24853"/>
      <w:r>
        <w:rPr>
          <w:rFonts w:hint="eastAsia" w:ascii="宋体" w:hAnsi="宋体" w:cs="宋体"/>
          <w:color w:val="auto"/>
          <w:sz w:val="24"/>
          <w:szCs w:val="24"/>
          <w:highlight w:val="none"/>
          <w:lang w:eastAsia="zh-CN"/>
        </w:rPr>
        <w:t>一</w:t>
      </w:r>
      <w:r>
        <w:rPr>
          <w:rFonts w:hint="eastAsia" w:ascii="宋体" w:hAnsi="宋体" w:eastAsia="宋体" w:cs="宋体"/>
          <w:color w:val="auto"/>
          <w:sz w:val="24"/>
          <w:szCs w:val="24"/>
          <w:highlight w:val="none"/>
        </w:rPr>
        <w:t>、</w:t>
      </w:r>
      <w:bookmarkEnd w:id="65"/>
      <w:bookmarkEnd w:id="66"/>
      <w:bookmarkEnd w:id="67"/>
      <w:bookmarkEnd w:id="68"/>
      <w:bookmarkEnd w:id="69"/>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程序及成交标准</w:t>
      </w:r>
      <w:bookmarkEnd w:id="70"/>
      <w:bookmarkEnd w:id="71"/>
      <w:bookmarkEnd w:id="72"/>
    </w:p>
    <w:p w14:paraId="6D49D0C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（一）本项目</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按照</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规定的时间和地点进行。</w:t>
      </w:r>
    </w:p>
    <w:p w14:paraId="781D100C">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（二）资格性符合性检查</w:t>
      </w:r>
    </w:p>
    <w:p w14:paraId="5AC3644D">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1.资格性检查。依据法律法规和</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的规定，对响应文件中的资格证明等进行审查，以确定供应商是否具备</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资格。资格性检查资料表如下：</w:t>
      </w:r>
    </w:p>
    <w:tbl>
      <w:tblPr>
        <w:tblStyle w:val="25"/>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195"/>
        <w:gridCol w:w="3664"/>
        <w:gridCol w:w="5"/>
        <w:gridCol w:w="3822"/>
      </w:tblGrid>
      <w:tr w14:paraId="2D5FB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46" w:type="dxa"/>
            <w:vAlign w:val="center"/>
          </w:tcPr>
          <w:p w14:paraId="6E4BBC8D">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序号</w:t>
            </w:r>
          </w:p>
        </w:tc>
        <w:tc>
          <w:tcPr>
            <w:tcW w:w="4859" w:type="dxa"/>
            <w:gridSpan w:val="2"/>
            <w:vAlign w:val="center"/>
          </w:tcPr>
          <w:p w14:paraId="68C3BBE4">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检查因素</w:t>
            </w:r>
          </w:p>
        </w:tc>
        <w:tc>
          <w:tcPr>
            <w:tcW w:w="3827" w:type="dxa"/>
            <w:gridSpan w:val="2"/>
            <w:vAlign w:val="center"/>
          </w:tcPr>
          <w:p w14:paraId="4F196059">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检查内容</w:t>
            </w:r>
          </w:p>
        </w:tc>
      </w:tr>
      <w:tr w14:paraId="7D35D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746" w:type="dxa"/>
            <w:vMerge w:val="restart"/>
            <w:vAlign w:val="center"/>
          </w:tcPr>
          <w:p w14:paraId="23309A18">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195" w:type="dxa"/>
            <w:vMerge w:val="restart"/>
            <w:vAlign w:val="center"/>
          </w:tcPr>
          <w:p w14:paraId="37903E10">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《中华人民共和国政府采购法》第二十二条规定</w:t>
            </w:r>
          </w:p>
        </w:tc>
        <w:tc>
          <w:tcPr>
            <w:tcW w:w="3664" w:type="dxa"/>
            <w:vAlign w:val="center"/>
          </w:tcPr>
          <w:p w14:paraId="2E94BAC1">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（1）具有独立承担民事责任的能力</w:t>
            </w:r>
          </w:p>
        </w:tc>
        <w:tc>
          <w:tcPr>
            <w:tcW w:w="3827" w:type="dxa"/>
            <w:gridSpan w:val="2"/>
            <w:vAlign w:val="center"/>
          </w:tcPr>
          <w:p w14:paraId="7505018B">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1.供应商法人营业执照（副本）或事业单位法人证书（副本）或个体工商户营业执照或有效的自然人身份证明或社会团体法人登记证书（提供复印件）。 </w:t>
            </w:r>
          </w:p>
          <w:p w14:paraId="7910401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2.供应商法定代表人身份证明和法定代表人授权代表委托书。</w:t>
            </w:r>
          </w:p>
        </w:tc>
      </w:tr>
      <w:tr w14:paraId="6702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46" w:type="dxa"/>
            <w:vMerge w:val="continue"/>
            <w:vAlign w:val="center"/>
          </w:tcPr>
          <w:p w14:paraId="53BC12A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5FF4348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3664" w:type="dxa"/>
            <w:vAlign w:val="center"/>
          </w:tcPr>
          <w:p w14:paraId="4254EC64">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（2）</w:t>
            </w:r>
            <w:r>
              <w:rPr>
                <w:rFonts w:hint="eastAsia" w:ascii="宋体" w:hAnsi="宋体" w:eastAsia="宋体" w:cs="宋体"/>
                <w:color w:val="auto"/>
                <w:sz w:val="24"/>
                <w:szCs w:val="24"/>
                <w:highlight w:val="none"/>
              </w:rPr>
              <w:t>具有良好的商业信誉和健全的财务会计制度</w:t>
            </w:r>
          </w:p>
        </w:tc>
        <w:tc>
          <w:tcPr>
            <w:tcW w:w="3827" w:type="dxa"/>
            <w:gridSpan w:val="2"/>
            <w:vMerge w:val="restart"/>
            <w:vAlign w:val="center"/>
          </w:tcPr>
          <w:p w14:paraId="18D74A1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供应商提供“基本资格条件承诺函”（格式详见第七篇）</w:t>
            </w:r>
          </w:p>
        </w:tc>
      </w:tr>
      <w:tr w14:paraId="43362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6" w:type="dxa"/>
            <w:vMerge w:val="continue"/>
            <w:vAlign w:val="center"/>
          </w:tcPr>
          <w:p w14:paraId="345469F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676B16FD">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3664" w:type="dxa"/>
            <w:vAlign w:val="center"/>
          </w:tcPr>
          <w:p w14:paraId="27564DA5">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（3）具有履行合同所必需的设备和专业技术能力</w:t>
            </w:r>
          </w:p>
        </w:tc>
        <w:tc>
          <w:tcPr>
            <w:tcW w:w="3827" w:type="dxa"/>
            <w:gridSpan w:val="2"/>
            <w:vMerge w:val="continue"/>
            <w:vAlign w:val="center"/>
          </w:tcPr>
          <w:p w14:paraId="73C94F6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2C413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46" w:type="dxa"/>
            <w:vMerge w:val="continue"/>
            <w:vAlign w:val="center"/>
          </w:tcPr>
          <w:p w14:paraId="5C41DFE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300E67FC">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2F8048D6">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（4）有依法缴纳税收和社会保障金的良好记录</w:t>
            </w:r>
          </w:p>
        </w:tc>
        <w:tc>
          <w:tcPr>
            <w:tcW w:w="3827" w:type="dxa"/>
            <w:gridSpan w:val="2"/>
            <w:vMerge w:val="continue"/>
            <w:vAlign w:val="center"/>
          </w:tcPr>
          <w:p w14:paraId="29D6866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185DF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46" w:type="dxa"/>
            <w:vMerge w:val="continue"/>
            <w:vAlign w:val="center"/>
          </w:tcPr>
          <w:p w14:paraId="308B9A3B">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0BFD38C3">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023F51AD">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（5）参加政府采购活动前三年内，在经营活动中没有重大违法记录（注①）</w:t>
            </w:r>
          </w:p>
        </w:tc>
        <w:tc>
          <w:tcPr>
            <w:tcW w:w="3827" w:type="dxa"/>
            <w:gridSpan w:val="2"/>
            <w:vMerge w:val="continue"/>
            <w:vAlign w:val="center"/>
          </w:tcPr>
          <w:p w14:paraId="75F21BFF">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7A099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746" w:type="dxa"/>
            <w:vMerge w:val="continue"/>
            <w:vAlign w:val="center"/>
          </w:tcPr>
          <w:p w14:paraId="306E5464">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5DA0C3C6">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44E5DBD2">
            <w:pPr>
              <w:pageBreakBefore w:val="0"/>
              <w:widowControl w:val="0"/>
              <w:kinsoku/>
              <w:wordWrap/>
              <w:overflowPunct/>
              <w:topLinePunct w:val="0"/>
              <w:autoSpaceDE/>
              <w:autoSpaceDN/>
              <w:bidi w:val="0"/>
              <w:adjustRightInd w:val="0"/>
              <w:snapToGrid w:val="0"/>
              <w:spacing w:line="4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（6）法律、行政法规规定的其他条件</w:t>
            </w:r>
          </w:p>
        </w:tc>
        <w:tc>
          <w:tcPr>
            <w:tcW w:w="3827" w:type="dxa"/>
            <w:gridSpan w:val="2"/>
            <w:vAlign w:val="center"/>
          </w:tcPr>
          <w:p w14:paraId="5E5237D1">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r>
      <w:tr w14:paraId="209D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46" w:type="dxa"/>
            <w:vMerge w:val="continue"/>
            <w:vAlign w:val="center"/>
          </w:tcPr>
          <w:p w14:paraId="513DDD0A">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rPr>
            </w:pPr>
          </w:p>
        </w:tc>
        <w:tc>
          <w:tcPr>
            <w:tcW w:w="1195" w:type="dxa"/>
            <w:vMerge w:val="continue"/>
            <w:vAlign w:val="center"/>
          </w:tcPr>
          <w:p w14:paraId="67DD4501">
            <w:pPr>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3664" w:type="dxa"/>
            <w:vAlign w:val="center"/>
          </w:tcPr>
          <w:p w14:paraId="071D05F6">
            <w:pPr>
              <w:pageBreakBefore w:val="0"/>
              <w:widowControl w:val="0"/>
              <w:kinsoku/>
              <w:wordWrap/>
              <w:overflowPunct/>
              <w:topLinePunct w:val="0"/>
              <w:autoSpaceDE/>
              <w:autoSpaceDN/>
              <w:bidi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）本项目的特定资格要求</w:t>
            </w:r>
          </w:p>
        </w:tc>
        <w:tc>
          <w:tcPr>
            <w:tcW w:w="3827" w:type="dxa"/>
            <w:gridSpan w:val="2"/>
            <w:vAlign w:val="center"/>
          </w:tcPr>
          <w:p w14:paraId="42463C4E">
            <w:pPr>
              <w:pageBreakBefore w:val="0"/>
              <w:widowControl w:val="0"/>
              <w:kinsoku/>
              <w:wordWrap/>
              <w:overflowPunct/>
              <w:topLinePunct w:val="0"/>
              <w:autoSpaceDE/>
              <w:autoSpaceDN/>
              <w:bidi w:val="0"/>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按“第一篇三、供应商资格要求（三）本项目的特定资格要求”的要求提交（如果有）。</w:t>
            </w:r>
          </w:p>
        </w:tc>
      </w:tr>
      <w:tr w14:paraId="144DE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46" w:type="dxa"/>
            <w:vAlign w:val="center"/>
          </w:tcPr>
          <w:p w14:paraId="610E09A1">
            <w:pPr>
              <w:pageBreakBefore w:val="0"/>
              <w:widowControl w:val="0"/>
              <w:kinsoku/>
              <w:wordWrap/>
              <w:overflowPunct/>
              <w:topLinePunct w:val="0"/>
              <w:autoSpaceDE/>
              <w:autoSpaceDN/>
              <w:bidi w:val="0"/>
              <w:spacing w:line="40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4864" w:type="dxa"/>
            <w:gridSpan w:val="3"/>
            <w:vAlign w:val="center"/>
          </w:tcPr>
          <w:p w14:paraId="2470FBCC">
            <w:pPr>
              <w:pageBreakBefore w:val="0"/>
              <w:widowControl w:val="0"/>
              <w:kinsoku/>
              <w:wordWrap/>
              <w:overflowPunct/>
              <w:topLinePunct w:val="0"/>
              <w:autoSpaceDE/>
              <w:autoSpaceDN/>
              <w:bidi w:val="0"/>
              <w:spacing w:line="40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比选</w:t>
            </w:r>
            <w:r>
              <w:rPr>
                <w:rFonts w:hint="eastAsia" w:ascii="宋体" w:hAnsi="宋体" w:eastAsia="宋体" w:cs="宋体"/>
                <w:color w:val="auto"/>
                <w:sz w:val="24"/>
                <w:szCs w:val="24"/>
                <w:highlight w:val="none"/>
                <w:lang w:val="zh-CN"/>
              </w:rPr>
              <w:t>保证金</w:t>
            </w:r>
          </w:p>
        </w:tc>
        <w:tc>
          <w:tcPr>
            <w:tcW w:w="3822" w:type="dxa"/>
            <w:vAlign w:val="center"/>
          </w:tcPr>
          <w:p w14:paraId="5F2C051A">
            <w:pPr>
              <w:pageBreakBefore w:val="0"/>
              <w:widowControl w:val="0"/>
              <w:kinsoku/>
              <w:wordWrap/>
              <w:overflowPunct/>
              <w:topLinePunct w:val="0"/>
              <w:autoSpaceDE/>
              <w:autoSpaceDN/>
              <w:bidi w:val="0"/>
              <w:spacing w:line="40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按</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lang w:eastAsia="zh-CN"/>
              </w:rPr>
              <w:t>文件足额缴纳</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lang w:eastAsia="zh-CN"/>
              </w:rPr>
              <w:t>保证金</w:t>
            </w:r>
          </w:p>
        </w:tc>
      </w:tr>
    </w:tbl>
    <w:p w14:paraId="2F31D7B1">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p>
    <w:p w14:paraId="36F72F22">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w:char="F081"/>
      </w:r>
      <w:r>
        <w:rPr>
          <w:rFonts w:hint="eastAsia" w:ascii="宋体" w:hAnsi="宋体" w:eastAsia="宋体" w:cs="宋体"/>
          <w:color w:val="auto"/>
          <w:sz w:val="24"/>
          <w:szCs w:val="24"/>
          <w:highlight w:val="none"/>
        </w:rPr>
        <w:t>供应商按“五证合一”登记制度办理营业执照的，组织机构代码证、税务登记证（副本）和社会保险登记证以供应商所提供的营业执照（副本）复印件为准。</w:t>
      </w:r>
    </w:p>
    <w:p w14:paraId="0DEC354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w:char="F082"/>
      </w:r>
      <w:r>
        <w:rPr>
          <w:rFonts w:hint="eastAsia" w:ascii="宋体" w:hAnsi="宋体" w:eastAsia="宋体" w:cs="宋体"/>
          <w:color w:val="auto"/>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23F3A451">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符合性检查。依据</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的规定，从响应文件的有效性、完整性和对</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的响应程度进行审查，以确定是否对</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的实质性要求作出响应。符合性检查资料表如下：</w:t>
      </w:r>
    </w:p>
    <w:tbl>
      <w:tblPr>
        <w:tblStyle w:val="25"/>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406"/>
        <w:gridCol w:w="2128"/>
        <w:gridCol w:w="7"/>
        <w:gridCol w:w="5218"/>
        <w:gridCol w:w="7"/>
      </w:tblGrid>
      <w:tr w14:paraId="7E853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14:paraId="14D25AA7">
            <w:pPr>
              <w:pStyle w:val="13"/>
              <w:pageBreakBefore w:val="0"/>
              <w:widowControl w:val="0"/>
              <w:kinsoku/>
              <w:wordWrap/>
              <w:overflowPunct/>
              <w:topLinePunct w:val="0"/>
              <w:autoSpaceDE/>
              <w:autoSpaceDN/>
              <w:bidi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541" w:type="dxa"/>
            <w:gridSpan w:val="3"/>
            <w:tcBorders>
              <w:top w:val="single" w:color="auto" w:sz="4" w:space="0"/>
              <w:left w:val="single" w:color="auto" w:sz="4" w:space="0"/>
              <w:bottom w:val="single" w:color="auto" w:sz="4" w:space="0"/>
              <w:right w:val="single" w:color="auto" w:sz="4" w:space="0"/>
            </w:tcBorders>
            <w:vAlign w:val="center"/>
          </w:tcPr>
          <w:p w14:paraId="6716A7CA">
            <w:pPr>
              <w:pStyle w:val="13"/>
              <w:pageBreakBefore w:val="0"/>
              <w:widowControl w:val="0"/>
              <w:kinsoku/>
              <w:wordWrap/>
              <w:overflowPunct/>
              <w:topLinePunct w:val="0"/>
              <w:autoSpaceDE/>
              <w:autoSpaceDN/>
              <w:bidi w:val="0"/>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50D90A70">
            <w:pPr>
              <w:pStyle w:val="13"/>
              <w:pageBreakBefore w:val="0"/>
              <w:widowControl w:val="0"/>
              <w:kinsoku/>
              <w:wordWrap/>
              <w:overflowPunct/>
              <w:topLinePunct w:val="0"/>
              <w:autoSpaceDE/>
              <w:autoSpaceDN/>
              <w:bidi w:val="0"/>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4D4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715" w:hRule="atLeast"/>
          <w:jc w:val="center"/>
        </w:trPr>
        <w:tc>
          <w:tcPr>
            <w:tcW w:w="672" w:type="dxa"/>
            <w:vMerge w:val="restart"/>
            <w:tcBorders>
              <w:top w:val="single" w:color="auto" w:sz="4" w:space="0"/>
              <w:left w:val="single" w:color="auto" w:sz="4" w:space="0"/>
              <w:bottom w:val="single" w:color="auto" w:sz="4" w:space="0"/>
              <w:right w:val="single" w:color="auto" w:sz="4" w:space="0"/>
            </w:tcBorders>
            <w:vAlign w:val="center"/>
          </w:tcPr>
          <w:p w14:paraId="0508640C">
            <w:pPr>
              <w:pStyle w:val="13"/>
              <w:pageBreakBefore w:val="0"/>
              <w:widowControl w:val="0"/>
              <w:kinsoku/>
              <w:wordWrap/>
              <w:overflowPunct/>
              <w:topLinePunct w:val="0"/>
              <w:autoSpaceDE/>
              <w:autoSpaceDN/>
              <w:bidi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406" w:type="dxa"/>
            <w:vMerge w:val="restart"/>
            <w:tcBorders>
              <w:top w:val="single" w:color="auto" w:sz="4" w:space="0"/>
              <w:left w:val="single" w:color="auto" w:sz="4" w:space="0"/>
              <w:bottom w:val="single" w:color="auto" w:sz="4" w:space="0"/>
              <w:right w:val="single" w:color="auto" w:sz="4" w:space="0"/>
            </w:tcBorders>
            <w:vAlign w:val="center"/>
          </w:tcPr>
          <w:p w14:paraId="7B82E634">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有效性审查</w:t>
            </w:r>
          </w:p>
        </w:tc>
        <w:tc>
          <w:tcPr>
            <w:tcW w:w="2128" w:type="dxa"/>
            <w:tcBorders>
              <w:top w:val="single" w:color="auto" w:sz="4" w:space="0"/>
              <w:left w:val="single" w:color="auto" w:sz="4" w:space="0"/>
              <w:bottom w:val="single" w:color="auto" w:sz="4" w:space="0"/>
              <w:right w:val="single" w:color="auto" w:sz="4" w:space="0"/>
            </w:tcBorders>
            <w:vAlign w:val="center"/>
          </w:tcPr>
          <w:p w14:paraId="2DDA3947">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响应文件签署</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34FE5431">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响应文件上法定代表人或其授权代表人的签字齐全。</w:t>
            </w:r>
          </w:p>
        </w:tc>
      </w:tr>
      <w:tr w14:paraId="72406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003" w:hRule="atLeast"/>
          <w:jc w:val="center"/>
        </w:trPr>
        <w:tc>
          <w:tcPr>
            <w:tcW w:w="672" w:type="dxa"/>
            <w:vMerge w:val="continue"/>
            <w:tcBorders>
              <w:top w:val="single" w:color="auto" w:sz="4" w:space="0"/>
              <w:left w:val="single" w:color="auto" w:sz="4" w:space="0"/>
              <w:bottom w:val="single" w:color="auto" w:sz="4" w:space="0"/>
              <w:right w:val="single" w:color="auto" w:sz="4" w:space="0"/>
            </w:tcBorders>
            <w:vAlign w:val="center"/>
          </w:tcPr>
          <w:p w14:paraId="5716641C">
            <w:pPr>
              <w:pStyle w:val="13"/>
              <w:pageBreakBefore w:val="0"/>
              <w:widowControl w:val="0"/>
              <w:kinsoku/>
              <w:wordWrap/>
              <w:overflowPunct/>
              <w:topLinePunct w:val="0"/>
              <w:autoSpaceDE/>
              <w:autoSpaceDN/>
              <w:bidi w:val="0"/>
              <w:spacing w:line="400" w:lineRule="exact"/>
              <w:ind w:firstLine="480" w:firstLineChars="200"/>
              <w:jc w:val="center"/>
              <w:textAlignment w:val="auto"/>
              <w:rPr>
                <w:rFonts w:hint="eastAsia" w:ascii="宋体" w:hAnsi="宋体" w:eastAsia="宋体" w:cs="宋体"/>
                <w:color w:val="auto"/>
                <w:sz w:val="24"/>
                <w:szCs w:val="24"/>
                <w:highlight w:val="none"/>
              </w:rPr>
            </w:pPr>
          </w:p>
        </w:tc>
        <w:tc>
          <w:tcPr>
            <w:tcW w:w="1406" w:type="dxa"/>
            <w:vMerge w:val="continue"/>
            <w:tcBorders>
              <w:top w:val="single" w:color="auto" w:sz="4" w:space="0"/>
              <w:left w:val="single" w:color="auto" w:sz="4" w:space="0"/>
              <w:bottom w:val="single" w:color="auto" w:sz="4" w:space="0"/>
              <w:right w:val="single" w:color="auto" w:sz="4" w:space="0"/>
            </w:tcBorders>
            <w:vAlign w:val="center"/>
          </w:tcPr>
          <w:p w14:paraId="77A17BC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p>
        </w:tc>
        <w:tc>
          <w:tcPr>
            <w:tcW w:w="2128" w:type="dxa"/>
            <w:tcBorders>
              <w:top w:val="single" w:color="auto" w:sz="4" w:space="0"/>
              <w:left w:val="single" w:color="auto" w:sz="4" w:space="0"/>
              <w:bottom w:val="single" w:color="auto" w:sz="4" w:space="0"/>
              <w:right w:val="single" w:color="auto" w:sz="4" w:space="0"/>
            </w:tcBorders>
            <w:vAlign w:val="center"/>
          </w:tcPr>
          <w:p w14:paraId="796839A6">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173E5295">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法定代表人身份证明及授权委托书有效，符合</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规定的格式，签字或盖章齐全。</w:t>
            </w:r>
          </w:p>
        </w:tc>
      </w:tr>
      <w:tr w14:paraId="56CF3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715" w:hRule="atLeast"/>
          <w:jc w:val="center"/>
        </w:trPr>
        <w:tc>
          <w:tcPr>
            <w:tcW w:w="672" w:type="dxa"/>
            <w:vMerge w:val="continue"/>
            <w:tcBorders>
              <w:top w:val="single" w:color="auto" w:sz="4" w:space="0"/>
              <w:left w:val="single" w:color="auto" w:sz="4" w:space="0"/>
              <w:bottom w:val="single" w:color="auto" w:sz="4" w:space="0"/>
              <w:right w:val="single" w:color="auto" w:sz="4" w:space="0"/>
            </w:tcBorders>
            <w:vAlign w:val="center"/>
          </w:tcPr>
          <w:p w14:paraId="3E8342DA">
            <w:pPr>
              <w:pStyle w:val="13"/>
              <w:pageBreakBefore w:val="0"/>
              <w:widowControl w:val="0"/>
              <w:kinsoku/>
              <w:wordWrap/>
              <w:overflowPunct/>
              <w:topLinePunct w:val="0"/>
              <w:autoSpaceDE/>
              <w:autoSpaceDN/>
              <w:bidi w:val="0"/>
              <w:spacing w:line="400" w:lineRule="exact"/>
              <w:ind w:firstLine="480" w:firstLineChars="200"/>
              <w:jc w:val="center"/>
              <w:textAlignment w:val="auto"/>
              <w:rPr>
                <w:rFonts w:hint="eastAsia" w:ascii="宋体" w:hAnsi="宋体" w:eastAsia="宋体" w:cs="宋体"/>
                <w:color w:val="auto"/>
                <w:sz w:val="24"/>
                <w:szCs w:val="24"/>
                <w:highlight w:val="none"/>
              </w:rPr>
            </w:pPr>
          </w:p>
        </w:tc>
        <w:tc>
          <w:tcPr>
            <w:tcW w:w="1406" w:type="dxa"/>
            <w:vMerge w:val="continue"/>
            <w:tcBorders>
              <w:top w:val="single" w:color="auto" w:sz="4" w:space="0"/>
              <w:left w:val="single" w:color="auto" w:sz="4" w:space="0"/>
              <w:bottom w:val="single" w:color="auto" w:sz="4" w:space="0"/>
              <w:right w:val="single" w:color="auto" w:sz="4" w:space="0"/>
            </w:tcBorders>
            <w:vAlign w:val="center"/>
          </w:tcPr>
          <w:p w14:paraId="165CD732">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p>
        </w:tc>
        <w:tc>
          <w:tcPr>
            <w:tcW w:w="2128" w:type="dxa"/>
            <w:tcBorders>
              <w:top w:val="single" w:color="auto" w:sz="4" w:space="0"/>
              <w:left w:val="single" w:color="auto" w:sz="4" w:space="0"/>
              <w:bottom w:val="single" w:color="auto" w:sz="4" w:space="0"/>
              <w:right w:val="single" w:color="auto" w:sz="4" w:space="0"/>
            </w:tcBorders>
            <w:vAlign w:val="center"/>
          </w:tcPr>
          <w:p w14:paraId="099C3A86">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方案</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40CDEA7B">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t>每个分包只能有一个</w:t>
            </w: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方案。</w:t>
            </w:r>
          </w:p>
        </w:tc>
      </w:tr>
      <w:tr w14:paraId="54066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715" w:hRule="atLeast"/>
          <w:jc w:val="center"/>
        </w:trPr>
        <w:tc>
          <w:tcPr>
            <w:tcW w:w="672" w:type="dxa"/>
            <w:vMerge w:val="continue"/>
            <w:tcBorders>
              <w:top w:val="single" w:color="auto" w:sz="4" w:space="0"/>
              <w:left w:val="single" w:color="auto" w:sz="4" w:space="0"/>
              <w:bottom w:val="single" w:color="auto" w:sz="4" w:space="0"/>
              <w:right w:val="single" w:color="auto" w:sz="4" w:space="0"/>
            </w:tcBorders>
            <w:vAlign w:val="center"/>
          </w:tcPr>
          <w:p w14:paraId="67B2221B">
            <w:pPr>
              <w:pStyle w:val="13"/>
              <w:pageBreakBefore w:val="0"/>
              <w:widowControl w:val="0"/>
              <w:kinsoku/>
              <w:wordWrap/>
              <w:overflowPunct/>
              <w:topLinePunct w:val="0"/>
              <w:autoSpaceDE/>
              <w:autoSpaceDN/>
              <w:bidi w:val="0"/>
              <w:spacing w:line="400" w:lineRule="exact"/>
              <w:ind w:firstLine="480" w:firstLineChars="200"/>
              <w:jc w:val="center"/>
              <w:textAlignment w:val="auto"/>
              <w:rPr>
                <w:rFonts w:hint="eastAsia" w:ascii="宋体" w:hAnsi="宋体" w:eastAsia="宋体" w:cs="宋体"/>
                <w:color w:val="auto"/>
                <w:sz w:val="24"/>
                <w:szCs w:val="24"/>
                <w:highlight w:val="none"/>
              </w:rPr>
            </w:pPr>
          </w:p>
        </w:tc>
        <w:tc>
          <w:tcPr>
            <w:tcW w:w="1406" w:type="dxa"/>
            <w:vMerge w:val="continue"/>
            <w:tcBorders>
              <w:top w:val="single" w:color="auto" w:sz="4" w:space="0"/>
              <w:left w:val="single" w:color="auto" w:sz="4" w:space="0"/>
              <w:bottom w:val="single" w:color="auto" w:sz="4" w:space="0"/>
              <w:right w:val="single" w:color="auto" w:sz="4" w:space="0"/>
            </w:tcBorders>
            <w:vAlign w:val="center"/>
          </w:tcPr>
          <w:p w14:paraId="65CDEAA8">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p>
        </w:tc>
        <w:tc>
          <w:tcPr>
            <w:tcW w:w="2128" w:type="dxa"/>
            <w:tcBorders>
              <w:top w:val="single" w:color="auto" w:sz="4" w:space="0"/>
              <w:left w:val="single" w:color="auto" w:sz="4" w:space="0"/>
              <w:bottom w:val="single" w:color="auto" w:sz="4" w:space="0"/>
              <w:right w:val="single" w:color="auto" w:sz="4" w:space="0"/>
            </w:tcBorders>
            <w:vAlign w:val="center"/>
          </w:tcPr>
          <w:p w14:paraId="09C27979">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报价唯一</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27E471BD">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只能有一个有效报价，不得提交选择性报价。</w:t>
            </w:r>
          </w:p>
        </w:tc>
      </w:tr>
      <w:tr w14:paraId="0F67C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715" w:hRule="atLeast"/>
          <w:jc w:val="center"/>
        </w:trPr>
        <w:tc>
          <w:tcPr>
            <w:tcW w:w="672" w:type="dxa"/>
            <w:tcBorders>
              <w:top w:val="single" w:color="auto" w:sz="4" w:space="0"/>
              <w:left w:val="single" w:color="auto" w:sz="4" w:space="0"/>
              <w:bottom w:val="single" w:color="auto" w:sz="4" w:space="0"/>
              <w:right w:val="single" w:color="auto" w:sz="4" w:space="0"/>
            </w:tcBorders>
            <w:vAlign w:val="center"/>
          </w:tcPr>
          <w:p w14:paraId="7EFCFB33">
            <w:pPr>
              <w:pStyle w:val="13"/>
              <w:pageBreakBefore w:val="0"/>
              <w:widowControl w:val="0"/>
              <w:kinsoku/>
              <w:wordWrap/>
              <w:overflowPunct/>
              <w:topLinePunct w:val="0"/>
              <w:autoSpaceDE/>
              <w:autoSpaceDN/>
              <w:bidi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406" w:type="dxa"/>
            <w:tcBorders>
              <w:top w:val="single" w:color="auto" w:sz="4" w:space="0"/>
              <w:left w:val="single" w:color="auto" w:sz="4" w:space="0"/>
              <w:bottom w:val="single" w:color="auto" w:sz="4" w:space="0"/>
              <w:right w:val="single" w:color="auto" w:sz="4" w:space="0"/>
            </w:tcBorders>
            <w:vAlign w:val="center"/>
          </w:tcPr>
          <w:p w14:paraId="45EFD30D">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完整性审查</w:t>
            </w:r>
          </w:p>
        </w:tc>
        <w:tc>
          <w:tcPr>
            <w:tcW w:w="2128" w:type="dxa"/>
            <w:tcBorders>
              <w:top w:val="single" w:color="auto" w:sz="4" w:space="0"/>
              <w:left w:val="single" w:color="auto" w:sz="4" w:space="0"/>
              <w:bottom w:val="single" w:color="auto" w:sz="4" w:space="0"/>
              <w:right w:val="single" w:color="auto" w:sz="4" w:space="0"/>
            </w:tcBorders>
            <w:vAlign w:val="center"/>
          </w:tcPr>
          <w:p w14:paraId="183F2B0B">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文件份数</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71DD994D">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w:t>
            </w:r>
            <w:r>
              <w:rPr>
                <w:rFonts w:hint="eastAsia" w:ascii="宋体" w:hAnsi="宋体" w:eastAsia="宋体" w:cs="宋体"/>
                <w:color w:val="auto"/>
                <w:sz w:val="24"/>
                <w:szCs w:val="24"/>
                <w:highlight w:val="none"/>
                <w:lang w:val="zh-CN"/>
              </w:rPr>
              <w:t>文件正、副本</w:t>
            </w:r>
            <w:r>
              <w:rPr>
                <w:rFonts w:hint="eastAsia" w:ascii="宋体" w:hAnsi="宋体" w:cs="宋体"/>
                <w:color w:val="auto"/>
                <w:sz w:val="24"/>
                <w:szCs w:val="24"/>
                <w:highlight w:val="none"/>
                <w:lang w:val="zh-CN"/>
              </w:rPr>
              <w:t>数量</w:t>
            </w:r>
            <w:r>
              <w:rPr>
                <w:rFonts w:hint="eastAsia" w:ascii="宋体" w:hAnsi="宋体" w:eastAsia="宋体" w:cs="宋体"/>
                <w:color w:val="auto"/>
                <w:sz w:val="24"/>
                <w:szCs w:val="24"/>
                <w:highlight w:val="none"/>
                <w:lang w:val="zh-CN"/>
              </w:rPr>
              <w:t>符合</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lang w:val="zh-CN"/>
              </w:rPr>
              <w:t>要求。</w:t>
            </w:r>
          </w:p>
        </w:tc>
      </w:tr>
      <w:tr w14:paraId="36EBB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715" w:hRule="atLeast"/>
          <w:jc w:val="center"/>
        </w:trPr>
        <w:tc>
          <w:tcPr>
            <w:tcW w:w="672" w:type="dxa"/>
            <w:vMerge w:val="restart"/>
            <w:tcBorders>
              <w:top w:val="single" w:color="auto" w:sz="4" w:space="0"/>
              <w:left w:val="single" w:color="auto" w:sz="4" w:space="0"/>
              <w:bottom w:val="single" w:color="auto" w:sz="4" w:space="0"/>
              <w:right w:val="single" w:color="auto" w:sz="4" w:space="0"/>
            </w:tcBorders>
            <w:vAlign w:val="center"/>
          </w:tcPr>
          <w:p w14:paraId="1DF9AD15">
            <w:pPr>
              <w:pStyle w:val="13"/>
              <w:pageBreakBefore w:val="0"/>
              <w:widowControl w:val="0"/>
              <w:kinsoku/>
              <w:wordWrap/>
              <w:overflowPunct/>
              <w:topLinePunct w:val="0"/>
              <w:autoSpaceDE/>
              <w:autoSpaceDN/>
              <w:bidi w:val="0"/>
              <w:spacing w:line="400" w:lineRule="exact"/>
              <w:ind w:firstLine="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406" w:type="dxa"/>
            <w:vMerge w:val="restart"/>
            <w:tcBorders>
              <w:top w:val="single" w:color="auto" w:sz="4" w:space="0"/>
              <w:left w:val="single" w:color="auto" w:sz="4" w:space="0"/>
              <w:bottom w:val="single" w:color="auto" w:sz="4" w:space="0"/>
              <w:right w:val="single" w:color="auto" w:sz="4" w:space="0"/>
            </w:tcBorders>
            <w:vAlign w:val="center"/>
          </w:tcPr>
          <w:p w14:paraId="5F851014">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的响应程度审查</w:t>
            </w:r>
          </w:p>
        </w:tc>
        <w:tc>
          <w:tcPr>
            <w:tcW w:w="2128" w:type="dxa"/>
            <w:tcBorders>
              <w:top w:val="single" w:color="auto" w:sz="4" w:space="0"/>
              <w:left w:val="single" w:color="auto" w:sz="4" w:space="0"/>
              <w:bottom w:val="single" w:color="auto" w:sz="4" w:space="0"/>
              <w:right w:val="single" w:color="auto" w:sz="4" w:space="0"/>
            </w:tcBorders>
            <w:vAlign w:val="center"/>
          </w:tcPr>
          <w:p w14:paraId="3B61434F">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响应文件内容</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519B7AA5">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第二篇、第三篇规定的内容作出响应。</w:t>
            </w:r>
          </w:p>
        </w:tc>
      </w:tr>
      <w:tr w14:paraId="51392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726" w:hRule="atLeast"/>
          <w:jc w:val="center"/>
        </w:trPr>
        <w:tc>
          <w:tcPr>
            <w:tcW w:w="672" w:type="dxa"/>
            <w:vMerge w:val="continue"/>
            <w:tcBorders>
              <w:top w:val="single" w:color="auto" w:sz="4" w:space="0"/>
              <w:left w:val="single" w:color="auto" w:sz="4" w:space="0"/>
              <w:bottom w:val="single" w:color="auto" w:sz="4" w:space="0"/>
              <w:right w:val="single" w:color="auto" w:sz="4" w:space="0"/>
            </w:tcBorders>
            <w:vAlign w:val="center"/>
          </w:tcPr>
          <w:p w14:paraId="68AB222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p>
        </w:tc>
        <w:tc>
          <w:tcPr>
            <w:tcW w:w="1406" w:type="dxa"/>
            <w:vMerge w:val="continue"/>
            <w:tcBorders>
              <w:top w:val="single" w:color="auto" w:sz="4" w:space="0"/>
              <w:left w:val="single" w:color="auto" w:sz="4" w:space="0"/>
              <w:bottom w:val="single" w:color="auto" w:sz="4" w:space="0"/>
              <w:right w:val="single" w:color="auto" w:sz="4" w:space="0"/>
            </w:tcBorders>
            <w:vAlign w:val="center"/>
          </w:tcPr>
          <w:p w14:paraId="3F51A687">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zh-CN"/>
              </w:rPr>
            </w:pPr>
          </w:p>
        </w:tc>
        <w:tc>
          <w:tcPr>
            <w:tcW w:w="2128" w:type="dxa"/>
            <w:tcBorders>
              <w:top w:val="single" w:color="auto" w:sz="4" w:space="0"/>
              <w:left w:val="single" w:color="auto" w:sz="4" w:space="0"/>
              <w:bottom w:val="single" w:color="auto" w:sz="4" w:space="0"/>
              <w:right w:val="single" w:color="auto" w:sz="4" w:space="0"/>
            </w:tcBorders>
            <w:vAlign w:val="center"/>
          </w:tcPr>
          <w:p w14:paraId="18DA1843">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有效期</w:t>
            </w:r>
          </w:p>
        </w:tc>
        <w:tc>
          <w:tcPr>
            <w:tcW w:w="5225" w:type="dxa"/>
            <w:gridSpan w:val="2"/>
            <w:tcBorders>
              <w:top w:val="single" w:color="auto" w:sz="4" w:space="0"/>
              <w:left w:val="single" w:color="auto" w:sz="4" w:space="0"/>
              <w:bottom w:val="single" w:color="auto" w:sz="4" w:space="0"/>
              <w:right w:val="single" w:color="auto" w:sz="4" w:space="0"/>
            </w:tcBorders>
            <w:vAlign w:val="center"/>
          </w:tcPr>
          <w:p w14:paraId="29CEF8E9">
            <w:pPr>
              <w:pStyle w:val="13"/>
              <w:pageBreakBefore w:val="0"/>
              <w:widowControl w:val="0"/>
              <w:kinsoku/>
              <w:wordWrap/>
              <w:overflowPunct/>
              <w:topLinePunct w:val="0"/>
              <w:autoSpaceDE/>
              <w:autoSpaceDN/>
              <w:bidi w:val="0"/>
              <w:spacing w:line="400" w:lineRule="exact"/>
              <w:ind w:firstLine="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满足</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lang w:val="zh-CN"/>
              </w:rPr>
              <w:t>规定。</w:t>
            </w:r>
          </w:p>
        </w:tc>
      </w:tr>
    </w:tbl>
    <w:p w14:paraId="1E0FCB7E">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三</w:t>
      </w:r>
      <w:r>
        <w:rPr>
          <w:rFonts w:hint="eastAsia" w:ascii="宋体" w:hAnsi="宋体" w:cs="宋体"/>
          <w:color w:val="auto"/>
          <w:kern w:val="0"/>
          <w:sz w:val="24"/>
          <w:szCs w:val="24"/>
          <w:highlight w:val="none"/>
        </w:rPr>
        <w:t>）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09AC8F42">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四</w:t>
      </w:r>
      <w:r>
        <w:rPr>
          <w:rFonts w:hint="eastAsia" w:ascii="宋体" w:hAnsi="宋体" w:cs="宋体"/>
          <w:color w:val="auto"/>
          <w:kern w:val="0"/>
          <w:sz w:val="24"/>
          <w:szCs w:val="24"/>
          <w:highlight w:val="none"/>
        </w:rPr>
        <w:t>）评审小组要求供应商澄清、说明或者更正响应文件应当以书面形式作出。供应商的澄清、说明或者更正应当由法定代表人或其授权代表签字或者加盖公章。由授权代表签字的，应当附法定代表人授权书。</w:t>
      </w:r>
    </w:p>
    <w:p w14:paraId="7555A4A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五</w:t>
      </w:r>
      <w:r>
        <w:rPr>
          <w:rFonts w:hint="eastAsia" w:ascii="宋体" w:hAnsi="宋体" w:cs="宋体"/>
          <w:color w:val="auto"/>
          <w:kern w:val="0"/>
          <w:sz w:val="24"/>
          <w:szCs w:val="24"/>
          <w:highlight w:val="none"/>
        </w:rPr>
        <w:t>）评审小组采用综合评分法对供应商的响应文件进行综合评分。综合评分法，是指响应文件</w:t>
      </w:r>
      <w:r>
        <w:rPr>
          <w:rFonts w:ascii="宋体" w:hAnsi="宋体" w:cs="宋体"/>
          <w:color w:val="auto"/>
          <w:kern w:val="0"/>
          <w:sz w:val="24"/>
          <w:szCs w:val="24"/>
          <w:highlight w:val="none"/>
        </w:rPr>
        <w:t>满足</w:t>
      </w:r>
      <w:r>
        <w:rPr>
          <w:rFonts w:hint="eastAsia" w:ascii="宋体" w:hAnsi="宋体" w:cs="宋体"/>
          <w:color w:val="auto"/>
          <w:kern w:val="0"/>
          <w:sz w:val="24"/>
          <w:szCs w:val="24"/>
          <w:highlight w:val="none"/>
        </w:rPr>
        <w:t>网上</w:t>
      </w:r>
      <w:r>
        <w:rPr>
          <w:rFonts w:hint="eastAsia" w:ascii="宋体" w:hAnsi="宋体" w:cs="宋体"/>
          <w:color w:val="auto"/>
          <w:kern w:val="0"/>
          <w:sz w:val="24"/>
          <w:szCs w:val="24"/>
          <w:highlight w:val="none"/>
          <w:lang w:eastAsia="zh-CN"/>
        </w:rPr>
        <w:t>比选文件</w:t>
      </w:r>
      <w:r>
        <w:rPr>
          <w:rFonts w:ascii="宋体" w:hAnsi="宋体" w:cs="宋体"/>
          <w:color w:val="auto"/>
          <w:kern w:val="0"/>
          <w:sz w:val="24"/>
          <w:szCs w:val="24"/>
          <w:highlight w:val="none"/>
        </w:rPr>
        <w:t>全部实质性要求且按照评审因素的量化指标评审得分最高的供应商为</w:t>
      </w:r>
      <w:r>
        <w:rPr>
          <w:rFonts w:hint="eastAsia" w:ascii="宋体" w:hAnsi="宋体" w:cs="宋体"/>
          <w:color w:val="auto"/>
          <w:kern w:val="0"/>
          <w:sz w:val="24"/>
          <w:szCs w:val="24"/>
          <w:highlight w:val="none"/>
        </w:rPr>
        <w:t>成交</w:t>
      </w:r>
      <w:r>
        <w:rPr>
          <w:rFonts w:ascii="宋体" w:hAnsi="宋体" w:cs="宋体"/>
          <w:color w:val="auto"/>
          <w:kern w:val="0"/>
          <w:sz w:val="24"/>
          <w:szCs w:val="24"/>
          <w:highlight w:val="none"/>
        </w:rPr>
        <w:t>候选</w:t>
      </w:r>
      <w:r>
        <w:rPr>
          <w:rFonts w:hint="eastAsia" w:ascii="宋体" w:hAnsi="宋体" w:cs="宋体"/>
          <w:color w:val="auto"/>
          <w:kern w:val="0"/>
          <w:sz w:val="24"/>
          <w:szCs w:val="24"/>
          <w:highlight w:val="none"/>
        </w:rPr>
        <w:t>供应商</w:t>
      </w:r>
      <w:r>
        <w:rPr>
          <w:rFonts w:ascii="宋体" w:hAnsi="宋体" w:cs="宋体"/>
          <w:color w:val="auto"/>
          <w:kern w:val="0"/>
          <w:sz w:val="24"/>
          <w:szCs w:val="24"/>
          <w:highlight w:val="none"/>
        </w:rPr>
        <w:t>的</w:t>
      </w:r>
      <w:r>
        <w:rPr>
          <w:rFonts w:hint="eastAsia" w:ascii="宋体" w:hAnsi="宋体" w:cs="宋体"/>
          <w:color w:val="auto"/>
          <w:kern w:val="0"/>
          <w:sz w:val="24"/>
          <w:szCs w:val="24"/>
          <w:highlight w:val="none"/>
        </w:rPr>
        <w:t>评审</w:t>
      </w:r>
      <w:r>
        <w:rPr>
          <w:rFonts w:ascii="宋体" w:hAnsi="宋体" w:cs="宋体"/>
          <w:color w:val="auto"/>
          <w:kern w:val="0"/>
          <w:sz w:val="24"/>
          <w:szCs w:val="24"/>
          <w:highlight w:val="none"/>
        </w:rPr>
        <w:t>方法</w:t>
      </w:r>
      <w:r>
        <w:rPr>
          <w:rFonts w:hint="eastAsia" w:ascii="宋体" w:hAnsi="宋体" w:cs="宋体"/>
          <w:color w:val="auto"/>
          <w:kern w:val="0"/>
          <w:sz w:val="24"/>
          <w:szCs w:val="24"/>
          <w:highlight w:val="none"/>
        </w:rPr>
        <w:t>。供应商总得分为价格、</w:t>
      </w:r>
      <w:r>
        <w:rPr>
          <w:rFonts w:hint="eastAsia" w:ascii="宋体" w:hAnsi="宋体" w:cs="宋体"/>
          <w:color w:val="auto"/>
          <w:kern w:val="0"/>
          <w:sz w:val="24"/>
          <w:szCs w:val="24"/>
          <w:highlight w:val="none"/>
          <w:lang w:eastAsia="zh-CN"/>
        </w:rPr>
        <w:t>技术</w:t>
      </w:r>
      <w:r>
        <w:rPr>
          <w:rFonts w:hint="eastAsia" w:ascii="宋体" w:hAnsi="宋体" w:cs="宋体"/>
          <w:color w:val="auto"/>
          <w:kern w:val="0"/>
          <w:sz w:val="24"/>
          <w:szCs w:val="24"/>
          <w:highlight w:val="none"/>
        </w:rPr>
        <w:t>、商务等评定因素分别按照相应权重值计算分项得分后相加，</w:t>
      </w:r>
      <w:r>
        <w:rPr>
          <w:rFonts w:hint="eastAsia" w:ascii="宋体" w:hAnsi="宋体" w:cs="宋体"/>
          <w:color w:val="auto"/>
          <w:sz w:val="24"/>
          <w:szCs w:val="24"/>
          <w:highlight w:val="none"/>
        </w:rPr>
        <w:t>满分为10</w:t>
      </w:r>
      <w:r>
        <w:rPr>
          <w:rFonts w:hint="eastAsia" w:ascii="宋体" w:hAnsi="宋体" w:cs="宋体"/>
          <w:color w:val="auto"/>
          <w:sz w:val="24"/>
          <w:szCs w:val="24"/>
          <w:highlight w:val="none"/>
          <w:lang w:val="en-US" w:eastAsia="zh-CN"/>
        </w:rPr>
        <w:t>0分</w:t>
      </w:r>
      <w:r>
        <w:rPr>
          <w:rFonts w:hint="eastAsia" w:ascii="宋体" w:hAnsi="宋体" w:cs="宋体"/>
          <w:color w:val="auto"/>
          <w:sz w:val="24"/>
          <w:szCs w:val="24"/>
          <w:highlight w:val="none"/>
        </w:rPr>
        <w:t>。</w:t>
      </w:r>
    </w:p>
    <w:p w14:paraId="5FB221B5">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eastAsia="zh-CN"/>
        </w:rPr>
        <w:t>六</w:t>
      </w:r>
      <w:r>
        <w:rPr>
          <w:rFonts w:hint="eastAsia" w:ascii="宋体" w:hAnsi="宋体" w:cs="宋体"/>
          <w:color w:val="auto"/>
          <w:kern w:val="0"/>
          <w:sz w:val="24"/>
          <w:szCs w:val="24"/>
          <w:highlight w:val="none"/>
        </w:rPr>
        <w:t>）评审小组各成员独立对每个有效响应（通过资格审查、符合性审查的供应商）的文件进行评价、打分，</w:t>
      </w:r>
      <w:r>
        <w:rPr>
          <w:rFonts w:hint="eastAsia" w:ascii="宋体" w:hAnsi="宋体" w:cs="宋体"/>
          <w:color w:val="auto"/>
          <w:sz w:val="24"/>
          <w:szCs w:val="24"/>
          <w:highlight w:val="none"/>
        </w:rPr>
        <w:t>然后由评审小组对各成员打分情况进行核查及复核，个别成员对同一供应商同一评分项的打分偏离较大的，应对供应商的</w:t>
      </w:r>
      <w:r>
        <w:rPr>
          <w:rFonts w:hint="eastAsia" w:ascii="宋体" w:hAnsi="宋体" w:cs="宋体"/>
          <w:color w:val="auto"/>
          <w:sz w:val="24"/>
          <w:szCs w:val="24"/>
          <w:highlight w:val="none"/>
          <w:lang w:eastAsia="zh-CN"/>
        </w:rPr>
        <w:t>响应</w:t>
      </w:r>
      <w:r>
        <w:rPr>
          <w:rFonts w:hint="eastAsia" w:ascii="宋体" w:hAnsi="宋体" w:cs="宋体"/>
          <w:color w:val="auto"/>
          <w:sz w:val="24"/>
          <w:szCs w:val="24"/>
          <w:highlight w:val="none"/>
        </w:rPr>
        <w:t>进行再次核对，确属打分有误的，应及时进行修正。复核后，评审小组汇总每个供应商每项评分因素的得分</w:t>
      </w:r>
      <w:r>
        <w:rPr>
          <w:rFonts w:hint="eastAsia" w:ascii="宋体" w:hAnsi="宋体" w:cs="宋体"/>
          <w:color w:val="auto"/>
          <w:kern w:val="0"/>
          <w:sz w:val="24"/>
          <w:szCs w:val="24"/>
          <w:highlight w:val="none"/>
        </w:rPr>
        <w:t>，并根据综合评分情况按照评审得分由高到低顺序推荐成交候选供应商，并编写评审报告。若供应商的评审得分相同的，按照</w:t>
      </w:r>
      <w:r>
        <w:rPr>
          <w:rFonts w:hint="eastAsia" w:ascii="宋体" w:hAnsi="宋体" w:cs="宋体"/>
          <w:color w:val="auto"/>
          <w:kern w:val="0"/>
          <w:sz w:val="24"/>
          <w:szCs w:val="24"/>
          <w:highlight w:val="none"/>
          <w:lang w:eastAsia="zh-CN"/>
        </w:rPr>
        <w:t>比选</w:t>
      </w:r>
      <w:r>
        <w:rPr>
          <w:rFonts w:hint="eastAsia" w:ascii="宋体" w:hAnsi="宋体" w:cs="宋体"/>
          <w:color w:val="auto"/>
          <w:kern w:val="0"/>
          <w:sz w:val="24"/>
          <w:szCs w:val="24"/>
          <w:highlight w:val="none"/>
        </w:rPr>
        <w:t>报价由低到高的顺序排列推荐。评审得分且</w:t>
      </w:r>
      <w:r>
        <w:rPr>
          <w:rFonts w:hint="eastAsia" w:ascii="宋体" w:hAnsi="宋体" w:cs="宋体"/>
          <w:color w:val="auto"/>
          <w:kern w:val="0"/>
          <w:sz w:val="24"/>
          <w:szCs w:val="24"/>
          <w:highlight w:val="none"/>
          <w:lang w:eastAsia="zh-CN"/>
        </w:rPr>
        <w:t>比选</w:t>
      </w:r>
      <w:r>
        <w:rPr>
          <w:rFonts w:hint="eastAsia" w:ascii="宋体" w:hAnsi="宋体" w:cs="宋体"/>
          <w:color w:val="auto"/>
          <w:kern w:val="0"/>
          <w:sz w:val="24"/>
          <w:szCs w:val="24"/>
          <w:highlight w:val="none"/>
        </w:rPr>
        <w:t>报价相同的，按照</w:t>
      </w:r>
      <w:r>
        <w:rPr>
          <w:rFonts w:hint="eastAsia" w:ascii="宋体" w:hAnsi="宋体" w:cs="宋体"/>
          <w:color w:val="auto"/>
          <w:kern w:val="0"/>
          <w:sz w:val="24"/>
          <w:szCs w:val="24"/>
          <w:highlight w:val="none"/>
          <w:lang w:eastAsia="zh-CN"/>
        </w:rPr>
        <w:t>服务</w:t>
      </w:r>
      <w:r>
        <w:rPr>
          <w:rFonts w:hint="eastAsia" w:ascii="宋体" w:hAnsi="宋体" w:cs="宋体"/>
          <w:color w:val="auto"/>
          <w:kern w:val="0"/>
          <w:sz w:val="24"/>
          <w:szCs w:val="24"/>
          <w:highlight w:val="none"/>
        </w:rPr>
        <w:t>指标优劣顺序排列推荐。若供应商的</w:t>
      </w:r>
      <w:r>
        <w:rPr>
          <w:rFonts w:hint="eastAsia" w:ascii="宋体" w:hAnsi="宋体" w:cs="宋体"/>
          <w:color w:val="auto"/>
          <w:kern w:val="0"/>
          <w:sz w:val="24"/>
          <w:szCs w:val="24"/>
          <w:highlight w:val="none"/>
          <w:lang w:eastAsia="zh-CN"/>
        </w:rPr>
        <w:t>服务</w:t>
      </w:r>
      <w:r>
        <w:rPr>
          <w:rFonts w:hint="eastAsia" w:ascii="宋体" w:hAnsi="宋体" w:cs="宋体"/>
          <w:color w:val="auto"/>
          <w:kern w:val="0"/>
          <w:sz w:val="24"/>
          <w:szCs w:val="24"/>
          <w:highlight w:val="none"/>
        </w:rPr>
        <w:t>部分为0分，将失去成为成交候选供应商的资格。</w:t>
      </w:r>
      <w:bookmarkStart w:id="73" w:name="_Toc104806988"/>
      <w:bookmarkStart w:id="74" w:name="_Toc15278"/>
      <w:bookmarkStart w:id="75" w:name="_Toc1719"/>
    </w:p>
    <w:p w14:paraId="24746C35">
      <w:pPr>
        <w:pageBreakBefore w:val="0"/>
        <w:widowControl w:val="0"/>
        <w:kinsoku/>
        <w:wordWrap/>
        <w:overflowPunct/>
        <w:topLinePunct w:val="0"/>
        <w:autoSpaceDE/>
        <w:autoSpaceDN/>
        <w:bidi w:val="0"/>
        <w:spacing w:line="400" w:lineRule="exact"/>
        <w:ind w:firstLine="482" w:firstLineChars="200"/>
        <w:textAlignment w:val="auto"/>
        <w:rPr>
          <w:rFonts w:hint="eastAsia" w:ascii="宋体" w:hAnsi="宋体" w:cs="宋体"/>
          <w:color w:val="auto"/>
          <w:kern w:val="0"/>
          <w:sz w:val="24"/>
          <w:szCs w:val="24"/>
          <w:highlight w:val="none"/>
        </w:rPr>
      </w:pPr>
      <w:r>
        <w:rPr>
          <w:rFonts w:hint="eastAsia" w:ascii="宋体" w:hAnsi="宋体" w:eastAsia="宋体" w:cs="宋体"/>
          <w:b/>
          <w:bCs/>
          <w:color w:val="auto"/>
          <w:sz w:val="24"/>
          <w:szCs w:val="24"/>
          <w:highlight w:val="none"/>
          <w:lang w:eastAsia="zh-CN"/>
        </w:rPr>
        <w:t>二、评审标准</w:t>
      </w:r>
    </w:p>
    <w:tbl>
      <w:tblPr>
        <w:tblStyle w:val="25"/>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035"/>
        <w:gridCol w:w="1195"/>
        <w:gridCol w:w="5150"/>
        <w:gridCol w:w="1935"/>
      </w:tblGrid>
      <w:tr w14:paraId="652C9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765" w:type="dxa"/>
            <w:noWrap w:val="0"/>
            <w:vAlign w:val="center"/>
          </w:tcPr>
          <w:p w14:paraId="470679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lang w:val="zh-CN"/>
              </w:rPr>
            </w:pPr>
            <w:bookmarkStart w:id="76" w:name="_Toc24791"/>
            <w:r>
              <w:rPr>
                <w:rFonts w:hint="eastAsia" w:ascii="宋体" w:hAnsi="宋体" w:eastAsia="宋体" w:cs="宋体"/>
                <w:b/>
                <w:bCs/>
                <w:color w:val="auto"/>
                <w:sz w:val="24"/>
                <w:szCs w:val="24"/>
                <w:lang w:val="zh-CN"/>
              </w:rPr>
              <w:t>序号</w:t>
            </w:r>
          </w:p>
        </w:tc>
        <w:tc>
          <w:tcPr>
            <w:tcW w:w="1035" w:type="dxa"/>
            <w:noWrap w:val="0"/>
            <w:vAlign w:val="center"/>
          </w:tcPr>
          <w:p w14:paraId="7AB545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评分因素及权重</w:t>
            </w:r>
          </w:p>
        </w:tc>
        <w:tc>
          <w:tcPr>
            <w:tcW w:w="1195" w:type="dxa"/>
            <w:noWrap w:val="0"/>
            <w:vAlign w:val="center"/>
          </w:tcPr>
          <w:p w14:paraId="089CB1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分值</w:t>
            </w:r>
          </w:p>
        </w:tc>
        <w:tc>
          <w:tcPr>
            <w:tcW w:w="5150" w:type="dxa"/>
            <w:noWrap w:val="0"/>
            <w:vAlign w:val="center"/>
          </w:tcPr>
          <w:p w14:paraId="56D218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评分标准</w:t>
            </w:r>
          </w:p>
        </w:tc>
        <w:tc>
          <w:tcPr>
            <w:tcW w:w="1935" w:type="dxa"/>
            <w:noWrap w:val="0"/>
            <w:vAlign w:val="center"/>
          </w:tcPr>
          <w:p w14:paraId="2F2FC3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4"/>
                <w:szCs w:val="24"/>
                <w:lang w:val="zh-CN"/>
              </w:rPr>
            </w:pPr>
            <w:r>
              <w:rPr>
                <w:rFonts w:hint="eastAsia" w:ascii="宋体" w:hAnsi="宋体" w:eastAsia="宋体" w:cs="宋体"/>
                <w:b/>
                <w:bCs/>
                <w:color w:val="auto"/>
                <w:sz w:val="24"/>
                <w:szCs w:val="24"/>
                <w:lang w:val="zh-CN"/>
              </w:rPr>
              <w:t>说明</w:t>
            </w:r>
          </w:p>
        </w:tc>
      </w:tr>
      <w:tr w14:paraId="6768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4" w:hRule="atLeast"/>
          <w:jc w:val="center"/>
        </w:trPr>
        <w:tc>
          <w:tcPr>
            <w:tcW w:w="765" w:type="dxa"/>
            <w:noWrap w:val="0"/>
            <w:vAlign w:val="center"/>
          </w:tcPr>
          <w:p w14:paraId="05DE45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1</w:t>
            </w:r>
          </w:p>
        </w:tc>
        <w:tc>
          <w:tcPr>
            <w:tcW w:w="1035" w:type="dxa"/>
            <w:noWrap w:val="0"/>
            <w:vAlign w:val="center"/>
          </w:tcPr>
          <w:p w14:paraId="18F06D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lang w:val="zh-CN" w:eastAsia="zh-CN"/>
              </w:rPr>
              <w:t>报价</w:t>
            </w:r>
            <w:r>
              <w:rPr>
                <w:rFonts w:hint="eastAsia" w:ascii="宋体" w:hAnsi="宋体" w:eastAsia="宋体" w:cs="宋体"/>
                <w:color w:val="auto"/>
                <w:sz w:val="24"/>
                <w:szCs w:val="24"/>
                <w:lang w:val="en-US" w:eastAsia="zh-CN"/>
              </w:rPr>
              <w:t>（15%）</w:t>
            </w:r>
          </w:p>
        </w:tc>
        <w:tc>
          <w:tcPr>
            <w:tcW w:w="1195" w:type="dxa"/>
            <w:noWrap w:val="0"/>
            <w:vAlign w:val="center"/>
          </w:tcPr>
          <w:p w14:paraId="11A77A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en-US" w:eastAsia="zh-CN"/>
              </w:rPr>
              <w:t>15</w:t>
            </w:r>
            <w:r>
              <w:rPr>
                <w:rFonts w:hint="eastAsia" w:ascii="宋体" w:hAnsi="宋体" w:eastAsia="宋体" w:cs="宋体"/>
                <w:color w:val="auto"/>
                <w:sz w:val="24"/>
                <w:szCs w:val="24"/>
                <w:lang w:val="zh-CN" w:eastAsia="zh-CN"/>
              </w:rPr>
              <w:t>分</w:t>
            </w:r>
          </w:p>
        </w:tc>
        <w:tc>
          <w:tcPr>
            <w:tcW w:w="5150" w:type="dxa"/>
            <w:noWrap w:val="0"/>
            <w:vAlign w:val="center"/>
          </w:tcPr>
          <w:p w14:paraId="250C2D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满足资格要求且最后报价最低的供应商的价格为</w:t>
            </w:r>
            <w:r>
              <w:rPr>
                <w:rFonts w:hint="eastAsia" w:ascii="宋体" w:hAnsi="宋体" w:eastAsia="宋体" w:cs="宋体"/>
                <w:color w:val="auto"/>
                <w:sz w:val="24"/>
                <w:szCs w:val="24"/>
                <w:lang w:val="en-US" w:eastAsia="zh-CN"/>
              </w:rPr>
              <w:t>评标</w:t>
            </w:r>
            <w:r>
              <w:rPr>
                <w:rFonts w:hint="eastAsia" w:ascii="宋体" w:hAnsi="宋体" w:eastAsia="宋体" w:cs="宋体"/>
                <w:color w:val="auto"/>
                <w:sz w:val="24"/>
                <w:szCs w:val="24"/>
                <w:lang w:val="zh-CN" w:eastAsia="zh-CN"/>
              </w:rPr>
              <w:t>基准价，按照下列公式计算每个供应商的</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lang w:val="zh-CN" w:eastAsia="zh-CN"/>
              </w:rPr>
              <w:t>报价得分。</w:t>
            </w:r>
          </w:p>
          <w:p w14:paraId="4E82E3A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lang w:val="zh-CN" w:eastAsia="zh-CN"/>
              </w:rPr>
              <w:t>报价得分=（</w:t>
            </w:r>
            <w:r>
              <w:rPr>
                <w:rFonts w:hint="eastAsia" w:ascii="宋体" w:hAnsi="宋体" w:eastAsia="宋体" w:cs="宋体"/>
                <w:color w:val="auto"/>
                <w:sz w:val="24"/>
                <w:szCs w:val="24"/>
                <w:lang w:val="en-US" w:eastAsia="zh-CN"/>
              </w:rPr>
              <w:t>评标</w:t>
            </w:r>
            <w:r>
              <w:rPr>
                <w:rFonts w:hint="eastAsia" w:ascii="宋体" w:hAnsi="宋体" w:eastAsia="宋体" w:cs="宋体"/>
                <w:color w:val="auto"/>
                <w:sz w:val="24"/>
                <w:szCs w:val="24"/>
                <w:lang w:val="zh-CN" w:eastAsia="zh-CN"/>
              </w:rPr>
              <w:t>基准价/</w:t>
            </w:r>
            <w:r>
              <w:rPr>
                <w:rFonts w:hint="eastAsia" w:ascii="宋体" w:hAnsi="宋体" w:eastAsia="宋体" w:cs="宋体"/>
                <w:color w:val="auto"/>
                <w:sz w:val="24"/>
                <w:szCs w:val="24"/>
                <w:lang w:val="en-US" w:eastAsia="zh-CN"/>
              </w:rPr>
              <w:t>比选</w:t>
            </w:r>
            <w:r>
              <w:rPr>
                <w:rFonts w:hint="eastAsia" w:ascii="宋体" w:hAnsi="宋体" w:eastAsia="宋体" w:cs="宋体"/>
                <w:color w:val="auto"/>
                <w:sz w:val="24"/>
                <w:szCs w:val="24"/>
                <w:lang w:val="zh-CN" w:eastAsia="zh-CN"/>
              </w:rPr>
              <w:t>报价）×价格权值×100</w:t>
            </w:r>
          </w:p>
        </w:tc>
        <w:tc>
          <w:tcPr>
            <w:tcW w:w="1935" w:type="dxa"/>
            <w:noWrap w:val="0"/>
            <w:vAlign w:val="center"/>
          </w:tcPr>
          <w:p w14:paraId="41E722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zh-CN" w:eastAsia="zh-CN"/>
              </w:rPr>
            </w:pPr>
          </w:p>
        </w:tc>
      </w:tr>
      <w:tr w14:paraId="57C5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765" w:type="dxa"/>
            <w:vMerge w:val="restart"/>
            <w:noWrap w:val="0"/>
            <w:vAlign w:val="center"/>
          </w:tcPr>
          <w:p w14:paraId="5170F7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2</w:t>
            </w:r>
          </w:p>
        </w:tc>
        <w:tc>
          <w:tcPr>
            <w:tcW w:w="1035" w:type="dxa"/>
            <w:vMerge w:val="restart"/>
            <w:noWrap w:val="0"/>
            <w:vAlign w:val="center"/>
          </w:tcPr>
          <w:p w14:paraId="7DB7EE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lang w:val="zh-CN"/>
              </w:rPr>
              <w:t>部分</w:t>
            </w:r>
          </w:p>
          <w:p w14:paraId="4E834D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lang w:val="en-US" w:eastAsia="zh-CN"/>
              </w:rPr>
              <w:t>50</w:t>
            </w:r>
            <w:r>
              <w:rPr>
                <w:rFonts w:hint="eastAsia" w:ascii="宋体" w:hAnsi="宋体" w:eastAsia="宋体" w:cs="宋体"/>
                <w:color w:val="auto"/>
                <w:sz w:val="24"/>
                <w:szCs w:val="24"/>
                <w:lang w:val="zh-CN"/>
              </w:rPr>
              <w:t>%）</w:t>
            </w:r>
          </w:p>
        </w:tc>
        <w:tc>
          <w:tcPr>
            <w:tcW w:w="1195" w:type="dxa"/>
            <w:noWrap w:val="0"/>
            <w:vAlign w:val="center"/>
          </w:tcPr>
          <w:p w14:paraId="0EDA92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对项目有充分的了解和认识（</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val="zh-CN" w:eastAsia="zh-CN"/>
              </w:rPr>
              <w:t>分）</w:t>
            </w:r>
          </w:p>
        </w:tc>
        <w:tc>
          <w:tcPr>
            <w:tcW w:w="5150" w:type="dxa"/>
            <w:noWrap w:val="0"/>
            <w:vAlign w:val="center"/>
          </w:tcPr>
          <w:p w14:paraId="06ADAD00">
            <w:pPr>
              <w:keepNext w:val="0"/>
              <w:keepLines w:val="0"/>
              <w:pageBreakBefore w:val="0"/>
              <w:widowControl w:val="0"/>
              <w:numPr>
                <w:ilvl w:val="0"/>
                <w:numId w:val="2"/>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根据比选文件的服务内容和要求，提供对本项目的了解和认识包含以下几个方面：①</w:t>
            </w:r>
            <w:r>
              <w:rPr>
                <w:rFonts w:hint="eastAsia" w:ascii="宋体" w:hAnsi="宋体" w:eastAsia="宋体" w:cs="宋体"/>
                <w:color w:val="auto"/>
                <w:sz w:val="24"/>
                <w:szCs w:val="24"/>
                <w:highlight w:val="none"/>
                <w:lang w:val="zh-CN" w:eastAsia="zh-CN"/>
              </w:rPr>
              <w:t>项目的背景</w:t>
            </w:r>
            <w:r>
              <w:rPr>
                <w:rFonts w:hint="eastAsia" w:ascii="宋体" w:hAnsi="宋体" w:eastAsia="宋体" w:cs="宋体"/>
                <w:color w:val="auto"/>
                <w:sz w:val="24"/>
                <w:szCs w:val="24"/>
                <w:highlight w:val="none"/>
                <w:lang w:val="en-US" w:eastAsia="zh-CN"/>
              </w:rPr>
              <w:t>理解；②</w:t>
            </w:r>
            <w:r>
              <w:rPr>
                <w:rFonts w:hint="eastAsia" w:ascii="宋体" w:hAnsi="宋体" w:eastAsia="宋体" w:cs="宋体"/>
                <w:color w:val="auto"/>
                <w:sz w:val="24"/>
                <w:szCs w:val="24"/>
                <w:highlight w:val="none"/>
                <w:lang w:val="zh-CN" w:eastAsia="zh-CN"/>
              </w:rPr>
              <w:t>工作内容</w:t>
            </w:r>
            <w:r>
              <w:rPr>
                <w:rFonts w:hint="eastAsia" w:ascii="宋体" w:hAnsi="宋体" w:eastAsia="宋体" w:cs="宋体"/>
                <w:color w:val="auto"/>
                <w:sz w:val="24"/>
                <w:szCs w:val="24"/>
                <w:highlight w:val="none"/>
                <w:lang w:val="en-US" w:eastAsia="zh-CN"/>
              </w:rPr>
              <w:t>；③成果提交时间节点等。</w:t>
            </w:r>
          </w:p>
          <w:p w14:paraId="6D243A2D">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内容全面、无漏项、不存在瑕疵，得分10分；</w:t>
            </w:r>
          </w:p>
          <w:p w14:paraId="67B6639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存在1处瑕疵，得7分；</w:t>
            </w:r>
          </w:p>
          <w:p w14:paraId="0CDE682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存在2处瑕疵，得5分；</w:t>
            </w:r>
          </w:p>
          <w:p w14:paraId="42C8C8F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存在3处瑕疵，得3分；</w:t>
            </w:r>
          </w:p>
          <w:p w14:paraId="28E443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存在4处及以上瑕疵或未提供，得0分。</w:t>
            </w:r>
          </w:p>
        </w:tc>
        <w:tc>
          <w:tcPr>
            <w:tcW w:w="1935" w:type="dxa"/>
            <w:vMerge w:val="restart"/>
            <w:noWrap w:val="0"/>
            <w:vAlign w:val="center"/>
          </w:tcPr>
          <w:p w14:paraId="7DF43EF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①提供方案，格式自拟。</w:t>
            </w:r>
          </w:p>
          <w:p w14:paraId="0391618B">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②注：</w:t>
            </w:r>
          </w:p>
          <w:p w14:paraId="346FD2B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highlight w:val="none"/>
                <w:lang w:val="en-US" w:eastAsia="zh-CN"/>
              </w:rPr>
              <w:t>本项内容中所称的“瑕疵”指方案内容缺项、内容表述不完整或缺少关键分析点，方案内容表述前后矛盾、无连贯性，内容存在逻辑漏洞、常识错误、服务措施保障安排并不适用本项目特性或非专门针对本项目制定、方案中提出的措施举措不利于本项目目标的实现、现有技术条件下不可能出现的情形等任意一种情形。</w:t>
            </w:r>
          </w:p>
        </w:tc>
      </w:tr>
      <w:tr w14:paraId="094F4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765" w:type="dxa"/>
            <w:vMerge w:val="continue"/>
            <w:noWrap w:val="0"/>
            <w:vAlign w:val="center"/>
          </w:tcPr>
          <w:p w14:paraId="2FCE7D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035" w:type="dxa"/>
            <w:vMerge w:val="continue"/>
            <w:noWrap w:val="0"/>
            <w:vAlign w:val="center"/>
          </w:tcPr>
          <w:p w14:paraId="002A33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195" w:type="dxa"/>
            <w:noWrap w:val="0"/>
            <w:vAlign w:val="center"/>
          </w:tcPr>
          <w:p w14:paraId="55DECD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项目实施方案（</w:t>
            </w:r>
            <w:r>
              <w:rPr>
                <w:rFonts w:hint="eastAsia" w:ascii="宋体" w:hAnsi="宋体" w:eastAsia="宋体" w:cs="宋体"/>
                <w:color w:val="auto"/>
                <w:sz w:val="24"/>
                <w:szCs w:val="24"/>
                <w:lang w:val="en-US" w:eastAsia="zh-CN"/>
              </w:rPr>
              <w:t>15</w:t>
            </w:r>
            <w:r>
              <w:rPr>
                <w:rFonts w:hint="eastAsia" w:ascii="宋体" w:hAnsi="宋体" w:eastAsia="宋体" w:cs="宋体"/>
                <w:color w:val="auto"/>
                <w:sz w:val="24"/>
                <w:szCs w:val="24"/>
                <w:lang w:val="zh-CN" w:eastAsia="zh-CN"/>
              </w:rPr>
              <w:t>分）</w:t>
            </w:r>
          </w:p>
        </w:tc>
        <w:tc>
          <w:tcPr>
            <w:tcW w:w="5150" w:type="dxa"/>
            <w:noWrap w:val="0"/>
            <w:vAlign w:val="center"/>
          </w:tcPr>
          <w:p w14:paraId="3DEFECD7">
            <w:pPr>
              <w:keepNext w:val="0"/>
              <w:keepLines w:val="0"/>
              <w:pageBreakBefore w:val="0"/>
              <w:widowControl w:val="0"/>
              <w:numPr>
                <w:ilvl w:val="0"/>
                <w:numId w:val="3"/>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根据比选文件的服务内容和要求，提供项目实施方案，方案内容包括①</w:t>
            </w:r>
            <w:r>
              <w:rPr>
                <w:rFonts w:hint="eastAsia" w:ascii="宋体" w:hAnsi="宋体" w:eastAsia="宋体" w:cs="宋体"/>
                <w:color w:val="auto"/>
                <w:sz w:val="24"/>
                <w:szCs w:val="24"/>
                <w:highlight w:val="none"/>
                <w:lang w:val="zh-CN" w:eastAsia="zh-CN"/>
              </w:rPr>
              <w:t>技术流程结构；</w:t>
            </w:r>
            <w:r>
              <w:rPr>
                <w:rFonts w:hint="eastAsia" w:ascii="宋体" w:hAnsi="宋体" w:eastAsia="宋体" w:cs="宋体"/>
                <w:color w:val="auto"/>
                <w:sz w:val="24"/>
                <w:szCs w:val="24"/>
                <w:highlight w:val="none"/>
                <w:lang w:val="en-US" w:eastAsia="zh-CN"/>
              </w:rPr>
              <w:t>②</w:t>
            </w:r>
            <w:r>
              <w:rPr>
                <w:rFonts w:hint="eastAsia" w:ascii="宋体" w:hAnsi="宋体" w:eastAsia="宋体" w:cs="宋体"/>
                <w:color w:val="auto"/>
                <w:sz w:val="24"/>
                <w:szCs w:val="24"/>
                <w:highlight w:val="none"/>
                <w:lang w:val="zh-CN" w:eastAsia="zh-CN"/>
              </w:rPr>
              <w:t>内业数据处理</w:t>
            </w:r>
            <w:r>
              <w:rPr>
                <w:rFonts w:hint="eastAsia" w:ascii="宋体" w:hAnsi="宋体" w:eastAsia="宋体" w:cs="宋体"/>
                <w:color w:val="auto"/>
                <w:sz w:val="24"/>
                <w:szCs w:val="24"/>
                <w:highlight w:val="none"/>
                <w:lang w:val="en-US" w:eastAsia="zh-CN"/>
              </w:rPr>
              <w:t>；③</w:t>
            </w:r>
            <w:r>
              <w:rPr>
                <w:rFonts w:hint="eastAsia" w:ascii="宋体" w:hAnsi="宋体" w:eastAsia="宋体" w:cs="宋体"/>
                <w:color w:val="auto"/>
                <w:sz w:val="24"/>
                <w:szCs w:val="24"/>
                <w:highlight w:val="none"/>
                <w:lang w:val="zh-CN" w:eastAsia="zh-CN"/>
              </w:rPr>
              <w:t>数据库建设，</w:t>
            </w:r>
            <w:r>
              <w:rPr>
                <w:rFonts w:hint="eastAsia" w:ascii="宋体" w:hAnsi="宋体" w:eastAsia="宋体" w:cs="宋体"/>
                <w:color w:val="auto"/>
                <w:sz w:val="24"/>
                <w:szCs w:val="24"/>
                <w:highlight w:val="none"/>
                <w:lang w:val="en-US" w:eastAsia="zh-CN"/>
              </w:rPr>
              <w:t>④</w:t>
            </w:r>
            <w:r>
              <w:rPr>
                <w:rFonts w:hint="eastAsia" w:ascii="宋体" w:hAnsi="宋体" w:eastAsia="宋体" w:cs="宋体"/>
                <w:color w:val="auto"/>
                <w:sz w:val="24"/>
                <w:szCs w:val="24"/>
                <w:highlight w:val="none"/>
                <w:lang w:val="zh-CN" w:eastAsia="zh-CN"/>
              </w:rPr>
              <w:t>成果规格；</w:t>
            </w:r>
            <w:r>
              <w:rPr>
                <w:rFonts w:hint="eastAsia" w:ascii="宋体" w:hAnsi="宋体" w:eastAsia="宋体" w:cs="宋体"/>
                <w:color w:val="auto"/>
                <w:sz w:val="24"/>
                <w:szCs w:val="24"/>
                <w:highlight w:val="none"/>
                <w:lang w:val="en-US" w:eastAsia="zh-CN"/>
              </w:rPr>
              <w:t>⑤</w:t>
            </w:r>
            <w:r>
              <w:rPr>
                <w:rFonts w:hint="eastAsia" w:ascii="宋体" w:hAnsi="宋体" w:eastAsia="宋体" w:cs="宋体"/>
                <w:color w:val="auto"/>
                <w:sz w:val="24"/>
                <w:szCs w:val="24"/>
                <w:highlight w:val="none"/>
                <w:lang w:val="zh-CN" w:eastAsia="zh-CN"/>
              </w:rPr>
              <w:t>技术指标</w:t>
            </w:r>
            <w:r>
              <w:rPr>
                <w:rFonts w:hint="eastAsia" w:ascii="宋体" w:hAnsi="宋体" w:eastAsia="宋体" w:cs="宋体"/>
                <w:color w:val="auto"/>
                <w:sz w:val="24"/>
                <w:szCs w:val="24"/>
                <w:highlight w:val="none"/>
                <w:lang w:val="en-US" w:eastAsia="zh-CN"/>
              </w:rPr>
              <w:t>等</w:t>
            </w:r>
          </w:p>
          <w:p w14:paraId="7AE66DC4">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内容全面、无漏项、不存在瑕疵，得分15分；</w:t>
            </w:r>
          </w:p>
          <w:p w14:paraId="0307501F">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存在1处瑕疵，得10分；</w:t>
            </w:r>
          </w:p>
          <w:p w14:paraId="4329ED2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存在2处瑕疵，得5分；</w:t>
            </w:r>
          </w:p>
          <w:p w14:paraId="5553033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存在3处瑕疵，得3分；</w:t>
            </w:r>
          </w:p>
          <w:p w14:paraId="4FD82B3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存在4处及以上瑕疵或未提供，得0分。</w:t>
            </w:r>
          </w:p>
        </w:tc>
        <w:tc>
          <w:tcPr>
            <w:tcW w:w="1935" w:type="dxa"/>
            <w:vMerge w:val="continue"/>
            <w:noWrap w:val="0"/>
            <w:vAlign w:val="center"/>
          </w:tcPr>
          <w:p w14:paraId="55E35FF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c>
      </w:tr>
      <w:tr w14:paraId="03B83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765" w:type="dxa"/>
            <w:vMerge w:val="continue"/>
            <w:noWrap w:val="0"/>
            <w:vAlign w:val="center"/>
          </w:tcPr>
          <w:p w14:paraId="530B84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p>
        </w:tc>
        <w:tc>
          <w:tcPr>
            <w:tcW w:w="1035" w:type="dxa"/>
            <w:vMerge w:val="continue"/>
            <w:noWrap w:val="0"/>
            <w:vAlign w:val="center"/>
          </w:tcPr>
          <w:p w14:paraId="4EE9FA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195" w:type="dxa"/>
            <w:noWrap w:val="0"/>
            <w:vAlign w:val="center"/>
          </w:tcPr>
          <w:p w14:paraId="079E7C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项目管理及质量保证措施（</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val="zh-CN" w:eastAsia="zh-CN"/>
              </w:rPr>
              <w:t>分）</w:t>
            </w:r>
          </w:p>
        </w:tc>
        <w:tc>
          <w:tcPr>
            <w:tcW w:w="5150" w:type="dxa"/>
            <w:noWrap w:val="0"/>
            <w:vAlign w:val="center"/>
          </w:tcPr>
          <w:p w14:paraId="31A5F3CD">
            <w:pPr>
              <w:keepNext w:val="0"/>
              <w:keepLines w:val="0"/>
              <w:pageBreakBefore w:val="0"/>
              <w:widowControl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根据比选文件的服务内容和要求，提供项目管理及质量保证措施方案，方案内容包括①</w:t>
            </w:r>
            <w:r>
              <w:rPr>
                <w:rFonts w:hint="eastAsia" w:ascii="宋体" w:hAnsi="宋体" w:eastAsia="宋体" w:cs="宋体"/>
                <w:color w:val="auto"/>
                <w:sz w:val="24"/>
                <w:szCs w:val="24"/>
                <w:highlight w:val="none"/>
                <w:lang w:val="zh-CN" w:eastAsia="zh-CN"/>
              </w:rPr>
              <w:t>项目团队</w:t>
            </w:r>
            <w:r>
              <w:rPr>
                <w:rFonts w:hint="eastAsia" w:ascii="宋体" w:hAnsi="宋体" w:eastAsia="宋体" w:cs="宋体"/>
                <w:color w:val="auto"/>
                <w:sz w:val="24"/>
                <w:szCs w:val="24"/>
                <w:highlight w:val="none"/>
                <w:lang w:val="en-US" w:eastAsia="zh-CN"/>
              </w:rPr>
              <w:t>组建及人员配备；②</w:t>
            </w:r>
            <w:r>
              <w:rPr>
                <w:rFonts w:hint="eastAsia" w:ascii="宋体" w:hAnsi="宋体" w:eastAsia="宋体" w:cs="宋体"/>
                <w:color w:val="auto"/>
                <w:sz w:val="24"/>
                <w:szCs w:val="24"/>
                <w:highlight w:val="none"/>
                <w:lang w:val="zh-CN" w:eastAsia="zh-CN"/>
              </w:rPr>
              <w:t>设备配置</w:t>
            </w:r>
            <w:r>
              <w:rPr>
                <w:rFonts w:hint="eastAsia" w:ascii="宋体" w:hAnsi="宋体" w:eastAsia="宋体" w:cs="宋体"/>
                <w:color w:val="auto"/>
                <w:sz w:val="24"/>
                <w:szCs w:val="24"/>
                <w:highlight w:val="none"/>
                <w:lang w:val="en-US" w:eastAsia="zh-CN"/>
              </w:rPr>
              <w:t>；③质量控制措施；④项目管理措施等。</w:t>
            </w:r>
          </w:p>
          <w:p w14:paraId="5E6733A8">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内容全面、无漏项、不存在瑕疵，得分10分；</w:t>
            </w:r>
          </w:p>
          <w:p w14:paraId="0F6A1CC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存在1处瑕疵，得7分；</w:t>
            </w:r>
          </w:p>
          <w:p w14:paraId="14671DAF">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存在2处瑕疵，得5分；</w:t>
            </w:r>
          </w:p>
          <w:p w14:paraId="038469D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存在3处瑕疵，得3分；</w:t>
            </w:r>
          </w:p>
          <w:p w14:paraId="2802B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存在4处及以上瑕疵或未提供，得0分。</w:t>
            </w:r>
          </w:p>
        </w:tc>
        <w:tc>
          <w:tcPr>
            <w:tcW w:w="1935" w:type="dxa"/>
            <w:vMerge w:val="continue"/>
            <w:noWrap w:val="0"/>
            <w:vAlign w:val="center"/>
          </w:tcPr>
          <w:p w14:paraId="1F82401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c>
      </w:tr>
      <w:tr w14:paraId="2188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765" w:type="dxa"/>
            <w:vMerge w:val="continue"/>
            <w:noWrap w:val="0"/>
            <w:vAlign w:val="center"/>
          </w:tcPr>
          <w:p w14:paraId="154642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p>
        </w:tc>
        <w:tc>
          <w:tcPr>
            <w:tcW w:w="1035" w:type="dxa"/>
            <w:vMerge w:val="continue"/>
            <w:noWrap w:val="0"/>
            <w:vAlign w:val="center"/>
          </w:tcPr>
          <w:p w14:paraId="75ACC7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195" w:type="dxa"/>
            <w:noWrap w:val="0"/>
            <w:vAlign w:val="center"/>
          </w:tcPr>
          <w:p w14:paraId="0B80F1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进度计划及措施（</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val="zh-CN" w:eastAsia="zh-CN"/>
              </w:rPr>
              <w:t>分）</w:t>
            </w:r>
          </w:p>
        </w:tc>
        <w:tc>
          <w:tcPr>
            <w:tcW w:w="5150" w:type="dxa"/>
            <w:noWrap w:val="0"/>
            <w:vAlign w:val="center"/>
          </w:tcPr>
          <w:p w14:paraId="00C323A4">
            <w:pPr>
              <w:keepNext w:val="0"/>
              <w:keepLines w:val="0"/>
              <w:pageBreakBefore w:val="0"/>
              <w:widowControl w:val="0"/>
              <w:numPr>
                <w:ilvl w:val="0"/>
                <w:numId w:val="5"/>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根据比选文件的服务内容和要求，提供项目进度计划及措施方案，方案内容包括①项目进度计划安排；②进度计划保证措施等。</w:t>
            </w:r>
          </w:p>
          <w:p w14:paraId="633554E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内容全面、无漏项、不存在瑕疵，得分10分；</w:t>
            </w:r>
          </w:p>
          <w:p w14:paraId="64F1D3E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存在1处瑕疵，得7分；</w:t>
            </w:r>
          </w:p>
          <w:p w14:paraId="3B56069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存在2处瑕疵，得5分；</w:t>
            </w:r>
          </w:p>
          <w:p w14:paraId="16D17BB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存在3处瑕疵，得3分；</w:t>
            </w:r>
          </w:p>
          <w:p w14:paraId="3C77937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存在4处及以上瑕疵或未提供，得0分。</w:t>
            </w:r>
          </w:p>
        </w:tc>
        <w:tc>
          <w:tcPr>
            <w:tcW w:w="1935" w:type="dxa"/>
            <w:vMerge w:val="continue"/>
            <w:noWrap w:val="0"/>
            <w:vAlign w:val="center"/>
          </w:tcPr>
          <w:p w14:paraId="0819911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c>
      </w:tr>
      <w:tr w14:paraId="11EF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765" w:type="dxa"/>
            <w:vMerge w:val="continue"/>
            <w:noWrap w:val="0"/>
            <w:vAlign w:val="center"/>
          </w:tcPr>
          <w:p w14:paraId="5C4D4E4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p>
        </w:tc>
        <w:tc>
          <w:tcPr>
            <w:tcW w:w="1035" w:type="dxa"/>
            <w:vMerge w:val="continue"/>
            <w:noWrap w:val="0"/>
            <w:vAlign w:val="center"/>
          </w:tcPr>
          <w:p w14:paraId="5596794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195" w:type="dxa"/>
            <w:noWrap w:val="0"/>
            <w:vAlign w:val="center"/>
          </w:tcPr>
          <w:p w14:paraId="761B7F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zh-CN" w:eastAsia="zh-CN"/>
              </w:rPr>
              <w:t>售后服务</w:t>
            </w:r>
            <w:r>
              <w:rPr>
                <w:rFonts w:hint="eastAsia" w:ascii="宋体" w:hAnsi="宋体" w:eastAsia="宋体" w:cs="宋体"/>
                <w:color w:val="auto"/>
                <w:sz w:val="24"/>
                <w:szCs w:val="24"/>
                <w:lang w:val="en-US" w:eastAsia="zh-CN"/>
              </w:rPr>
              <w:t>方案（5分）</w:t>
            </w:r>
          </w:p>
        </w:tc>
        <w:tc>
          <w:tcPr>
            <w:tcW w:w="5150" w:type="dxa"/>
            <w:noWrap w:val="0"/>
            <w:vAlign w:val="center"/>
          </w:tcPr>
          <w:p w14:paraId="3C89EC7A">
            <w:pPr>
              <w:keepNext w:val="0"/>
              <w:keepLines w:val="0"/>
              <w:pageBreakBefore w:val="0"/>
              <w:widowControl w:val="0"/>
              <w:numPr>
                <w:ilvl w:val="0"/>
                <w:numId w:val="6"/>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根据比选文件的服务内容和要求，提供项目售后服务方案，方案内容包括①售后服务流程；②</w:t>
            </w:r>
            <w:r>
              <w:rPr>
                <w:rFonts w:hint="eastAsia" w:ascii="宋体" w:hAnsi="宋体" w:eastAsia="宋体" w:cs="宋体"/>
                <w:color w:val="auto"/>
                <w:sz w:val="24"/>
                <w:szCs w:val="24"/>
                <w:highlight w:val="none"/>
                <w:lang w:val="zh-CN" w:eastAsia="zh-CN"/>
              </w:rPr>
              <w:t>服务响应处理时间及</w:t>
            </w:r>
            <w:r>
              <w:rPr>
                <w:rFonts w:hint="eastAsia" w:ascii="宋体" w:hAnsi="宋体" w:eastAsia="宋体" w:cs="宋体"/>
                <w:color w:val="auto"/>
                <w:sz w:val="24"/>
                <w:szCs w:val="24"/>
                <w:highlight w:val="none"/>
                <w:lang w:val="en-US" w:eastAsia="zh-CN"/>
              </w:rPr>
              <w:t>人员配备</w:t>
            </w:r>
            <w:r>
              <w:rPr>
                <w:rFonts w:hint="eastAsia" w:ascii="宋体" w:hAnsi="宋体" w:eastAsia="宋体" w:cs="宋体"/>
                <w:color w:val="auto"/>
                <w:sz w:val="24"/>
                <w:szCs w:val="24"/>
                <w:highlight w:val="none"/>
                <w:lang w:val="zh-CN" w:eastAsia="zh-CN"/>
              </w:rPr>
              <w:t>；</w:t>
            </w:r>
            <w:r>
              <w:rPr>
                <w:rFonts w:hint="eastAsia" w:ascii="宋体" w:hAnsi="宋体" w:eastAsia="宋体" w:cs="宋体"/>
                <w:color w:val="auto"/>
                <w:sz w:val="24"/>
                <w:szCs w:val="24"/>
                <w:highlight w:val="none"/>
                <w:lang w:val="en-US" w:eastAsia="zh-CN"/>
              </w:rPr>
              <w:t>③</w:t>
            </w:r>
            <w:r>
              <w:rPr>
                <w:rFonts w:hint="eastAsia" w:ascii="宋体" w:hAnsi="宋体" w:eastAsia="宋体" w:cs="宋体"/>
                <w:color w:val="auto"/>
                <w:sz w:val="24"/>
                <w:szCs w:val="24"/>
                <w:highlight w:val="none"/>
                <w:lang w:val="zh-CN" w:eastAsia="zh-CN"/>
              </w:rPr>
              <w:t>后期</w:t>
            </w:r>
            <w:r>
              <w:rPr>
                <w:rFonts w:hint="eastAsia" w:ascii="宋体" w:hAnsi="宋体" w:eastAsia="宋体" w:cs="宋体"/>
                <w:color w:val="auto"/>
                <w:sz w:val="24"/>
                <w:szCs w:val="24"/>
                <w:highlight w:val="none"/>
                <w:lang w:val="en-US" w:eastAsia="zh-CN"/>
              </w:rPr>
              <w:t>内容整改工作</w:t>
            </w:r>
            <w:r>
              <w:rPr>
                <w:rFonts w:hint="eastAsia" w:ascii="宋体" w:hAnsi="宋体" w:eastAsia="宋体" w:cs="宋体"/>
                <w:color w:val="auto"/>
                <w:sz w:val="24"/>
                <w:szCs w:val="24"/>
                <w:highlight w:val="none"/>
                <w:lang w:val="zh-CN" w:eastAsia="zh-CN"/>
              </w:rPr>
              <w:t>方案</w:t>
            </w:r>
            <w:r>
              <w:rPr>
                <w:rFonts w:hint="eastAsia" w:ascii="宋体" w:hAnsi="宋体" w:eastAsia="宋体" w:cs="宋体"/>
                <w:color w:val="auto"/>
                <w:sz w:val="24"/>
                <w:szCs w:val="24"/>
                <w:highlight w:val="none"/>
                <w:lang w:val="en-US" w:eastAsia="zh-CN"/>
              </w:rPr>
              <w:t>等。</w:t>
            </w:r>
          </w:p>
          <w:p w14:paraId="3DE8D0E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内容全面、无漏项、不存在瑕疵，得分5分；</w:t>
            </w:r>
          </w:p>
          <w:p w14:paraId="24B9C1FA">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存在1处瑕疵，得4分；</w:t>
            </w:r>
          </w:p>
          <w:p w14:paraId="2F38F75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存在2处瑕疵，得3分；</w:t>
            </w:r>
          </w:p>
          <w:p w14:paraId="03CD5218">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存在3处瑕疵，得2分；</w:t>
            </w:r>
          </w:p>
          <w:p w14:paraId="54E971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存在4处及以上瑕疵或未提供，得0分。</w:t>
            </w:r>
          </w:p>
        </w:tc>
        <w:tc>
          <w:tcPr>
            <w:tcW w:w="1935" w:type="dxa"/>
            <w:vMerge w:val="continue"/>
            <w:noWrap w:val="0"/>
            <w:vAlign w:val="center"/>
          </w:tcPr>
          <w:p w14:paraId="26D94DC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c>
      </w:tr>
      <w:tr w14:paraId="104E6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65" w:type="dxa"/>
            <w:vMerge w:val="restart"/>
            <w:noWrap w:val="0"/>
            <w:vAlign w:val="center"/>
          </w:tcPr>
          <w:p w14:paraId="757E5A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33</w:t>
            </w:r>
          </w:p>
        </w:tc>
        <w:tc>
          <w:tcPr>
            <w:tcW w:w="1035" w:type="dxa"/>
            <w:vMerge w:val="restart"/>
            <w:noWrap w:val="0"/>
            <w:vAlign w:val="center"/>
          </w:tcPr>
          <w:p w14:paraId="5983F6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商务部分（</w:t>
            </w:r>
            <w:r>
              <w:rPr>
                <w:rFonts w:hint="eastAsia" w:ascii="宋体" w:hAnsi="宋体" w:eastAsia="宋体" w:cs="宋体"/>
                <w:color w:val="auto"/>
                <w:sz w:val="24"/>
                <w:szCs w:val="24"/>
                <w:lang w:val="en-US" w:eastAsia="zh-CN"/>
              </w:rPr>
              <w:t>35</w:t>
            </w:r>
            <w:r>
              <w:rPr>
                <w:rFonts w:hint="eastAsia" w:ascii="宋体" w:hAnsi="宋体" w:eastAsia="宋体" w:cs="宋体"/>
                <w:color w:val="auto"/>
                <w:sz w:val="24"/>
                <w:szCs w:val="24"/>
                <w:lang w:val="zh-CN"/>
              </w:rPr>
              <w:t>%）</w:t>
            </w:r>
          </w:p>
        </w:tc>
        <w:tc>
          <w:tcPr>
            <w:tcW w:w="1195" w:type="dxa"/>
            <w:noWrap w:val="0"/>
            <w:vAlign w:val="center"/>
          </w:tcPr>
          <w:p w14:paraId="47B433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团队人员</w:t>
            </w:r>
            <w:r>
              <w:rPr>
                <w:rFonts w:hint="eastAsia" w:ascii="宋体" w:hAnsi="宋体" w:eastAsia="宋体" w:cs="宋体"/>
                <w:color w:val="auto"/>
                <w:sz w:val="24"/>
                <w:szCs w:val="24"/>
                <w:lang w:val="zh-CN" w:eastAsia="zh-CN"/>
              </w:rPr>
              <w:t>（</w:t>
            </w:r>
            <w:r>
              <w:rPr>
                <w:rFonts w:hint="eastAsia" w:ascii="宋体" w:hAnsi="宋体" w:eastAsia="宋体" w:cs="宋体"/>
                <w:color w:val="auto"/>
                <w:sz w:val="24"/>
                <w:szCs w:val="24"/>
                <w:lang w:val="en-US" w:eastAsia="zh-CN"/>
              </w:rPr>
              <w:t>12分</w:t>
            </w:r>
            <w:r>
              <w:rPr>
                <w:rFonts w:hint="eastAsia" w:ascii="宋体" w:hAnsi="宋体" w:eastAsia="宋体" w:cs="宋体"/>
                <w:color w:val="auto"/>
                <w:sz w:val="24"/>
                <w:szCs w:val="24"/>
                <w:lang w:val="zh-CN" w:eastAsia="zh-CN"/>
              </w:rPr>
              <w:t>）</w:t>
            </w:r>
          </w:p>
        </w:tc>
        <w:tc>
          <w:tcPr>
            <w:tcW w:w="5150" w:type="dxa"/>
            <w:noWrap w:val="0"/>
            <w:vAlign w:val="center"/>
          </w:tcPr>
          <w:p w14:paraId="2987402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1.供应商拟投入本项目的项目负责人具备测绘专业高级工程师的得</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分，不满足不得分。</w:t>
            </w:r>
          </w:p>
          <w:p w14:paraId="766533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3.供应商拟投入本项目的技术人员（不含项目负责人）具备测绘专业中级及以上技术职称的，每提供一名得</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分，最多得</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分，不满足不得分。以上人员不重复计分。</w:t>
            </w:r>
          </w:p>
        </w:tc>
        <w:tc>
          <w:tcPr>
            <w:tcW w:w="1935" w:type="dxa"/>
            <w:noWrap w:val="0"/>
            <w:vAlign w:val="center"/>
          </w:tcPr>
          <w:p w14:paraId="75FCF8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1、提供项目服务人员一览表，需明确各人员岗位职责；</w:t>
            </w:r>
          </w:p>
          <w:p w14:paraId="5C1069A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2、提供相关证书复印件；</w:t>
            </w:r>
          </w:p>
          <w:p w14:paraId="078EE7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3、</w:t>
            </w:r>
            <w:r>
              <w:rPr>
                <w:rFonts w:hint="eastAsia" w:ascii="宋体" w:hAnsi="宋体" w:eastAsia="宋体" w:cs="宋体"/>
                <w:color w:val="auto"/>
                <w:sz w:val="24"/>
                <w:szCs w:val="24"/>
                <w:lang w:val="en-US" w:eastAsia="zh-CN"/>
              </w:rPr>
              <w:t>提供</w:t>
            </w:r>
            <w:r>
              <w:rPr>
                <w:rFonts w:hint="eastAsia" w:ascii="宋体" w:hAnsi="宋体" w:eastAsia="宋体" w:cs="宋体"/>
                <w:color w:val="auto"/>
                <w:sz w:val="24"/>
                <w:szCs w:val="24"/>
              </w:rPr>
              <w:t>由供应商为其缴纳的</w:t>
            </w:r>
            <w:r>
              <w:rPr>
                <w:rFonts w:hint="eastAsia" w:ascii="宋体" w:hAnsi="宋体" w:eastAsia="宋体" w:cs="宋体"/>
                <w:color w:val="auto"/>
                <w:sz w:val="24"/>
                <w:szCs w:val="24"/>
                <w:lang w:val="en-US" w:eastAsia="zh-CN"/>
              </w:rPr>
              <w:t>2025年任意1个月的</w:t>
            </w:r>
            <w:r>
              <w:rPr>
                <w:rFonts w:hint="eastAsia" w:ascii="宋体" w:hAnsi="宋体" w:eastAsia="宋体" w:cs="宋体"/>
                <w:color w:val="auto"/>
                <w:sz w:val="24"/>
                <w:szCs w:val="24"/>
              </w:rPr>
              <w:t>社保证明复印件加盖公章</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新成立公司可提供劳动合同复印件</w:t>
            </w:r>
            <w:r>
              <w:rPr>
                <w:rFonts w:hint="eastAsia" w:ascii="宋体" w:hAnsi="宋体" w:eastAsia="宋体" w:cs="宋体"/>
                <w:color w:val="auto"/>
                <w:sz w:val="24"/>
                <w:szCs w:val="24"/>
              </w:rPr>
              <w:t>加盖公章。</w:t>
            </w:r>
          </w:p>
          <w:p w14:paraId="7AF62D2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4、以上材料加盖供应商公章</w:t>
            </w:r>
          </w:p>
        </w:tc>
      </w:tr>
      <w:tr w14:paraId="5FCE8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765" w:type="dxa"/>
            <w:vMerge w:val="continue"/>
            <w:noWrap w:val="0"/>
            <w:vAlign w:val="center"/>
          </w:tcPr>
          <w:p w14:paraId="06201E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035" w:type="dxa"/>
            <w:vMerge w:val="continue"/>
            <w:noWrap w:val="0"/>
            <w:vAlign w:val="center"/>
          </w:tcPr>
          <w:p w14:paraId="37F78B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195" w:type="dxa"/>
            <w:noWrap w:val="0"/>
            <w:vAlign w:val="center"/>
          </w:tcPr>
          <w:p w14:paraId="031847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业绩</w:t>
            </w:r>
            <w:r>
              <w:rPr>
                <w:rFonts w:hint="eastAsia" w:ascii="宋体" w:hAnsi="宋体" w:eastAsia="宋体" w:cs="宋体"/>
                <w:color w:val="auto"/>
                <w:sz w:val="24"/>
                <w:szCs w:val="24"/>
                <w:lang w:val="zh-CN" w:eastAsia="zh-CN"/>
              </w:rPr>
              <w:t>（</w:t>
            </w:r>
            <w:r>
              <w:rPr>
                <w:rFonts w:hint="eastAsia" w:ascii="宋体" w:hAnsi="宋体" w:eastAsia="宋体" w:cs="宋体"/>
                <w:color w:val="auto"/>
                <w:sz w:val="24"/>
                <w:szCs w:val="24"/>
                <w:lang w:val="en-US" w:eastAsia="zh-CN"/>
              </w:rPr>
              <w:t>20分</w:t>
            </w:r>
            <w:r>
              <w:rPr>
                <w:rFonts w:hint="eastAsia" w:ascii="宋体" w:hAnsi="宋体" w:eastAsia="宋体" w:cs="宋体"/>
                <w:color w:val="auto"/>
                <w:sz w:val="24"/>
                <w:szCs w:val="24"/>
                <w:lang w:val="zh-CN" w:eastAsia="zh-CN"/>
              </w:rPr>
              <w:t>）</w:t>
            </w:r>
          </w:p>
        </w:tc>
        <w:tc>
          <w:tcPr>
            <w:tcW w:w="5150" w:type="dxa"/>
            <w:noWrap w:val="0"/>
            <w:vAlign w:val="center"/>
          </w:tcPr>
          <w:p w14:paraId="67180E3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提供</w:t>
            </w:r>
            <w:r>
              <w:rPr>
                <w:rFonts w:hint="eastAsia" w:ascii="宋体" w:hAnsi="宋体" w:eastAsia="宋体" w:cs="宋体"/>
                <w:color w:val="auto"/>
                <w:sz w:val="24"/>
                <w:szCs w:val="24"/>
                <w:lang w:val="en-US" w:eastAsia="zh-CN"/>
              </w:rPr>
              <w:t>2021年以来</w:t>
            </w:r>
            <w:r>
              <w:rPr>
                <w:rFonts w:hint="eastAsia" w:ascii="宋体" w:hAnsi="宋体" w:eastAsia="宋体" w:cs="宋体"/>
                <w:color w:val="auto"/>
                <w:sz w:val="24"/>
                <w:szCs w:val="24"/>
              </w:rPr>
              <w:t>完成</w:t>
            </w:r>
            <w:r>
              <w:rPr>
                <w:rFonts w:hint="eastAsia" w:ascii="宋体" w:hAnsi="宋体" w:eastAsia="宋体" w:cs="宋体"/>
                <w:color w:val="auto"/>
                <w:sz w:val="24"/>
                <w:szCs w:val="24"/>
                <w:lang w:eastAsia="zh-CN"/>
              </w:rPr>
              <w:t>年度</w:t>
            </w:r>
            <w:r>
              <w:rPr>
                <w:rFonts w:hint="eastAsia" w:ascii="宋体" w:hAnsi="宋体" w:eastAsia="宋体" w:cs="宋体"/>
                <w:color w:val="auto"/>
                <w:sz w:val="24"/>
                <w:szCs w:val="24"/>
              </w:rPr>
              <w:t>国土</w:t>
            </w:r>
            <w:r>
              <w:rPr>
                <w:rFonts w:hint="eastAsia" w:ascii="宋体" w:hAnsi="宋体" w:eastAsia="宋体" w:cs="宋体"/>
                <w:color w:val="auto"/>
                <w:sz w:val="24"/>
                <w:szCs w:val="24"/>
                <w:lang w:val="en-US" w:eastAsia="zh-CN"/>
              </w:rPr>
              <w:t>变更调查、城市国土空间监测、</w:t>
            </w:r>
            <w:r>
              <w:rPr>
                <w:rFonts w:hint="eastAsia" w:ascii="宋体" w:hAnsi="宋体" w:eastAsia="宋体" w:cs="宋体"/>
                <w:color w:val="auto"/>
                <w:sz w:val="24"/>
                <w:szCs w:val="24"/>
              </w:rPr>
              <w:t>上半年自然资源监测</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常规监测项目业绩</w:t>
            </w:r>
            <w:r>
              <w:rPr>
                <w:rFonts w:hint="eastAsia" w:ascii="宋体" w:hAnsi="宋体" w:eastAsia="宋体" w:cs="宋体"/>
                <w:color w:val="auto"/>
                <w:sz w:val="24"/>
                <w:szCs w:val="24"/>
              </w:rPr>
              <w:t>的，每提供一个得</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分；满分</w:t>
            </w: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分。</w:t>
            </w:r>
          </w:p>
        </w:tc>
        <w:tc>
          <w:tcPr>
            <w:tcW w:w="1935" w:type="dxa"/>
            <w:noWrap w:val="0"/>
            <w:vAlign w:val="center"/>
          </w:tcPr>
          <w:p w14:paraId="517B9F8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提供项目合同复印件或中标通知书</w:t>
            </w:r>
            <w:r>
              <w:rPr>
                <w:rFonts w:hint="eastAsia" w:ascii="宋体" w:hAnsi="宋体" w:eastAsia="宋体" w:cs="宋体"/>
                <w:color w:val="auto"/>
                <w:sz w:val="24"/>
                <w:szCs w:val="24"/>
                <w:lang w:val="en-US" w:eastAsia="zh-CN"/>
              </w:rPr>
              <w:t>复印件</w:t>
            </w:r>
            <w:r>
              <w:rPr>
                <w:rFonts w:hint="eastAsia" w:ascii="宋体" w:hAnsi="宋体" w:eastAsia="宋体" w:cs="宋体"/>
                <w:color w:val="auto"/>
                <w:sz w:val="24"/>
                <w:szCs w:val="24"/>
              </w:rPr>
              <w:t>（转、分包合同无效）加盖供应商公章。</w:t>
            </w:r>
          </w:p>
        </w:tc>
      </w:tr>
      <w:tr w14:paraId="5E75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765" w:type="dxa"/>
            <w:vMerge w:val="continue"/>
            <w:noWrap w:val="0"/>
            <w:vAlign w:val="center"/>
          </w:tcPr>
          <w:p w14:paraId="7BD3FE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035" w:type="dxa"/>
            <w:vMerge w:val="continue"/>
            <w:noWrap w:val="0"/>
            <w:vAlign w:val="center"/>
          </w:tcPr>
          <w:p w14:paraId="7EE56E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p>
        </w:tc>
        <w:tc>
          <w:tcPr>
            <w:tcW w:w="1195" w:type="dxa"/>
            <w:noWrap w:val="0"/>
            <w:vAlign w:val="center"/>
          </w:tcPr>
          <w:p w14:paraId="257E7E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lang w:val="zh-CN"/>
              </w:rPr>
            </w:pPr>
            <w:r>
              <w:rPr>
                <w:rFonts w:hint="eastAsia" w:ascii="宋体" w:hAnsi="宋体" w:eastAsia="宋体" w:cs="宋体"/>
                <w:color w:val="auto"/>
                <w:sz w:val="24"/>
                <w:szCs w:val="24"/>
                <w:lang w:val="zh-CN"/>
              </w:rPr>
              <w:t>供应商实力</w:t>
            </w:r>
            <w:r>
              <w:rPr>
                <w:rFonts w:hint="eastAsia" w:ascii="宋体" w:hAnsi="宋体" w:eastAsia="宋体" w:cs="宋体"/>
                <w:color w:val="auto"/>
                <w:sz w:val="24"/>
                <w:szCs w:val="24"/>
                <w:lang w:val="zh-CN" w:eastAsia="zh-CN"/>
              </w:rPr>
              <w:t>（</w:t>
            </w:r>
            <w:r>
              <w:rPr>
                <w:rFonts w:hint="eastAsia" w:ascii="宋体" w:hAnsi="宋体" w:eastAsia="宋体" w:cs="宋体"/>
                <w:color w:val="auto"/>
                <w:sz w:val="24"/>
                <w:szCs w:val="24"/>
                <w:lang w:val="en-US" w:eastAsia="zh-CN"/>
              </w:rPr>
              <w:t>3分</w:t>
            </w:r>
            <w:r>
              <w:rPr>
                <w:rFonts w:hint="eastAsia" w:ascii="宋体" w:hAnsi="宋体" w:eastAsia="宋体" w:cs="宋体"/>
                <w:color w:val="auto"/>
                <w:sz w:val="24"/>
                <w:szCs w:val="24"/>
                <w:lang w:val="zh-CN" w:eastAsia="zh-CN"/>
              </w:rPr>
              <w:t>）</w:t>
            </w:r>
          </w:p>
        </w:tc>
        <w:tc>
          <w:tcPr>
            <w:tcW w:w="5150" w:type="dxa"/>
            <w:noWrap w:val="0"/>
            <w:vAlign w:val="center"/>
          </w:tcPr>
          <w:p w14:paraId="32343B0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供应商具有质量管理体系认证证书、信息安全管理体系认证证书、</w:t>
            </w:r>
            <w:r>
              <w:rPr>
                <w:rFonts w:hint="eastAsia" w:ascii="宋体" w:hAnsi="宋体" w:eastAsia="宋体" w:cs="宋体"/>
                <w:color w:val="auto"/>
                <w:sz w:val="24"/>
                <w:szCs w:val="24"/>
                <w:lang w:val="en-US" w:eastAsia="zh-CN"/>
              </w:rPr>
              <w:t>诚信管理体系认证证</w:t>
            </w:r>
            <w:r>
              <w:rPr>
                <w:rFonts w:hint="eastAsia" w:ascii="宋体" w:hAnsi="宋体" w:eastAsia="宋体" w:cs="宋体"/>
                <w:color w:val="auto"/>
                <w:sz w:val="24"/>
                <w:szCs w:val="24"/>
              </w:rPr>
              <w:t>，全部满足的得</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分，缺少一个证书扣1分，扣完为止。</w:t>
            </w:r>
          </w:p>
        </w:tc>
        <w:tc>
          <w:tcPr>
            <w:tcW w:w="1935" w:type="dxa"/>
            <w:noWrap w:val="0"/>
            <w:vAlign w:val="center"/>
          </w:tcPr>
          <w:p w14:paraId="65C1B0C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提供证书复印件加盖供应商公章。</w:t>
            </w:r>
          </w:p>
        </w:tc>
      </w:tr>
      <w:bookmarkEnd w:id="73"/>
      <w:bookmarkEnd w:id="76"/>
    </w:tbl>
    <w:p w14:paraId="66B8F1C0">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lang w:val="en-US" w:eastAsia="zh-CN"/>
        </w:rPr>
      </w:pPr>
      <w:bookmarkStart w:id="77" w:name="_Toc8881"/>
      <w:r>
        <w:rPr>
          <w:rFonts w:hint="eastAsia" w:ascii="宋体" w:hAnsi="宋体" w:eastAsia="宋体" w:cs="宋体"/>
          <w:color w:val="auto"/>
          <w:sz w:val="24"/>
          <w:highlight w:val="none"/>
        </w:rPr>
        <w:t>三、无效</w:t>
      </w:r>
      <w:bookmarkEnd w:id="77"/>
      <w:r>
        <w:rPr>
          <w:rFonts w:hint="eastAsia" w:ascii="宋体" w:hAnsi="宋体" w:eastAsia="宋体" w:cs="宋体"/>
          <w:color w:val="auto"/>
          <w:sz w:val="24"/>
          <w:highlight w:val="none"/>
          <w:lang w:val="en-US" w:eastAsia="zh-CN"/>
        </w:rPr>
        <w:t>响应</w:t>
      </w:r>
    </w:p>
    <w:p w14:paraId="52812EB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供应商发生以下条款情况之一者，视为无效</w:t>
      </w:r>
      <w:r>
        <w:rPr>
          <w:rFonts w:hint="eastAsia" w:ascii="宋体" w:hAnsi="宋体" w:cs="宋体"/>
          <w:color w:val="auto"/>
          <w:sz w:val="24"/>
          <w:szCs w:val="24"/>
          <w:highlight w:val="none"/>
          <w:lang w:val="en-US" w:eastAsia="zh-CN"/>
        </w:rPr>
        <w:t>响应</w:t>
      </w:r>
      <w:r>
        <w:rPr>
          <w:rFonts w:hint="eastAsia" w:ascii="宋体" w:hAnsi="宋体" w:cs="宋体"/>
          <w:color w:val="auto"/>
          <w:sz w:val="24"/>
          <w:szCs w:val="24"/>
          <w:highlight w:val="none"/>
          <w:lang w:eastAsia="zh-CN"/>
        </w:rPr>
        <w:t>：</w:t>
      </w:r>
    </w:p>
    <w:p w14:paraId="6C89010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（一）供应商不符合规定的资格条件的；</w:t>
      </w:r>
    </w:p>
    <w:p w14:paraId="362DD5F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（二）供应商未通过实质性响应审查的；</w:t>
      </w:r>
    </w:p>
    <w:p w14:paraId="5E62F96C">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（三）供应商所提交的响应文件未按“第七篇响应文件格式要求”要求签署或盖章的；</w:t>
      </w:r>
    </w:p>
    <w:p w14:paraId="1FED2993">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（四）供应商的报价超过采购预算或最高限价的；</w:t>
      </w:r>
    </w:p>
    <w:p w14:paraId="3EF0CDB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（五）供应商不接受</w:t>
      </w:r>
      <w:r>
        <w:rPr>
          <w:rFonts w:hint="eastAsia" w:ascii="宋体" w:hAnsi="宋体" w:cs="宋体"/>
          <w:color w:val="auto"/>
          <w:sz w:val="24"/>
          <w:szCs w:val="24"/>
          <w:highlight w:val="none"/>
          <w:lang w:eastAsia="zh-CN"/>
        </w:rPr>
        <w:t>比选</w:t>
      </w:r>
      <w:r>
        <w:rPr>
          <w:rFonts w:hint="eastAsia" w:ascii="宋体" w:hAnsi="宋体" w:cs="宋体"/>
          <w:color w:val="auto"/>
          <w:sz w:val="24"/>
          <w:szCs w:val="24"/>
          <w:highlight w:val="none"/>
        </w:rPr>
        <w:t>小组修正后的价格的；</w:t>
      </w:r>
    </w:p>
    <w:p w14:paraId="3BBCED9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（六）单位负责人为同一人或者存在直接控股、管理关系的不同供应商，参加同一合同项（包）报价的；</w:t>
      </w:r>
    </w:p>
    <w:p w14:paraId="4A3DC0E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（七）为采购项目提供</w:t>
      </w:r>
      <w:r>
        <w:rPr>
          <w:rFonts w:hint="eastAsia" w:ascii="宋体" w:hAnsi="宋体" w:eastAsia="宋体" w:cs="宋体"/>
          <w:color w:val="auto"/>
          <w:sz w:val="24"/>
          <w:szCs w:val="24"/>
          <w:highlight w:val="none"/>
        </w:rPr>
        <w:t>整体设计、规范编制或者项目管理、监理、检测等服务的供应商再参加该采购项目的其他采购活动的；</w:t>
      </w:r>
    </w:p>
    <w:p w14:paraId="37D0E914">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）供应商响应文件内容有与国家现行法律法规相违背的内容，或附有采购人无法接受条件的；</w:t>
      </w:r>
    </w:p>
    <w:p w14:paraId="706A678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lang w:val="en-US" w:eastAsia="zh-CN"/>
        </w:rPr>
      </w:pPr>
      <w:bookmarkStart w:id="78" w:name="_Toc30872"/>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九</w:t>
      </w:r>
      <w:r>
        <w:rPr>
          <w:rFonts w:hint="eastAsia" w:ascii="宋体" w:hAnsi="宋体" w:eastAsia="宋体" w:cs="宋体"/>
          <w:color w:val="auto"/>
          <w:sz w:val="24"/>
          <w:szCs w:val="24"/>
          <w:highlight w:val="none"/>
        </w:rPr>
        <w:t>）法律、法规和</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规定的其他无效</w:t>
      </w:r>
      <w:bookmarkEnd w:id="78"/>
      <w:r>
        <w:rPr>
          <w:rFonts w:hint="eastAsia" w:ascii="宋体" w:hAnsi="宋体" w:eastAsia="宋体" w:cs="宋体"/>
          <w:color w:val="auto"/>
          <w:sz w:val="24"/>
          <w:szCs w:val="24"/>
          <w:highlight w:val="none"/>
          <w:lang w:val="en-US" w:eastAsia="zh-CN"/>
        </w:rPr>
        <w:t>情形。</w:t>
      </w:r>
    </w:p>
    <w:p w14:paraId="260D1DEB">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rPr>
      </w:pPr>
      <w:bookmarkStart w:id="79" w:name="_Toc2351"/>
      <w:bookmarkStart w:id="80" w:name="_Toc28422"/>
      <w:bookmarkStart w:id="81" w:name="_Toc29298"/>
      <w:bookmarkStart w:id="82" w:name="_Toc65660353"/>
      <w:bookmarkStart w:id="83" w:name="_Toc106034793"/>
      <w:bookmarkStart w:id="84" w:name="_Toc22716"/>
      <w:r>
        <w:rPr>
          <w:rFonts w:hint="eastAsia" w:ascii="宋体" w:hAnsi="宋体" w:eastAsia="宋体" w:cs="宋体"/>
          <w:color w:val="auto"/>
          <w:sz w:val="24"/>
          <w:highlight w:val="none"/>
        </w:rPr>
        <w:t>四、采购终止</w:t>
      </w:r>
      <w:bookmarkEnd w:id="79"/>
      <w:bookmarkEnd w:id="80"/>
      <w:bookmarkEnd w:id="81"/>
      <w:bookmarkEnd w:id="82"/>
      <w:bookmarkEnd w:id="83"/>
      <w:bookmarkEnd w:id="84"/>
    </w:p>
    <w:p w14:paraId="5A7DC1ED">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出现下列情形之一的，采购人或者采购代理机构应当终止</w:t>
      </w:r>
      <w:r>
        <w:rPr>
          <w:rFonts w:hint="eastAsia" w:ascii="宋体" w:hAnsi="宋体" w:cs="宋体"/>
          <w:color w:val="auto"/>
          <w:sz w:val="24"/>
          <w:szCs w:val="24"/>
          <w:highlight w:val="none"/>
          <w:lang w:eastAsia="zh-CN"/>
        </w:rPr>
        <w:t>比选</w:t>
      </w:r>
      <w:r>
        <w:rPr>
          <w:rFonts w:hint="eastAsia" w:ascii="宋体" w:hAnsi="宋体" w:cs="宋体"/>
          <w:color w:val="auto"/>
          <w:sz w:val="24"/>
          <w:szCs w:val="24"/>
          <w:highlight w:val="none"/>
        </w:rPr>
        <w:t>活动，发布项目终止公告并说明原因，重新开展采购活动：</w:t>
      </w:r>
    </w:p>
    <w:p w14:paraId="66E20D41">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（一）因情况变化，不再符合规定的</w:t>
      </w:r>
      <w:r>
        <w:rPr>
          <w:rFonts w:hint="eastAsia" w:ascii="宋体" w:hAnsi="宋体" w:cs="宋体"/>
          <w:color w:val="auto"/>
          <w:sz w:val="24"/>
          <w:szCs w:val="24"/>
          <w:highlight w:val="none"/>
          <w:lang w:eastAsia="zh-CN"/>
        </w:rPr>
        <w:t>比选</w:t>
      </w:r>
      <w:r>
        <w:rPr>
          <w:rFonts w:hint="eastAsia" w:ascii="宋体" w:hAnsi="宋体" w:cs="宋体"/>
          <w:color w:val="auto"/>
          <w:sz w:val="24"/>
          <w:szCs w:val="24"/>
          <w:highlight w:val="none"/>
        </w:rPr>
        <w:t>方式适用情形的；</w:t>
      </w:r>
    </w:p>
    <w:p w14:paraId="05C26525">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（二）出现影响采购公正的违法、违规行为的；</w:t>
      </w:r>
    </w:p>
    <w:p w14:paraId="0EECBE8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（三）在采购过程中符合竞争要求的供应商或者报价未超过采购预算的供应商不足</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家的。</w:t>
      </w:r>
    </w:p>
    <w:p w14:paraId="5000AF1D">
      <w:pPr>
        <w:jc w:val="center"/>
        <w:rPr>
          <w:rFonts w:hint="eastAsia" w:ascii="宋体" w:hAnsi="宋体" w:eastAsia="宋体" w:cs="宋体"/>
          <w:b/>
          <w:bCs/>
          <w:color w:val="auto"/>
          <w:sz w:val="36"/>
          <w:szCs w:val="30"/>
          <w:highlight w:val="none"/>
        </w:rPr>
      </w:pPr>
      <w:r>
        <w:rPr>
          <w:rFonts w:hint="eastAsia" w:ascii="宋体" w:hAnsi="宋体" w:eastAsia="宋体" w:cs="宋体"/>
          <w:color w:val="auto"/>
          <w:sz w:val="22"/>
          <w:szCs w:val="22"/>
          <w:highlight w:val="none"/>
        </w:rPr>
        <w:br w:type="page"/>
      </w:r>
      <w:r>
        <w:rPr>
          <w:rFonts w:hint="eastAsia" w:ascii="宋体" w:hAnsi="宋体" w:eastAsia="宋体" w:cs="宋体"/>
          <w:b/>
          <w:bCs/>
          <w:color w:val="auto"/>
          <w:sz w:val="36"/>
          <w:szCs w:val="30"/>
          <w:highlight w:val="none"/>
        </w:rPr>
        <w:t>第</w:t>
      </w:r>
      <w:r>
        <w:rPr>
          <w:rFonts w:hint="eastAsia" w:ascii="宋体" w:hAnsi="宋体" w:cs="宋体"/>
          <w:b/>
          <w:bCs/>
          <w:color w:val="auto"/>
          <w:sz w:val="36"/>
          <w:szCs w:val="30"/>
          <w:highlight w:val="none"/>
          <w:lang w:eastAsia="zh-CN"/>
        </w:rPr>
        <w:t>五</w:t>
      </w:r>
      <w:r>
        <w:rPr>
          <w:rFonts w:hint="eastAsia" w:ascii="宋体" w:hAnsi="宋体" w:eastAsia="宋体" w:cs="宋体"/>
          <w:b/>
          <w:bCs/>
          <w:color w:val="auto"/>
          <w:sz w:val="36"/>
          <w:szCs w:val="30"/>
          <w:highlight w:val="none"/>
        </w:rPr>
        <w:t>篇  供应商须知</w:t>
      </w:r>
    </w:p>
    <w:p w14:paraId="3F1394D2">
      <w:pPr>
        <w:pStyle w:val="6"/>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85" w:name="_Toc20643"/>
      <w:bookmarkStart w:id="86" w:name="_Toc487204779"/>
      <w:bookmarkStart w:id="87" w:name="_Toc426965630"/>
      <w:bookmarkStart w:id="88" w:name="_Toc15030"/>
      <w:bookmarkStart w:id="89" w:name="_Toc29704"/>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费用</w:t>
      </w:r>
      <w:bookmarkEnd w:id="85"/>
      <w:bookmarkEnd w:id="86"/>
      <w:bookmarkEnd w:id="87"/>
      <w:bookmarkEnd w:id="88"/>
      <w:bookmarkEnd w:id="89"/>
    </w:p>
    <w:p w14:paraId="00207C73">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参与</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的供应商应承担其编制响应文件与递交响应文件所涉及的一切费用，不论</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结果如何，采购人在任何情况下无义务也无责任承担这些费用。</w:t>
      </w:r>
    </w:p>
    <w:p w14:paraId="2B230237">
      <w:pPr>
        <w:pStyle w:val="6"/>
        <w:pageBreakBefore w:val="0"/>
        <w:widowControl w:val="0"/>
        <w:tabs>
          <w:tab w:val="left" w:pos="2640"/>
        </w:tabs>
        <w:kinsoku/>
        <w:wordWrap/>
        <w:overflowPunct/>
        <w:topLinePunct w:val="0"/>
        <w:autoSpaceDE/>
        <w:autoSpaceDN/>
        <w:bidi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90" w:name="_Toc2403"/>
      <w:bookmarkStart w:id="91" w:name="_Toc8727"/>
      <w:bookmarkStart w:id="92" w:name="_Toc487204780"/>
      <w:bookmarkStart w:id="93" w:name="_Toc426965631"/>
      <w:bookmarkStart w:id="94" w:name="_Toc342913391"/>
      <w:bookmarkStart w:id="95" w:name="_Toc7850"/>
      <w:r>
        <w:rPr>
          <w:rFonts w:hint="eastAsia" w:ascii="宋体" w:hAnsi="宋体" w:eastAsia="宋体" w:cs="宋体"/>
          <w:bCs w:val="0"/>
          <w:color w:val="auto"/>
          <w:sz w:val="24"/>
          <w:szCs w:val="24"/>
          <w:highlight w:val="none"/>
        </w:rPr>
        <w:t>二、</w:t>
      </w:r>
      <w:bookmarkEnd w:id="90"/>
      <w:bookmarkEnd w:id="91"/>
      <w:bookmarkEnd w:id="92"/>
      <w:bookmarkEnd w:id="93"/>
      <w:bookmarkEnd w:id="94"/>
      <w:bookmarkEnd w:id="95"/>
      <w:r>
        <w:rPr>
          <w:rFonts w:hint="eastAsia" w:ascii="宋体" w:hAnsi="宋体" w:cs="宋体"/>
          <w:bCs w:val="0"/>
          <w:color w:val="auto"/>
          <w:sz w:val="24"/>
          <w:szCs w:val="24"/>
          <w:highlight w:val="none"/>
          <w:lang w:eastAsia="zh-CN"/>
        </w:rPr>
        <w:t>比选文件</w:t>
      </w:r>
      <w:r>
        <w:rPr>
          <w:rFonts w:hint="eastAsia" w:ascii="宋体" w:hAnsi="宋体" w:eastAsia="宋体" w:cs="宋体"/>
          <w:color w:val="auto"/>
          <w:sz w:val="24"/>
          <w:szCs w:val="24"/>
          <w:highlight w:val="none"/>
        </w:rPr>
        <w:tab/>
      </w:r>
    </w:p>
    <w:p w14:paraId="180E8270">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由</w:t>
      </w:r>
      <w:r>
        <w:rPr>
          <w:rFonts w:hint="eastAsia" w:ascii="宋体" w:hAnsi="宋体" w:cs="宋体"/>
          <w:color w:val="auto"/>
          <w:sz w:val="24"/>
          <w:szCs w:val="24"/>
          <w:highlight w:val="none"/>
          <w:lang w:eastAsia="zh-CN"/>
        </w:rPr>
        <w:t>采购</w:t>
      </w:r>
      <w:r>
        <w:rPr>
          <w:rFonts w:hint="eastAsia" w:ascii="宋体" w:hAnsi="宋体" w:eastAsia="宋体" w:cs="宋体"/>
          <w:color w:val="auto"/>
          <w:sz w:val="24"/>
          <w:szCs w:val="24"/>
          <w:highlight w:val="none"/>
        </w:rPr>
        <w:t>邀请书、项目服务需求、项目商务需求、开标程序及方法、评审标准、无效响应和采购终止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供应商须知、格式合同、响应文件格式要求六部分组成。</w:t>
      </w:r>
    </w:p>
    <w:p w14:paraId="67ADCE4F">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（二）采购人所作的一切有效的书面通知、修改及补充，都是</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不可分割的部分。</w:t>
      </w:r>
    </w:p>
    <w:p w14:paraId="7D044AE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的解释</w:t>
      </w:r>
    </w:p>
    <w:p w14:paraId="47192CC4">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供应商如对</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有疑问，必须以书面形式在提交响应文件截止时间1个工作日前向采购人要求澄清，采购人可视具体情况做出处理或答复。如供应商未提出疑问，视为完全理解并同意本</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。一经进入</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程序，即视为供应商已详细阅读全部文件资料，完全理解</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所有条款内容并同意放弃对这方面有不明白及误解的权利。</w:t>
      </w:r>
      <w:bookmarkStart w:id="96" w:name="_Toc318159780"/>
      <w:bookmarkStart w:id="97" w:name="_Toc318159349"/>
      <w:bookmarkStart w:id="98" w:name="_Toc318166429"/>
      <w:bookmarkStart w:id="99" w:name="_Toc318159160"/>
    </w:p>
    <w:bookmarkEnd w:id="96"/>
    <w:bookmarkEnd w:id="97"/>
    <w:bookmarkEnd w:id="98"/>
    <w:bookmarkEnd w:id="99"/>
    <w:p w14:paraId="2466699F">
      <w:pPr>
        <w:pStyle w:val="6"/>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00" w:name="_Toc102227318"/>
      <w:bookmarkStart w:id="101" w:name="_Toc342913392"/>
      <w:bookmarkStart w:id="102" w:name="_Toc179714297"/>
      <w:bookmarkStart w:id="103" w:name="_Toc19564"/>
      <w:bookmarkStart w:id="104" w:name="_Toc426965632"/>
      <w:bookmarkStart w:id="105" w:name="_Toc19364"/>
      <w:bookmarkStart w:id="106" w:name="_Toc26774"/>
      <w:bookmarkStart w:id="107" w:name="_Toc487204781"/>
      <w:r>
        <w:rPr>
          <w:rFonts w:hint="eastAsia" w:ascii="宋体" w:hAnsi="宋体" w:eastAsia="宋体" w:cs="宋体"/>
          <w:color w:val="auto"/>
          <w:sz w:val="24"/>
          <w:szCs w:val="24"/>
          <w:highlight w:val="none"/>
        </w:rPr>
        <w:t>三、</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要求</w:t>
      </w:r>
      <w:bookmarkEnd w:id="100"/>
      <w:bookmarkEnd w:id="101"/>
      <w:bookmarkEnd w:id="102"/>
      <w:bookmarkEnd w:id="103"/>
      <w:bookmarkEnd w:id="104"/>
      <w:bookmarkEnd w:id="105"/>
      <w:bookmarkEnd w:id="106"/>
      <w:bookmarkEnd w:id="107"/>
    </w:p>
    <w:p w14:paraId="65DB641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（一）响应文件</w:t>
      </w:r>
    </w:p>
    <w:p w14:paraId="36A96E4C">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供应商应当按照</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的要求编制响应文件，并对</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提出的要求和条件作出实质性响应，响应文件原则上采用软面订本，同时应编制完整的页码、目录。</w:t>
      </w:r>
    </w:p>
    <w:p w14:paraId="1B9C1927">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1、响应文件组成</w:t>
      </w:r>
    </w:p>
    <w:p w14:paraId="0DEE10DA">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响应文件由第</w:t>
      </w:r>
      <w:r>
        <w:rPr>
          <w:rFonts w:hint="eastAsia" w:ascii="宋体" w:hAnsi="宋体" w:cs="宋体"/>
          <w:color w:val="auto"/>
          <w:sz w:val="24"/>
          <w:szCs w:val="24"/>
          <w:highlight w:val="none"/>
          <w:lang w:eastAsia="zh-CN"/>
        </w:rPr>
        <w:t>七</w:t>
      </w:r>
      <w:r>
        <w:rPr>
          <w:rFonts w:hint="eastAsia" w:ascii="宋体" w:hAnsi="宋体" w:eastAsia="宋体" w:cs="宋体"/>
          <w:color w:val="auto"/>
          <w:sz w:val="24"/>
          <w:szCs w:val="24"/>
          <w:highlight w:val="none"/>
        </w:rPr>
        <w:t>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015B1A09">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有效期：响应文件及有关承诺文件有效期为</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开始时间起90天。</w:t>
      </w:r>
    </w:p>
    <w:p w14:paraId="6617A35F">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rPr>
        <w:t>）修正错误</w:t>
      </w:r>
    </w:p>
    <w:p w14:paraId="68AD4D69">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大写金额和小写金额不一致的，以大写金额为准；</w:t>
      </w:r>
    </w:p>
    <w:p w14:paraId="6E49EEE5">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三</w:t>
      </w:r>
      <w:r>
        <w:rPr>
          <w:rFonts w:hint="eastAsia" w:ascii="宋体" w:hAnsi="宋体" w:eastAsia="宋体" w:cs="宋体"/>
          <w:color w:val="auto"/>
          <w:sz w:val="24"/>
          <w:szCs w:val="24"/>
          <w:highlight w:val="none"/>
        </w:rPr>
        <w:t>）提交响应文件的份数和签署和递交</w:t>
      </w:r>
    </w:p>
    <w:p w14:paraId="19AC1D0D">
      <w:pPr>
        <w:snapToGrid w:val="0"/>
        <w:spacing w:line="40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cs="宋体"/>
          <w:b/>
          <w:bCs/>
          <w:color w:val="auto"/>
          <w:sz w:val="24"/>
          <w:szCs w:val="24"/>
          <w:highlight w:val="none"/>
          <w:lang w:eastAsia="zh-CN"/>
        </w:rPr>
        <w:t>供应商提交</w:t>
      </w:r>
      <w:r>
        <w:rPr>
          <w:rFonts w:hint="eastAsia" w:ascii="宋体" w:hAnsi="宋体" w:eastAsia="宋体" w:cs="宋体"/>
          <w:b/>
          <w:bCs/>
          <w:color w:val="auto"/>
          <w:sz w:val="24"/>
          <w:szCs w:val="24"/>
          <w:highlight w:val="none"/>
        </w:rPr>
        <w:t>响应文件一式</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份，其中正本一份，副本</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份</w:t>
      </w:r>
      <w:r>
        <w:rPr>
          <w:rFonts w:hint="eastAsia" w:ascii="宋体" w:hAnsi="宋体" w:cs="宋体"/>
          <w:b/>
          <w:bCs/>
          <w:color w:val="auto"/>
          <w:sz w:val="24"/>
          <w:szCs w:val="24"/>
          <w:highlight w:val="none"/>
          <w:lang w:eastAsia="zh-CN"/>
        </w:rPr>
        <w:t>。响应文件副本可为正本的完整复印件。</w:t>
      </w:r>
      <w:r>
        <w:rPr>
          <w:rFonts w:hint="eastAsia" w:ascii="宋体" w:hAnsi="宋体" w:eastAsia="宋体" w:cs="宋体"/>
          <w:b/>
          <w:bCs/>
          <w:color w:val="auto"/>
          <w:sz w:val="24"/>
          <w:szCs w:val="24"/>
          <w:highlight w:val="none"/>
        </w:rPr>
        <w:t>应与正本一致，如出现不一致情况以正本为准。</w:t>
      </w:r>
    </w:p>
    <w:p w14:paraId="7BA67502">
      <w:pPr>
        <w:snapToGrid w:val="0"/>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highlight w:val="none"/>
        </w:rPr>
        <w:t>响应文件按</w:t>
      </w:r>
      <w:r>
        <w:rPr>
          <w:rFonts w:hint="eastAsia" w:ascii="宋体" w:hAnsi="宋体" w:cs="宋体"/>
          <w:color w:val="auto"/>
          <w:sz w:val="24"/>
          <w:highlight w:val="none"/>
          <w:lang w:eastAsia="zh-CN"/>
        </w:rPr>
        <w:t>比选</w:t>
      </w:r>
      <w:r>
        <w:rPr>
          <w:rFonts w:hint="eastAsia" w:ascii="宋体" w:hAnsi="宋体" w:eastAsia="宋体" w:cs="宋体"/>
          <w:color w:val="auto"/>
          <w:sz w:val="24"/>
          <w:highlight w:val="none"/>
        </w:rPr>
        <w:t>文件“第七篇</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响应文件编制要求”要求签署或盖章。</w:t>
      </w:r>
    </w:p>
    <w:p w14:paraId="129BC249">
      <w:pPr>
        <w:pStyle w:val="13"/>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四</w:t>
      </w:r>
      <w:r>
        <w:rPr>
          <w:rFonts w:hint="eastAsia" w:ascii="宋体" w:hAnsi="宋体" w:eastAsia="宋体" w:cs="宋体"/>
          <w:color w:val="auto"/>
          <w:sz w:val="24"/>
          <w:szCs w:val="24"/>
          <w:highlight w:val="none"/>
        </w:rPr>
        <w:t>）响应文件语言：简体中文</w:t>
      </w:r>
    </w:p>
    <w:bookmarkEnd w:id="74"/>
    <w:bookmarkEnd w:id="75"/>
    <w:p w14:paraId="368B3BE3">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08" w:name="_Toc20783"/>
      <w:bookmarkStart w:id="109" w:name="_Toc10172"/>
      <w:bookmarkStart w:id="110" w:name="_Toc106034798"/>
      <w:r>
        <w:rPr>
          <w:rFonts w:hint="eastAsia" w:ascii="宋体" w:hAnsi="宋体" w:eastAsia="宋体" w:cs="宋体"/>
          <w:color w:val="auto"/>
          <w:sz w:val="24"/>
          <w:szCs w:val="24"/>
          <w:highlight w:val="none"/>
        </w:rPr>
        <w:t>四、成交供应商的确定和变更</w:t>
      </w:r>
      <w:bookmarkEnd w:id="108"/>
      <w:bookmarkEnd w:id="109"/>
      <w:bookmarkEnd w:id="110"/>
    </w:p>
    <w:p w14:paraId="40D08639">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采购代理机构应当在评审结束后2个工作日内将评审报告送采购人确认。采购人应当在收到评审报告后5个工作日内，从评审报告提出的成交候选供应商中，按照排序由高到低的原则确定成交供应商，也可以书面授权</w:t>
      </w:r>
      <w:r>
        <w:rPr>
          <w:rFonts w:hint="eastAsia" w:ascii="宋体" w:hAnsi="宋体" w:cs="宋体"/>
          <w:color w:val="auto"/>
          <w:sz w:val="24"/>
          <w:szCs w:val="24"/>
          <w:highlight w:val="none"/>
          <w:lang w:eastAsia="zh-CN"/>
        </w:rPr>
        <w:t>比选</w:t>
      </w:r>
      <w:r>
        <w:rPr>
          <w:rFonts w:hint="eastAsia" w:ascii="宋体" w:hAnsi="宋体" w:cs="宋体"/>
          <w:color w:val="auto"/>
          <w:sz w:val="24"/>
          <w:szCs w:val="24"/>
          <w:highlight w:val="none"/>
        </w:rPr>
        <w:t>小组直接确定成交供应商。采购人逾期未确定成交供应商且不提出异议的，视为确定评审报告提出的排序第一的供应商为成交供应商。</w:t>
      </w:r>
    </w:p>
    <w:p w14:paraId="7F367258">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（二）成交供应商的变更</w:t>
      </w:r>
    </w:p>
    <w:p w14:paraId="5AC3DDEB">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11426DDC">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2.成交供应商无充分理由放弃成交的，采购人将向同级财政部门报告，财政部门将根据相关法律法规的规定进行处理。</w:t>
      </w:r>
    </w:p>
    <w:p w14:paraId="6EE2297C">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11" w:name="_Toc17760"/>
      <w:bookmarkStart w:id="112" w:name="_Toc10504"/>
      <w:bookmarkStart w:id="113" w:name="_Toc106034799"/>
      <w:r>
        <w:rPr>
          <w:rFonts w:hint="eastAsia" w:ascii="宋体" w:hAnsi="宋体" w:eastAsia="宋体" w:cs="宋体"/>
          <w:color w:val="auto"/>
          <w:sz w:val="24"/>
          <w:szCs w:val="24"/>
          <w:highlight w:val="none"/>
        </w:rPr>
        <w:t>五、成交通知</w:t>
      </w:r>
      <w:bookmarkEnd w:id="111"/>
      <w:bookmarkEnd w:id="112"/>
      <w:bookmarkEnd w:id="113"/>
    </w:p>
    <w:p w14:paraId="5C80C475">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（一）成交供应商确定后，采购代理机构将在</w:t>
      </w:r>
      <w:r>
        <w:rPr>
          <w:rFonts w:hint="eastAsia" w:ascii="宋体" w:hAnsi="宋体" w:cs="宋体"/>
          <w:color w:val="auto"/>
          <w:sz w:val="24"/>
          <w:szCs w:val="24"/>
          <w:highlight w:val="none"/>
          <w:lang w:eastAsia="zh-CN"/>
        </w:rPr>
        <w:t>行采家（https://www.gec123.com/）</w:t>
      </w:r>
      <w:r>
        <w:rPr>
          <w:rFonts w:hint="eastAsia" w:ascii="宋体" w:hAnsi="宋体" w:cs="宋体"/>
          <w:color w:val="auto"/>
          <w:sz w:val="24"/>
          <w:szCs w:val="24"/>
          <w:highlight w:val="none"/>
        </w:rPr>
        <w:t>上发布</w:t>
      </w:r>
      <w:r>
        <w:rPr>
          <w:rFonts w:hint="eastAsia" w:ascii="宋体" w:hAnsi="宋体" w:cs="宋体"/>
          <w:color w:val="auto"/>
          <w:sz w:val="24"/>
          <w:szCs w:val="24"/>
          <w:highlight w:val="none"/>
          <w:lang w:eastAsia="zh-CN"/>
        </w:rPr>
        <w:t>比选</w:t>
      </w:r>
      <w:r>
        <w:rPr>
          <w:rFonts w:hint="eastAsia" w:ascii="宋体" w:hAnsi="宋体" w:cs="宋体"/>
          <w:color w:val="auto"/>
          <w:sz w:val="24"/>
          <w:szCs w:val="24"/>
          <w:highlight w:val="none"/>
        </w:rPr>
        <w:t>结果公告。</w:t>
      </w:r>
    </w:p>
    <w:p w14:paraId="2CB728A1">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color w:val="auto"/>
          <w:sz w:val="24"/>
          <w:szCs w:val="24"/>
          <w:highlight w:val="none"/>
          <w:lang w:eastAsia="zh-CN"/>
        </w:rPr>
        <w:t>比选</w:t>
      </w:r>
      <w:r>
        <w:rPr>
          <w:rFonts w:hint="eastAsia" w:ascii="宋体" w:hAnsi="宋体" w:cs="宋体"/>
          <w:color w:val="auto"/>
          <w:sz w:val="24"/>
          <w:szCs w:val="24"/>
          <w:highlight w:val="none"/>
        </w:rPr>
        <w:t>结果公告发出同时，采购代理机构将以书面形式发出《成交通知书》。《成交通知书》一经发出即发生法律效力。</w:t>
      </w:r>
    </w:p>
    <w:p w14:paraId="507A5CB8">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（三）《成交通知书》将作为签订合同的依据。</w:t>
      </w:r>
    </w:p>
    <w:p w14:paraId="5EC160FC">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14" w:name="_Toc14096"/>
      <w:bookmarkStart w:id="115" w:name="_Toc106034801"/>
      <w:bookmarkStart w:id="116" w:name="_Toc23778"/>
      <w:r>
        <w:rPr>
          <w:rFonts w:hint="eastAsia" w:ascii="宋体" w:hAnsi="宋体" w:eastAsia="宋体" w:cs="宋体"/>
          <w:color w:val="auto"/>
          <w:sz w:val="24"/>
          <w:szCs w:val="24"/>
          <w:highlight w:val="none"/>
        </w:rPr>
        <w:t>六、签订合同</w:t>
      </w:r>
      <w:bookmarkEnd w:id="114"/>
      <w:bookmarkEnd w:id="115"/>
      <w:bookmarkEnd w:id="116"/>
    </w:p>
    <w:p w14:paraId="2BEAA6F5">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（一）采购人原则上应在成交通知书发出之日起二十日内和成交供应商签订政府采购合同，无正当理由不得拒绝或拖延合同签订。所签订的合同不得对</w:t>
      </w:r>
      <w:r>
        <w:rPr>
          <w:rFonts w:hint="eastAsia" w:ascii="宋体" w:hAnsi="宋体" w:cs="宋体"/>
          <w:color w:val="auto"/>
          <w:sz w:val="24"/>
          <w:szCs w:val="24"/>
          <w:highlight w:val="none"/>
          <w:lang w:eastAsia="zh-CN"/>
        </w:rPr>
        <w:t>比选文件</w:t>
      </w:r>
      <w:r>
        <w:rPr>
          <w:rFonts w:hint="eastAsia" w:ascii="宋体" w:hAnsi="宋体" w:cs="宋体"/>
          <w:color w:val="auto"/>
          <w:sz w:val="24"/>
          <w:szCs w:val="24"/>
          <w:highlight w:val="none"/>
        </w:rPr>
        <w:t>和供应商的响应文件作实质性修改。其他未尽事宜由采购人和成交供应商在采购合同中详细约定。</w:t>
      </w:r>
    </w:p>
    <w:p w14:paraId="6A2CE854">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比选文件</w:t>
      </w:r>
      <w:r>
        <w:rPr>
          <w:rFonts w:hint="eastAsia" w:ascii="宋体" w:hAnsi="宋体" w:cs="宋体"/>
          <w:color w:val="auto"/>
          <w:sz w:val="24"/>
          <w:szCs w:val="24"/>
          <w:highlight w:val="none"/>
        </w:rPr>
        <w:t>、供应商的响应文件及澄清文件等，均为签订政府采购合同的依据。</w:t>
      </w:r>
    </w:p>
    <w:p w14:paraId="36A8C20D">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（三）合同生效条款由供需双方约定，法律、行政法规规定应当办理批准、登记等手续后生效的合同，依照其规定。</w:t>
      </w:r>
    </w:p>
    <w:p w14:paraId="6234602F">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（四）合同原则上应按照《重庆市政府采购合同》签订，相关单位要求适用合同通用格式版本的，应按其要求另行签订其他合同。</w:t>
      </w:r>
    </w:p>
    <w:p w14:paraId="4B97F837">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（五）采购人要求成交供应商提供履约保证金的，应当在</w:t>
      </w:r>
      <w:r>
        <w:rPr>
          <w:rFonts w:hint="eastAsia" w:ascii="宋体" w:hAnsi="宋体" w:cs="宋体"/>
          <w:color w:val="auto"/>
          <w:sz w:val="24"/>
          <w:szCs w:val="24"/>
          <w:highlight w:val="none"/>
          <w:lang w:eastAsia="zh-CN"/>
        </w:rPr>
        <w:t>比选文件</w:t>
      </w:r>
      <w:r>
        <w:rPr>
          <w:rFonts w:hint="eastAsia" w:ascii="宋体" w:hAnsi="宋体" w:cs="宋体"/>
          <w:color w:val="auto"/>
          <w:sz w:val="24"/>
          <w:szCs w:val="24"/>
          <w:highlight w:val="none"/>
        </w:rPr>
        <w:t>中予以约定。成交供应商履约完毕后，采购人根据采购文件规定无息退还其履约保证金。</w:t>
      </w:r>
    </w:p>
    <w:p w14:paraId="695C64D9">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17" w:name="_Toc106034802"/>
      <w:bookmarkStart w:id="118" w:name="_Toc21922"/>
      <w:bookmarkStart w:id="119" w:name="_Toc77"/>
      <w:r>
        <w:rPr>
          <w:rFonts w:hint="eastAsia" w:ascii="宋体" w:hAnsi="宋体" w:eastAsia="宋体" w:cs="宋体"/>
          <w:color w:val="auto"/>
          <w:sz w:val="24"/>
          <w:szCs w:val="24"/>
          <w:highlight w:val="none"/>
        </w:rPr>
        <w:t>七、项目验收</w:t>
      </w:r>
      <w:bookmarkEnd w:id="117"/>
      <w:bookmarkEnd w:id="118"/>
      <w:bookmarkEnd w:id="119"/>
    </w:p>
    <w:p w14:paraId="542856FD">
      <w:pPr>
        <w:pageBreakBefore w:val="0"/>
        <w:widowControl w:val="0"/>
        <w:kinsoku/>
        <w:wordWrap/>
        <w:overflowPunct/>
        <w:topLinePunct w:val="0"/>
        <w:autoSpaceDE/>
        <w:autoSpaceDN/>
        <w:bidi w:val="0"/>
        <w:spacing w:line="400" w:lineRule="exact"/>
        <w:ind w:firstLine="360" w:firstLineChars="150"/>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合同执行完毕，采购人或采购代理机构原则上应在7个工作日内组织履约情况验收，不得无故拖延或附加额外条件。</w:t>
      </w:r>
    </w:p>
    <w:p w14:paraId="4E149B1C">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szCs w:val="24"/>
          <w:highlight w:val="none"/>
        </w:rPr>
      </w:pPr>
      <w:bookmarkStart w:id="120" w:name="_Toc2438"/>
      <w:bookmarkStart w:id="121" w:name="_Toc17336"/>
      <w:bookmarkStart w:id="122" w:name="_Toc106034803"/>
      <w:r>
        <w:rPr>
          <w:rFonts w:hint="eastAsia" w:ascii="宋体" w:hAnsi="宋体" w:eastAsia="宋体" w:cs="宋体"/>
          <w:color w:val="auto"/>
          <w:sz w:val="24"/>
          <w:szCs w:val="24"/>
          <w:highlight w:val="none"/>
        </w:rPr>
        <w:t>八、采购代理服务费</w:t>
      </w:r>
      <w:bookmarkEnd w:id="120"/>
      <w:bookmarkEnd w:id="121"/>
      <w:bookmarkEnd w:id="122"/>
    </w:p>
    <w:p w14:paraId="1A1F32A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bookmarkStart w:id="123" w:name="_Toc9730"/>
      <w:bookmarkStart w:id="124" w:name="_Toc23463"/>
      <w:bookmarkStart w:id="125" w:name="_Toc106034655"/>
      <w:bookmarkStart w:id="126" w:name="_Toc31595"/>
      <w:bookmarkStart w:id="127" w:name="_Toc4867"/>
      <w:bookmarkStart w:id="128" w:name="_Toc65660363"/>
      <w:bookmarkStart w:id="129" w:name="_Toc106034805"/>
      <w:bookmarkStart w:id="130" w:name="_Toc76462345"/>
      <w:r>
        <w:rPr>
          <w:rFonts w:hint="eastAsia" w:ascii="宋体" w:hAnsi="宋体" w:eastAsia="宋体" w:cs="宋体"/>
          <w:color w:val="auto"/>
          <w:sz w:val="24"/>
          <w:highlight w:val="none"/>
        </w:rPr>
        <w:t>（一）供应商成交后向采购代理机构缴纳</w:t>
      </w:r>
      <w:r>
        <w:rPr>
          <w:rFonts w:hint="eastAsia" w:ascii="宋体" w:hAnsi="宋体" w:eastAsia="宋体" w:cs="宋体"/>
          <w:color w:val="auto"/>
          <w:sz w:val="24"/>
          <w:szCs w:val="24"/>
          <w:highlight w:val="none"/>
        </w:rPr>
        <w:t>采购</w:t>
      </w:r>
      <w:r>
        <w:rPr>
          <w:rFonts w:hint="eastAsia" w:ascii="宋体" w:hAnsi="宋体" w:eastAsia="宋体" w:cs="宋体"/>
          <w:color w:val="auto"/>
          <w:sz w:val="24"/>
          <w:highlight w:val="none"/>
        </w:rPr>
        <w:t>代理服务费，</w:t>
      </w:r>
      <w:r>
        <w:rPr>
          <w:rFonts w:hint="eastAsia" w:ascii="宋体" w:hAnsi="宋体" w:eastAsia="宋体" w:cs="宋体"/>
          <w:color w:val="auto"/>
          <w:sz w:val="24"/>
          <w:szCs w:val="24"/>
          <w:highlight w:val="none"/>
        </w:rPr>
        <w:t>采购</w:t>
      </w:r>
      <w:r>
        <w:rPr>
          <w:rFonts w:hint="eastAsia" w:ascii="宋体" w:hAnsi="宋体" w:eastAsia="宋体" w:cs="宋体"/>
          <w:color w:val="auto"/>
          <w:sz w:val="24"/>
          <w:highlight w:val="none"/>
        </w:rPr>
        <w:t>代理服务费</w:t>
      </w:r>
      <w:r>
        <w:rPr>
          <w:rFonts w:hint="eastAsia" w:ascii="宋体" w:hAnsi="宋体" w:cs="宋体"/>
          <w:color w:val="auto"/>
          <w:sz w:val="24"/>
          <w:highlight w:val="none"/>
          <w:lang w:eastAsia="zh-CN"/>
        </w:rPr>
        <w:t>为</w:t>
      </w:r>
      <w:r>
        <w:rPr>
          <w:rFonts w:hint="eastAsia" w:ascii="宋体" w:hAnsi="宋体" w:cs="宋体"/>
          <w:color w:val="auto"/>
          <w:sz w:val="24"/>
          <w:highlight w:val="none"/>
          <w:lang w:val="en-US" w:eastAsia="zh-CN"/>
        </w:rPr>
        <w:t>2000.00元（大写：贰仟元整）。</w:t>
      </w:r>
    </w:p>
    <w:p w14:paraId="6029CFC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rPr>
        <w:t>）代理服务费由供应商成交后向采购代理机构缴纳。</w:t>
      </w:r>
    </w:p>
    <w:p w14:paraId="7385FC1E">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五</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缴纳账号：</w:t>
      </w:r>
    </w:p>
    <w:bookmarkEnd w:id="123"/>
    <w:bookmarkEnd w:id="124"/>
    <w:bookmarkEnd w:id="125"/>
    <w:bookmarkEnd w:id="126"/>
    <w:bookmarkEnd w:id="127"/>
    <w:bookmarkEnd w:id="128"/>
    <w:bookmarkEnd w:id="129"/>
    <w:bookmarkEnd w:id="130"/>
    <w:p w14:paraId="3C34564D">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lang w:eastAsia="zh-CN"/>
        </w:rPr>
      </w:pPr>
      <w:bookmarkStart w:id="131" w:name="_Toc8532"/>
      <w:bookmarkStart w:id="132" w:name="_Toc76462347"/>
      <w:bookmarkStart w:id="133" w:name="_Toc14780"/>
      <w:r>
        <w:rPr>
          <w:rFonts w:hint="eastAsia" w:ascii="宋体" w:hAnsi="宋体" w:eastAsia="宋体" w:cs="宋体"/>
          <w:color w:val="auto"/>
          <w:sz w:val="24"/>
          <w:highlight w:val="none"/>
        </w:rPr>
        <w:t>账户名：</w:t>
      </w:r>
      <w:r>
        <w:rPr>
          <w:rFonts w:hint="eastAsia" w:ascii="宋体" w:hAnsi="宋体" w:eastAsia="宋体" w:cs="宋体"/>
          <w:color w:val="auto"/>
          <w:sz w:val="24"/>
          <w:highlight w:val="none"/>
          <w:lang w:eastAsia="zh-CN"/>
        </w:rPr>
        <w:t>重庆智胜达工程管理咨询有限公司</w:t>
      </w:r>
    </w:p>
    <w:p w14:paraId="5B2E9B7F">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开户行：中国工商银行股份有限公司重庆大足支行</w:t>
      </w:r>
    </w:p>
    <w:p w14:paraId="2D69C456">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账  号：3100096009200156694</w:t>
      </w:r>
    </w:p>
    <w:p w14:paraId="1B1C985F">
      <w:pPr>
        <w:pStyle w:val="5"/>
        <w:pageBreakBefore w:val="0"/>
        <w:widowControl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九</w:t>
      </w:r>
      <w:r>
        <w:rPr>
          <w:rFonts w:hint="eastAsia" w:ascii="宋体" w:hAnsi="宋体" w:eastAsia="宋体" w:cs="宋体"/>
          <w:color w:val="auto"/>
          <w:sz w:val="24"/>
          <w:highlight w:val="none"/>
        </w:rPr>
        <w:t>、政府采购信用融资</w:t>
      </w:r>
      <w:bookmarkEnd w:id="131"/>
      <w:bookmarkEnd w:id="132"/>
      <w:bookmarkEnd w:id="133"/>
    </w:p>
    <w:p w14:paraId="3A781D7F">
      <w:pPr>
        <w:pageBreakBefore w:val="0"/>
        <w:widowControl w:val="0"/>
        <w:kinsoku/>
        <w:wordWrap/>
        <w:overflowPunct/>
        <w:topLinePunct w:val="0"/>
        <w:autoSpaceDE/>
        <w:autoSpaceDN/>
        <w:bidi w:val="0"/>
        <w:spacing w:line="400" w:lineRule="exact"/>
        <w:ind w:firstLine="480" w:firstLineChars="200"/>
        <w:textAlignment w:val="auto"/>
        <w:rPr>
          <w:rFonts w:hint="eastAsia" w:ascii="宋体" w:hAnsi="宋体"/>
          <w:color w:val="auto"/>
          <w:sz w:val="24"/>
          <w:szCs w:val="24"/>
          <w:highlight w:val="none"/>
        </w:rPr>
        <w:sectPr>
          <w:headerReference r:id="rId6" w:type="default"/>
          <w:pgSz w:w="11907" w:h="16840"/>
          <w:pgMar w:top="1134" w:right="1191" w:bottom="1134" w:left="1304" w:header="964" w:footer="992" w:gutter="0"/>
          <w:pgBorders>
            <w:top w:val="none" w:sz="0" w:space="0"/>
            <w:left w:val="none" w:sz="0" w:space="0"/>
            <w:bottom w:val="none" w:sz="0" w:space="0"/>
            <w:right w:val="none" w:sz="0" w:space="0"/>
          </w:pgBorders>
          <w:cols w:space="720" w:num="1"/>
          <w:docGrid w:linePitch="312" w:charSpace="0"/>
        </w:sectPr>
      </w:pPr>
      <w:r>
        <w:rPr>
          <w:rFonts w:hint="eastAsia" w:ascii="宋体" w:hAnsi="宋体" w:eastAsia="宋体" w:cs="宋体"/>
          <w:color w:val="auto"/>
          <w:sz w:val="24"/>
          <w:szCs w:val="24"/>
          <w:highlight w:val="none"/>
        </w:rPr>
        <w:t>供应商参与重庆市政府采购活动，成为成交供应商，并与采购人签订政府采购合同后，可按照重庆市政府采购支持中小企业信用融资办法的规定，向开展政府采购信用融资业务的银行申请贷款。具体内容详见重庆市政府采购网“信用融资”信息专栏。</w:t>
      </w:r>
    </w:p>
    <w:bookmarkEnd w:id="34"/>
    <w:p w14:paraId="58A1D2DB">
      <w:pPr>
        <w:pStyle w:val="5"/>
        <w:spacing w:before="0" w:after="0" w:line="360" w:lineRule="auto"/>
        <w:jc w:val="center"/>
        <w:rPr>
          <w:rFonts w:hint="eastAsia" w:ascii="宋体" w:hAnsi="宋体" w:eastAsia="宋体" w:cs="宋体"/>
          <w:b w:val="0"/>
          <w:color w:val="auto"/>
          <w:sz w:val="36"/>
          <w:szCs w:val="30"/>
          <w:highlight w:val="none"/>
        </w:rPr>
      </w:pPr>
      <w:bookmarkStart w:id="134" w:name="_Toc11641055"/>
      <w:bookmarkStart w:id="135" w:name="_Toc12789059"/>
      <w:bookmarkStart w:id="136" w:name="_Toc17949"/>
      <w:r>
        <w:rPr>
          <w:rFonts w:hint="eastAsia" w:ascii="宋体" w:hAnsi="宋体" w:eastAsia="宋体" w:cs="宋体"/>
          <w:b w:val="0"/>
          <w:color w:val="auto"/>
          <w:sz w:val="36"/>
          <w:szCs w:val="30"/>
          <w:highlight w:val="none"/>
        </w:rPr>
        <w:t>第</w:t>
      </w:r>
      <w:r>
        <w:rPr>
          <w:rFonts w:hint="eastAsia" w:ascii="宋体" w:hAnsi="宋体" w:eastAsia="宋体" w:cs="宋体"/>
          <w:b w:val="0"/>
          <w:color w:val="auto"/>
          <w:sz w:val="36"/>
          <w:szCs w:val="30"/>
          <w:highlight w:val="none"/>
          <w:lang w:eastAsia="zh-CN"/>
        </w:rPr>
        <w:t>六</w:t>
      </w:r>
      <w:r>
        <w:rPr>
          <w:rFonts w:hint="eastAsia" w:ascii="宋体" w:hAnsi="宋体" w:eastAsia="宋体" w:cs="宋体"/>
          <w:b w:val="0"/>
          <w:color w:val="auto"/>
          <w:sz w:val="36"/>
          <w:szCs w:val="30"/>
          <w:highlight w:val="none"/>
        </w:rPr>
        <w:t xml:space="preserve">篇  </w:t>
      </w:r>
      <w:bookmarkEnd w:id="134"/>
      <w:bookmarkEnd w:id="135"/>
      <w:r>
        <w:rPr>
          <w:rFonts w:hint="eastAsia" w:ascii="宋体" w:hAnsi="宋体" w:eastAsia="宋体" w:cs="宋体"/>
          <w:b w:val="0"/>
          <w:color w:val="auto"/>
          <w:sz w:val="36"/>
          <w:szCs w:val="30"/>
          <w:highlight w:val="none"/>
        </w:rPr>
        <w:t>合同草案条款</w:t>
      </w:r>
      <w:bookmarkEnd w:id="136"/>
    </w:p>
    <w:p w14:paraId="66B25F17">
      <w:pPr>
        <w:adjustRightInd w:val="0"/>
        <w:snapToGrid w:val="0"/>
        <w:spacing w:line="360" w:lineRule="auto"/>
        <w:ind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注：（以下合同格式为通用版本，合同格式的最终版以签订合同时采购人提供的版本为准）</w:t>
      </w:r>
    </w:p>
    <w:p w14:paraId="402BC177">
      <w:pPr>
        <w:spacing w:line="500" w:lineRule="exact"/>
        <w:jc w:val="center"/>
        <w:rPr>
          <w:rFonts w:hint="eastAsia" w:ascii="宋体" w:hAnsi="宋体" w:eastAsia="宋体" w:cs="宋体"/>
          <w:b/>
          <w:color w:val="auto"/>
          <w:sz w:val="44"/>
          <w:highlight w:val="none"/>
        </w:rPr>
      </w:pPr>
    </w:p>
    <w:p w14:paraId="3A97B5F0">
      <w:pPr>
        <w:spacing w:line="500" w:lineRule="exact"/>
        <w:jc w:val="center"/>
        <w:rPr>
          <w:rFonts w:hint="eastAsia" w:ascii="宋体" w:hAnsi="宋体" w:eastAsia="宋体" w:cs="宋体"/>
          <w:b/>
          <w:color w:val="auto"/>
          <w:sz w:val="44"/>
          <w:highlight w:val="none"/>
        </w:rPr>
      </w:pPr>
      <w:r>
        <w:rPr>
          <w:rFonts w:hint="eastAsia" w:ascii="宋体" w:hAnsi="宋体" w:eastAsia="宋体" w:cs="宋体"/>
          <w:b/>
          <w:color w:val="auto"/>
          <w:sz w:val="44"/>
          <w:highlight w:val="none"/>
        </w:rPr>
        <w:t>采购合同（样本）</w:t>
      </w:r>
    </w:p>
    <w:p w14:paraId="58373A88">
      <w:pPr>
        <w:snapToGrid w:val="0"/>
        <w:spacing w:line="400" w:lineRule="exact"/>
        <w:ind w:firstLine="480" w:firstLineChars="200"/>
        <w:rPr>
          <w:rFonts w:hint="eastAsia" w:ascii="宋体" w:hAnsi="宋体" w:eastAsia="宋体" w:cs="宋体"/>
          <w:color w:val="auto"/>
          <w:sz w:val="24"/>
          <w:szCs w:val="24"/>
          <w:highlight w:val="none"/>
        </w:rPr>
      </w:pPr>
    </w:p>
    <w:p w14:paraId="17CA6E2F">
      <w:pPr>
        <w:snapToGrid w:val="0"/>
        <w:spacing w:line="28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甲方（需方）：___________________________      计价单位：____________</w:t>
      </w:r>
    </w:p>
    <w:p w14:paraId="568E2DD4">
      <w:pPr>
        <w:snapToGrid w:val="0"/>
        <w:spacing w:line="28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乙方（供方）：___________________________      计量单位：_____________</w:t>
      </w:r>
    </w:p>
    <w:p w14:paraId="77F2DAA7">
      <w:pPr>
        <w:snapToGrid w:val="0"/>
        <w:spacing w:line="28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经双方协商一致，达成以下购销合同：</w:t>
      </w:r>
    </w:p>
    <w:tbl>
      <w:tblPr>
        <w:tblStyle w:val="25"/>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04507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13F9B1F5">
            <w:pPr>
              <w:spacing w:line="280" w:lineRule="exact"/>
              <w:ind w:firstLine="442" w:firstLineChars="200"/>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项目名称</w:t>
            </w:r>
          </w:p>
        </w:tc>
        <w:tc>
          <w:tcPr>
            <w:tcW w:w="984" w:type="dxa"/>
            <w:vAlign w:val="center"/>
          </w:tcPr>
          <w:p w14:paraId="2CA9D743">
            <w:pPr>
              <w:spacing w:line="28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数量</w:t>
            </w:r>
          </w:p>
        </w:tc>
        <w:tc>
          <w:tcPr>
            <w:tcW w:w="1298" w:type="dxa"/>
            <w:gridSpan w:val="2"/>
            <w:vAlign w:val="center"/>
          </w:tcPr>
          <w:p w14:paraId="0EB46A07">
            <w:pPr>
              <w:spacing w:line="28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综合单价</w:t>
            </w:r>
          </w:p>
        </w:tc>
        <w:tc>
          <w:tcPr>
            <w:tcW w:w="1134" w:type="dxa"/>
            <w:vAlign w:val="center"/>
          </w:tcPr>
          <w:p w14:paraId="410D16F6">
            <w:pPr>
              <w:spacing w:line="28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总价</w:t>
            </w:r>
          </w:p>
        </w:tc>
        <w:tc>
          <w:tcPr>
            <w:tcW w:w="1559" w:type="dxa"/>
            <w:vAlign w:val="center"/>
          </w:tcPr>
          <w:p w14:paraId="571A525A">
            <w:pPr>
              <w:spacing w:line="280" w:lineRule="exact"/>
              <w:jc w:val="center"/>
              <w:rPr>
                <w:rFonts w:hint="eastAsia" w:ascii="宋体" w:hAnsi="宋体" w:eastAsia="宋体" w:cs="宋体"/>
                <w:b/>
                <w:bCs/>
                <w:color w:val="auto"/>
                <w:sz w:val="22"/>
                <w:szCs w:val="22"/>
                <w:highlight w:val="none"/>
              </w:rPr>
            </w:pPr>
            <w:r>
              <w:rPr>
                <w:rFonts w:hint="eastAsia" w:ascii="宋体" w:hAnsi="宋体" w:cs="宋体"/>
                <w:b/>
                <w:bCs/>
                <w:color w:val="auto"/>
                <w:sz w:val="22"/>
                <w:szCs w:val="22"/>
                <w:highlight w:val="none"/>
                <w:lang w:eastAsia="zh-CN"/>
              </w:rPr>
              <w:t>交付</w:t>
            </w:r>
            <w:r>
              <w:rPr>
                <w:rFonts w:hint="eastAsia" w:ascii="宋体" w:hAnsi="宋体" w:eastAsia="宋体" w:cs="宋体"/>
                <w:b/>
                <w:bCs/>
                <w:color w:val="auto"/>
                <w:sz w:val="22"/>
                <w:szCs w:val="22"/>
                <w:highlight w:val="none"/>
              </w:rPr>
              <w:t>时间</w:t>
            </w:r>
          </w:p>
        </w:tc>
        <w:tc>
          <w:tcPr>
            <w:tcW w:w="1567" w:type="dxa"/>
            <w:vAlign w:val="center"/>
          </w:tcPr>
          <w:p w14:paraId="7E6D83E3">
            <w:pPr>
              <w:spacing w:line="280" w:lineRule="exact"/>
              <w:jc w:val="center"/>
              <w:rPr>
                <w:rFonts w:hint="eastAsia" w:ascii="宋体" w:hAnsi="宋体" w:eastAsia="宋体" w:cs="宋体"/>
                <w:b/>
                <w:bCs/>
                <w:color w:val="auto"/>
                <w:sz w:val="22"/>
                <w:szCs w:val="22"/>
                <w:highlight w:val="none"/>
              </w:rPr>
            </w:pPr>
            <w:r>
              <w:rPr>
                <w:rFonts w:hint="eastAsia" w:ascii="宋体" w:hAnsi="宋体" w:cs="宋体"/>
                <w:b/>
                <w:bCs/>
                <w:color w:val="auto"/>
                <w:sz w:val="22"/>
                <w:szCs w:val="22"/>
                <w:highlight w:val="none"/>
                <w:lang w:eastAsia="zh-CN"/>
              </w:rPr>
              <w:t>交付</w:t>
            </w:r>
            <w:r>
              <w:rPr>
                <w:rFonts w:hint="eastAsia" w:ascii="宋体" w:hAnsi="宋体" w:eastAsia="宋体" w:cs="宋体"/>
                <w:b/>
                <w:bCs/>
                <w:color w:val="auto"/>
                <w:sz w:val="22"/>
                <w:szCs w:val="22"/>
                <w:highlight w:val="none"/>
              </w:rPr>
              <w:t>地点</w:t>
            </w:r>
          </w:p>
        </w:tc>
      </w:tr>
      <w:tr w14:paraId="6491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634803C5">
            <w:pPr>
              <w:spacing w:line="280" w:lineRule="exact"/>
              <w:ind w:firstLine="440" w:firstLineChars="200"/>
              <w:jc w:val="center"/>
              <w:rPr>
                <w:rFonts w:hint="eastAsia" w:ascii="宋体" w:hAnsi="宋体" w:eastAsia="宋体" w:cs="宋体"/>
                <w:color w:val="auto"/>
                <w:sz w:val="22"/>
                <w:szCs w:val="22"/>
                <w:highlight w:val="none"/>
              </w:rPr>
            </w:pPr>
          </w:p>
        </w:tc>
        <w:tc>
          <w:tcPr>
            <w:tcW w:w="984" w:type="dxa"/>
            <w:vAlign w:val="center"/>
          </w:tcPr>
          <w:p w14:paraId="0FBC8FB0">
            <w:pPr>
              <w:spacing w:line="280" w:lineRule="exact"/>
              <w:ind w:firstLine="440" w:firstLineChars="200"/>
              <w:jc w:val="center"/>
              <w:rPr>
                <w:rFonts w:hint="eastAsia" w:ascii="宋体" w:hAnsi="宋体" w:eastAsia="宋体" w:cs="宋体"/>
                <w:color w:val="auto"/>
                <w:sz w:val="22"/>
                <w:szCs w:val="22"/>
                <w:highlight w:val="none"/>
              </w:rPr>
            </w:pPr>
          </w:p>
        </w:tc>
        <w:tc>
          <w:tcPr>
            <w:tcW w:w="1298" w:type="dxa"/>
            <w:gridSpan w:val="2"/>
            <w:vAlign w:val="center"/>
          </w:tcPr>
          <w:p w14:paraId="77446A8B">
            <w:pPr>
              <w:spacing w:line="280" w:lineRule="exact"/>
              <w:ind w:firstLine="440" w:firstLineChars="200"/>
              <w:jc w:val="center"/>
              <w:rPr>
                <w:rFonts w:hint="eastAsia" w:ascii="宋体" w:hAnsi="宋体" w:eastAsia="宋体" w:cs="宋体"/>
                <w:color w:val="auto"/>
                <w:sz w:val="22"/>
                <w:szCs w:val="22"/>
                <w:highlight w:val="none"/>
              </w:rPr>
            </w:pPr>
          </w:p>
        </w:tc>
        <w:tc>
          <w:tcPr>
            <w:tcW w:w="1134" w:type="dxa"/>
            <w:vAlign w:val="center"/>
          </w:tcPr>
          <w:p w14:paraId="58A4928F">
            <w:pPr>
              <w:spacing w:line="280" w:lineRule="exact"/>
              <w:ind w:firstLine="440" w:firstLineChars="200"/>
              <w:jc w:val="center"/>
              <w:rPr>
                <w:rFonts w:hint="eastAsia" w:ascii="宋体" w:hAnsi="宋体" w:eastAsia="宋体" w:cs="宋体"/>
                <w:color w:val="auto"/>
                <w:sz w:val="22"/>
                <w:szCs w:val="22"/>
                <w:highlight w:val="none"/>
              </w:rPr>
            </w:pPr>
          </w:p>
        </w:tc>
        <w:tc>
          <w:tcPr>
            <w:tcW w:w="1559" w:type="dxa"/>
            <w:vAlign w:val="center"/>
          </w:tcPr>
          <w:p w14:paraId="30939A2F">
            <w:pPr>
              <w:spacing w:line="280" w:lineRule="exact"/>
              <w:ind w:firstLine="440" w:firstLineChars="200"/>
              <w:jc w:val="center"/>
              <w:rPr>
                <w:rFonts w:hint="eastAsia" w:ascii="宋体" w:hAnsi="宋体" w:eastAsia="宋体" w:cs="宋体"/>
                <w:color w:val="auto"/>
                <w:sz w:val="22"/>
                <w:szCs w:val="22"/>
                <w:highlight w:val="none"/>
              </w:rPr>
            </w:pPr>
          </w:p>
        </w:tc>
        <w:tc>
          <w:tcPr>
            <w:tcW w:w="1567" w:type="dxa"/>
            <w:vAlign w:val="center"/>
          </w:tcPr>
          <w:p w14:paraId="5FAB6B81">
            <w:pPr>
              <w:spacing w:line="280" w:lineRule="exact"/>
              <w:ind w:firstLine="440" w:firstLineChars="200"/>
              <w:jc w:val="center"/>
              <w:rPr>
                <w:rFonts w:hint="eastAsia" w:ascii="宋体" w:hAnsi="宋体" w:eastAsia="宋体" w:cs="宋体"/>
                <w:color w:val="auto"/>
                <w:sz w:val="22"/>
                <w:szCs w:val="22"/>
                <w:highlight w:val="none"/>
              </w:rPr>
            </w:pPr>
          </w:p>
        </w:tc>
      </w:tr>
      <w:tr w14:paraId="44C67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3071" w:type="dxa"/>
            <w:vAlign w:val="center"/>
          </w:tcPr>
          <w:p w14:paraId="7DD5E54F">
            <w:pPr>
              <w:spacing w:line="280" w:lineRule="exact"/>
              <w:ind w:firstLine="440" w:firstLineChars="200"/>
              <w:jc w:val="center"/>
              <w:rPr>
                <w:rFonts w:hint="eastAsia" w:ascii="宋体" w:hAnsi="宋体" w:eastAsia="宋体" w:cs="宋体"/>
                <w:color w:val="auto"/>
                <w:sz w:val="22"/>
                <w:szCs w:val="22"/>
                <w:highlight w:val="none"/>
              </w:rPr>
            </w:pPr>
          </w:p>
        </w:tc>
        <w:tc>
          <w:tcPr>
            <w:tcW w:w="984" w:type="dxa"/>
            <w:vAlign w:val="center"/>
          </w:tcPr>
          <w:p w14:paraId="006C3D2A">
            <w:pPr>
              <w:spacing w:line="280" w:lineRule="exact"/>
              <w:ind w:firstLine="440" w:firstLineChars="200"/>
              <w:jc w:val="center"/>
              <w:rPr>
                <w:rFonts w:hint="eastAsia" w:ascii="宋体" w:hAnsi="宋体" w:eastAsia="宋体" w:cs="宋体"/>
                <w:color w:val="auto"/>
                <w:sz w:val="22"/>
                <w:szCs w:val="22"/>
                <w:highlight w:val="none"/>
              </w:rPr>
            </w:pPr>
          </w:p>
        </w:tc>
        <w:tc>
          <w:tcPr>
            <w:tcW w:w="1298" w:type="dxa"/>
            <w:gridSpan w:val="2"/>
            <w:vAlign w:val="center"/>
          </w:tcPr>
          <w:p w14:paraId="34BBC7BB">
            <w:pPr>
              <w:spacing w:line="280" w:lineRule="exact"/>
              <w:ind w:firstLine="440" w:firstLineChars="200"/>
              <w:jc w:val="center"/>
              <w:rPr>
                <w:rFonts w:hint="eastAsia" w:ascii="宋体" w:hAnsi="宋体" w:eastAsia="宋体" w:cs="宋体"/>
                <w:color w:val="auto"/>
                <w:sz w:val="22"/>
                <w:szCs w:val="22"/>
                <w:highlight w:val="none"/>
              </w:rPr>
            </w:pPr>
          </w:p>
        </w:tc>
        <w:tc>
          <w:tcPr>
            <w:tcW w:w="1134" w:type="dxa"/>
            <w:vAlign w:val="center"/>
          </w:tcPr>
          <w:p w14:paraId="7E1E0EBE">
            <w:pPr>
              <w:spacing w:line="280" w:lineRule="exact"/>
              <w:ind w:firstLine="440" w:firstLineChars="200"/>
              <w:jc w:val="center"/>
              <w:rPr>
                <w:rFonts w:hint="eastAsia" w:ascii="宋体" w:hAnsi="宋体" w:eastAsia="宋体" w:cs="宋体"/>
                <w:color w:val="auto"/>
                <w:sz w:val="22"/>
                <w:szCs w:val="22"/>
                <w:highlight w:val="none"/>
              </w:rPr>
            </w:pPr>
          </w:p>
        </w:tc>
        <w:tc>
          <w:tcPr>
            <w:tcW w:w="1559" w:type="dxa"/>
            <w:vAlign w:val="center"/>
          </w:tcPr>
          <w:p w14:paraId="19B3B725">
            <w:pPr>
              <w:spacing w:line="280" w:lineRule="exact"/>
              <w:ind w:firstLine="440" w:firstLineChars="200"/>
              <w:jc w:val="center"/>
              <w:rPr>
                <w:rFonts w:hint="eastAsia" w:ascii="宋体" w:hAnsi="宋体" w:eastAsia="宋体" w:cs="宋体"/>
                <w:color w:val="auto"/>
                <w:sz w:val="22"/>
                <w:szCs w:val="22"/>
                <w:highlight w:val="none"/>
              </w:rPr>
            </w:pPr>
          </w:p>
        </w:tc>
        <w:tc>
          <w:tcPr>
            <w:tcW w:w="1567" w:type="dxa"/>
            <w:vAlign w:val="center"/>
          </w:tcPr>
          <w:p w14:paraId="4A8D10D3">
            <w:pPr>
              <w:spacing w:line="280" w:lineRule="exact"/>
              <w:ind w:firstLine="440" w:firstLineChars="200"/>
              <w:jc w:val="center"/>
              <w:rPr>
                <w:rFonts w:hint="eastAsia" w:ascii="宋体" w:hAnsi="宋体" w:eastAsia="宋体" w:cs="宋体"/>
                <w:color w:val="auto"/>
                <w:sz w:val="22"/>
                <w:szCs w:val="22"/>
                <w:highlight w:val="none"/>
              </w:rPr>
            </w:pPr>
          </w:p>
        </w:tc>
      </w:tr>
      <w:tr w14:paraId="2B43A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5A2B3D23">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合计人民币（小写）：</w:t>
            </w:r>
          </w:p>
        </w:tc>
      </w:tr>
      <w:tr w14:paraId="54983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9613" w:type="dxa"/>
            <w:gridSpan w:val="7"/>
            <w:vAlign w:val="center"/>
          </w:tcPr>
          <w:p w14:paraId="1EDBE616">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合计人民币（大写）：</w:t>
            </w:r>
          </w:p>
        </w:tc>
      </w:tr>
      <w:tr w14:paraId="1938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trPr>
        <w:tc>
          <w:tcPr>
            <w:tcW w:w="9613" w:type="dxa"/>
            <w:gridSpan w:val="7"/>
          </w:tcPr>
          <w:p w14:paraId="29624F2F">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一、</w:t>
            </w:r>
            <w:r>
              <w:rPr>
                <w:rFonts w:hint="eastAsia" w:ascii="宋体" w:hAnsi="宋体" w:cs="宋体"/>
                <w:color w:val="auto"/>
                <w:sz w:val="22"/>
                <w:szCs w:val="22"/>
                <w:highlight w:val="none"/>
                <w:lang w:eastAsia="zh-CN"/>
              </w:rPr>
              <w:t>供货</w:t>
            </w:r>
            <w:r>
              <w:rPr>
                <w:rFonts w:hint="eastAsia" w:ascii="宋体" w:hAnsi="宋体" w:eastAsia="宋体" w:cs="宋体"/>
                <w:color w:val="auto"/>
                <w:sz w:val="22"/>
                <w:szCs w:val="22"/>
                <w:highlight w:val="none"/>
              </w:rPr>
              <w:t>要求</w:t>
            </w:r>
          </w:p>
        </w:tc>
      </w:tr>
      <w:tr w14:paraId="2B25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9628" w:type="dxa"/>
            <w:gridSpan w:val="8"/>
          </w:tcPr>
          <w:p w14:paraId="1FBE9F44">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二、验收方式</w:t>
            </w:r>
          </w:p>
        </w:tc>
      </w:tr>
      <w:tr w14:paraId="3EA6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8"/>
          </w:tcPr>
          <w:p w14:paraId="0F9FD4FA">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三、付款方式：</w:t>
            </w:r>
          </w:p>
          <w:p w14:paraId="26EAAE49">
            <w:pPr>
              <w:pStyle w:val="12"/>
              <w:spacing w:line="280" w:lineRule="exact"/>
              <w:ind w:firstLine="440" w:firstLineChars="200"/>
              <w:rPr>
                <w:rFonts w:hint="eastAsia" w:ascii="宋体" w:hAnsi="宋体" w:eastAsia="宋体" w:cs="宋体"/>
                <w:color w:val="auto"/>
                <w:sz w:val="22"/>
                <w:szCs w:val="22"/>
                <w:highlight w:val="none"/>
              </w:rPr>
            </w:pPr>
          </w:p>
        </w:tc>
      </w:tr>
      <w:tr w14:paraId="6670B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64659DF3">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四、违约责任：</w:t>
            </w:r>
          </w:p>
          <w:p w14:paraId="7CDB2687">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按《中华人民共和国民法典》、《政府采购法》执行，或按双方约定。</w:t>
            </w:r>
          </w:p>
        </w:tc>
      </w:tr>
      <w:tr w14:paraId="4CEB0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8" w:type="dxa"/>
            <w:gridSpan w:val="8"/>
          </w:tcPr>
          <w:p w14:paraId="72FA3405">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五、其他约定事项：</w:t>
            </w:r>
          </w:p>
          <w:p w14:paraId="487B5F25">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1.采购文件及其补遗文件、响应文件和承诺是本合同不可分割的部分。</w:t>
            </w:r>
          </w:p>
          <w:p w14:paraId="5BC4F660">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2.本合同如发生争议由双方协商解决，协商不成向需方所在人民法院提请诉讼。</w:t>
            </w:r>
          </w:p>
          <w:p w14:paraId="15F42092">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3.本合同一式__份，需方__份，供方__份，具同等法律效力。</w:t>
            </w:r>
          </w:p>
          <w:p w14:paraId="314ED97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4.其他：</w:t>
            </w:r>
          </w:p>
        </w:tc>
      </w:tr>
      <w:tr w14:paraId="5379F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4" w:type="dxa"/>
            <w:gridSpan w:val="3"/>
          </w:tcPr>
          <w:p w14:paraId="17ED2260">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需方：</w:t>
            </w:r>
          </w:p>
          <w:p w14:paraId="597FF336">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地址：</w:t>
            </w:r>
          </w:p>
          <w:p w14:paraId="2A886B3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联系电话：</w:t>
            </w:r>
          </w:p>
          <w:p w14:paraId="603D2827">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授权代表：</w:t>
            </w:r>
          </w:p>
        </w:tc>
        <w:tc>
          <w:tcPr>
            <w:tcW w:w="4984" w:type="dxa"/>
            <w:gridSpan w:val="5"/>
          </w:tcPr>
          <w:p w14:paraId="7C48AD4B">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供方：</w:t>
            </w:r>
          </w:p>
          <w:p w14:paraId="7E0EFEE5">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地址：</w:t>
            </w:r>
          </w:p>
          <w:p w14:paraId="3A3A7A73">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电话：</w:t>
            </w:r>
          </w:p>
          <w:p w14:paraId="319E58E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传真：</w:t>
            </w:r>
          </w:p>
          <w:p w14:paraId="569C1C59">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开户银行：</w:t>
            </w:r>
          </w:p>
          <w:p w14:paraId="56D3BAFF">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账号：</w:t>
            </w:r>
          </w:p>
          <w:p w14:paraId="73A70208">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授权代表：</w:t>
            </w:r>
          </w:p>
          <w:p w14:paraId="0C4B7938">
            <w:pPr>
              <w:widowControl/>
              <w:spacing w:line="280" w:lineRule="exact"/>
              <w:ind w:firstLine="44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（本栏请用计算机打印以便于准确付款）</w:t>
            </w:r>
          </w:p>
        </w:tc>
      </w:tr>
      <w:tr w14:paraId="59476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628" w:type="dxa"/>
            <w:gridSpan w:val="8"/>
          </w:tcPr>
          <w:p w14:paraId="2AB1440F">
            <w:pPr>
              <w:spacing w:line="28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备注：</w:t>
            </w:r>
          </w:p>
          <w:p w14:paraId="188BA9B9">
            <w:pPr>
              <w:spacing w:line="280" w:lineRule="exact"/>
              <w:ind w:firstLine="440" w:firstLineChars="200"/>
              <w:rPr>
                <w:rFonts w:hint="eastAsia" w:ascii="宋体" w:hAnsi="宋体" w:eastAsia="宋体" w:cs="宋体"/>
                <w:color w:val="auto"/>
                <w:sz w:val="22"/>
                <w:szCs w:val="22"/>
                <w:highlight w:val="none"/>
              </w:rPr>
            </w:pPr>
          </w:p>
          <w:p w14:paraId="15039FA0">
            <w:pPr>
              <w:spacing w:line="280" w:lineRule="exact"/>
              <w:ind w:firstLine="440" w:firstLineChars="200"/>
              <w:rPr>
                <w:rFonts w:hint="eastAsia" w:ascii="宋体" w:hAnsi="宋体" w:eastAsia="宋体" w:cs="宋体"/>
                <w:color w:val="auto"/>
                <w:sz w:val="22"/>
                <w:szCs w:val="22"/>
                <w:highlight w:val="none"/>
              </w:rPr>
            </w:pPr>
          </w:p>
        </w:tc>
      </w:tr>
    </w:tbl>
    <w:p w14:paraId="7BDF6502">
      <w:pPr>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签约时间：  年   月   日                        签约地点：</w:t>
      </w:r>
    </w:p>
    <w:p w14:paraId="225AE2DD">
      <w:pPr>
        <w:tabs>
          <w:tab w:val="left" w:pos="9000"/>
        </w:tabs>
        <w:spacing w:line="276" w:lineRule="auto"/>
        <w:jc w:val="center"/>
        <w:rPr>
          <w:rFonts w:hint="eastAsia" w:ascii="宋体" w:hAnsi="宋体" w:eastAsia="宋体" w:cs="宋体"/>
          <w:color w:val="auto"/>
          <w:sz w:val="21"/>
          <w:szCs w:val="21"/>
          <w:highlight w:val="none"/>
        </w:rPr>
        <w:sectPr>
          <w:footerReference r:id="rId7" w:type="default"/>
          <w:footerReference r:id="rId8" w:type="even"/>
          <w:pgSz w:w="11907" w:h="16840"/>
          <w:pgMar w:top="1134" w:right="1191" w:bottom="1134" w:left="1304" w:header="964" w:footer="992" w:gutter="0"/>
          <w:pgBorders>
            <w:top w:val="none" w:sz="0" w:space="0"/>
            <w:left w:val="none" w:sz="0" w:space="0"/>
            <w:bottom w:val="none" w:sz="0" w:space="0"/>
            <w:right w:val="none" w:sz="0" w:space="0"/>
          </w:pgBorders>
          <w:pgNumType w:fmt="numberInDash"/>
          <w:cols w:space="720" w:num="1"/>
          <w:docGrid w:linePitch="312" w:charSpace="0"/>
        </w:sectPr>
      </w:pPr>
    </w:p>
    <w:p w14:paraId="7D0F8EBC">
      <w:pPr>
        <w:pStyle w:val="5"/>
        <w:spacing w:before="0" w:after="0" w:line="360" w:lineRule="auto"/>
        <w:jc w:val="center"/>
        <w:rPr>
          <w:rFonts w:hint="eastAsia" w:ascii="宋体" w:hAnsi="宋体" w:eastAsia="宋体" w:cs="宋体"/>
          <w:b w:val="0"/>
          <w:color w:val="auto"/>
          <w:sz w:val="36"/>
          <w:szCs w:val="30"/>
          <w:highlight w:val="none"/>
        </w:rPr>
      </w:pPr>
      <w:bookmarkStart w:id="137" w:name="_Hlt41879464"/>
      <w:bookmarkEnd w:id="137"/>
      <w:bookmarkStart w:id="138" w:name="_Toc12789072"/>
      <w:bookmarkStart w:id="139" w:name="_Toc24744"/>
      <w:r>
        <w:rPr>
          <w:rFonts w:hint="eastAsia" w:ascii="宋体" w:hAnsi="宋体" w:eastAsia="宋体" w:cs="宋体"/>
          <w:b w:val="0"/>
          <w:color w:val="auto"/>
          <w:sz w:val="36"/>
          <w:szCs w:val="30"/>
          <w:highlight w:val="none"/>
        </w:rPr>
        <w:t>第</w:t>
      </w:r>
      <w:r>
        <w:rPr>
          <w:rFonts w:hint="eastAsia" w:ascii="宋体" w:hAnsi="宋体" w:eastAsia="宋体" w:cs="宋体"/>
          <w:b w:val="0"/>
          <w:color w:val="auto"/>
          <w:sz w:val="36"/>
          <w:szCs w:val="30"/>
          <w:highlight w:val="none"/>
          <w:lang w:eastAsia="zh-CN"/>
        </w:rPr>
        <w:t>七</w:t>
      </w:r>
      <w:r>
        <w:rPr>
          <w:rFonts w:hint="eastAsia" w:ascii="宋体" w:hAnsi="宋体" w:eastAsia="宋体" w:cs="宋体"/>
          <w:b w:val="0"/>
          <w:color w:val="auto"/>
          <w:sz w:val="36"/>
          <w:szCs w:val="30"/>
          <w:highlight w:val="none"/>
        </w:rPr>
        <w:t>篇  响应文件格式要求</w:t>
      </w:r>
      <w:bookmarkEnd w:id="138"/>
      <w:bookmarkEnd w:id="139"/>
    </w:p>
    <w:p w14:paraId="50932232">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一、经济部分</w:t>
      </w:r>
    </w:p>
    <w:p w14:paraId="05EF8D6F">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（一）报价函</w:t>
      </w:r>
    </w:p>
    <w:p w14:paraId="4287EAB7">
      <w:pPr>
        <w:pStyle w:val="13"/>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（二）明细报价表</w:t>
      </w:r>
    </w:p>
    <w:p w14:paraId="111DE340">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二、</w:t>
      </w:r>
      <w:r>
        <w:rPr>
          <w:rFonts w:hint="eastAsia" w:ascii="宋体" w:hAnsi="宋体" w:cs="宋体"/>
          <w:b/>
          <w:color w:val="auto"/>
          <w:sz w:val="24"/>
          <w:szCs w:val="24"/>
          <w:highlight w:val="none"/>
          <w:lang w:eastAsia="zh-CN"/>
        </w:rPr>
        <w:t>技术</w:t>
      </w:r>
      <w:r>
        <w:rPr>
          <w:rFonts w:hint="eastAsia" w:ascii="宋体" w:hAnsi="宋体" w:eastAsia="宋体" w:cs="宋体"/>
          <w:b/>
          <w:color w:val="auto"/>
          <w:sz w:val="24"/>
          <w:szCs w:val="24"/>
          <w:highlight w:val="none"/>
        </w:rPr>
        <w:t>部分</w:t>
      </w:r>
    </w:p>
    <w:p w14:paraId="7FB6203A">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（一）</w:t>
      </w:r>
      <w:r>
        <w:rPr>
          <w:rFonts w:hint="eastAsia" w:ascii="宋体" w:hAnsi="宋体" w:cs="宋体"/>
          <w:color w:val="auto"/>
          <w:sz w:val="24"/>
          <w:szCs w:val="24"/>
          <w:highlight w:val="none"/>
          <w:lang w:eastAsia="zh-CN"/>
        </w:rPr>
        <w:t>技术</w:t>
      </w:r>
      <w:r>
        <w:rPr>
          <w:rFonts w:hint="eastAsia" w:ascii="宋体" w:hAnsi="宋体" w:eastAsia="宋体" w:cs="宋体"/>
          <w:color w:val="auto"/>
          <w:sz w:val="24"/>
          <w:szCs w:val="24"/>
          <w:highlight w:val="none"/>
        </w:rPr>
        <w:t>响应偏离表</w:t>
      </w:r>
    </w:p>
    <w:p w14:paraId="3530E581">
      <w:pPr>
        <w:pStyle w:val="13"/>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（二）其他</w:t>
      </w:r>
      <w:r>
        <w:rPr>
          <w:rFonts w:hint="eastAsia" w:ascii="宋体" w:hAnsi="宋体" w:cs="宋体"/>
          <w:color w:val="auto"/>
          <w:sz w:val="24"/>
          <w:szCs w:val="24"/>
          <w:highlight w:val="none"/>
          <w:lang w:val="en-US" w:eastAsia="zh-CN"/>
        </w:rPr>
        <w:t>项目</w:t>
      </w:r>
      <w:r>
        <w:rPr>
          <w:rFonts w:hint="eastAsia" w:ascii="宋体" w:hAnsi="宋体" w:eastAsia="宋体" w:cs="宋体"/>
          <w:color w:val="auto"/>
          <w:sz w:val="24"/>
          <w:szCs w:val="24"/>
          <w:highlight w:val="none"/>
          <w:lang w:val="en-US" w:eastAsia="zh-CN"/>
        </w:rPr>
        <w:t>资料</w:t>
      </w:r>
    </w:p>
    <w:p w14:paraId="6AC55D71">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三、商务部分</w:t>
      </w:r>
    </w:p>
    <w:p w14:paraId="569A31D8">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（一）商务响应偏离表</w:t>
      </w:r>
    </w:p>
    <w:p w14:paraId="0FACC853">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（二）其它商务资料</w:t>
      </w:r>
    </w:p>
    <w:p w14:paraId="36282CAC">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四、资格条件及其他</w:t>
      </w:r>
    </w:p>
    <w:p w14:paraId="3F25ABE4">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27EA9CAC">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（二）法定代表人身份证明书（格式）</w:t>
      </w:r>
    </w:p>
    <w:p w14:paraId="4CD6E0FC">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（三）法定代表人授权委托书（格式）</w:t>
      </w:r>
    </w:p>
    <w:p w14:paraId="2FA1CADD">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（四）基本资格条件承诺函（格式）</w:t>
      </w:r>
    </w:p>
    <w:p w14:paraId="17C8F188">
      <w:pPr>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（五）特定资格条件证书或证明文件（如有）</w:t>
      </w:r>
    </w:p>
    <w:p w14:paraId="21CAEBA2">
      <w:pPr>
        <w:pStyle w:val="13"/>
        <w:spacing w:line="40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五、其他资料</w:t>
      </w:r>
    </w:p>
    <w:p w14:paraId="3763C4FF">
      <w:pPr>
        <w:pStyle w:val="13"/>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（一）中小企业声明函、监狱企业证明文件、残疾人福利性单位声明函</w:t>
      </w:r>
    </w:p>
    <w:p w14:paraId="3E7BDF95">
      <w:pPr>
        <w:pStyle w:val="13"/>
        <w:spacing w:line="400" w:lineRule="exact"/>
        <w:ind w:firstLine="480" w:firstLineChars="200"/>
        <w:rPr>
          <w:rFonts w:hint="eastAsia" w:ascii="宋体" w:hAnsi="宋体" w:eastAsia="宋体" w:cs="宋体"/>
          <w:color w:val="auto"/>
          <w:sz w:val="24"/>
          <w:szCs w:val="24"/>
          <w:highlight w:val="none"/>
        </w:rPr>
        <w:sectPr>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pPr>
      <w:r>
        <w:rPr>
          <w:rFonts w:hint="eastAsia" w:ascii="宋体" w:hAnsi="宋体" w:cs="宋体"/>
          <w:color w:val="auto"/>
          <w:sz w:val="24"/>
          <w:szCs w:val="24"/>
          <w:highlight w:val="none"/>
          <w:lang w:eastAsia="zh-CN"/>
        </w:rPr>
        <w:t>（二）</w:t>
      </w:r>
      <w:r>
        <w:rPr>
          <w:rFonts w:hint="eastAsia" w:ascii="宋体" w:hAnsi="宋体" w:eastAsia="宋体" w:cs="宋体"/>
          <w:color w:val="auto"/>
          <w:sz w:val="24"/>
          <w:szCs w:val="24"/>
          <w:highlight w:val="none"/>
        </w:rPr>
        <w:t>其他与项目有关的资料（</w:t>
      </w:r>
      <w:r>
        <w:rPr>
          <w:rFonts w:hint="eastAsia" w:ascii="宋体" w:hAnsi="宋体" w:cs="宋体"/>
          <w:color w:val="auto"/>
          <w:sz w:val="24"/>
          <w:szCs w:val="24"/>
          <w:highlight w:val="none"/>
          <w:lang w:eastAsia="zh-CN"/>
        </w:rPr>
        <w:t>如有</w:t>
      </w:r>
      <w:r>
        <w:rPr>
          <w:rFonts w:hint="eastAsia" w:ascii="宋体" w:hAnsi="宋体" w:eastAsia="宋体" w:cs="宋体"/>
          <w:color w:val="auto"/>
          <w:sz w:val="24"/>
          <w:szCs w:val="24"/>
          <w:highlight w:val="none"/>
        </w:rPr>
        <w:t>）</w:t>
      </w:r>
    </w:p>
    <w:p w14:paraId="70857A50">
      <w:pPr>
        <w:pStyle w:val="6"/>
        <w:adjustRightInd w:val="0"/>
        <w:snapToGrid w:val="0"/>
        <w:spacing w:before="0" w:after="0" w:line="400" w:lineRule="exact"/>
        <w:ind w:firstLine="643" w:firstLineChars="200"/>
        <w:rPr>
          <w:rFonts w:hint="eastAsia" w:ascii="宋体" w:hAnsi="宋体" w:eastAsia="宋体" w:cs="宋体"/>
          <w:color w:val="auto"/>
          <w:highlight w:val="none"/>
        </w:rPr>
      </w:pPr>
      <w:bookmarkStart w:id="140" w:name="_Toc313888360"/>
      <w:bookmarkStart w:id="141" w:name="_Toc342913419"/>
      <w:bookmarkStart w:id="142" w:name="_Toc313008356"/>
      <w:bookmarkStart w:id="143" w:name="_Toc24835"/>
      <w:bookmarkStart w:id="144" w:name="_Toc283382454"/>
      <w:bookmarkStart w:id="145" w:name="_Toc12789073"/>
      <w:r>
        <w:rPr>
          <w:rFonts w:hint="eastAsia" w:ascii="宋体" w:hAnsi="宋体" w:eastAsia="宋体" w:cs="宋体"/>
          <w:color w:val="auto"/>
          <w:highlight w:val="none"/>
        </w:rPr>
        <w:t>一、经济部分</w:t>
      </w:r>
      <w:bookmarkEnd w:id="140"/>
      <w:bookmarkEnd w:id="141"/>
      <w:bookmarkEnd w:id="142"/>
      <w:bookmarkEnd w:id="143"/>
    </w:p>
    <w:bookmarkEnd w:id="144"/>
    <w:bookmarkEnd w:id="145"/>
    <w:p w14:paraId="609281FC">
      <w:pPr>
        <w:tabs>
          <w:tab w:val="left" w:pos="6300"/>
        </w:tabs>
        <w:snapToGrid w:val="0"/>
        <w:spacing w:line="5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报价函</w:t>
      </w:r>
    </w:p>
    <w:p w14:paraId="1DEA59FD">
      <w:pPr>
        <w:tabs>
          <w:tab w:val="left" w:pos="6300"/>
        </w:tabs>
        <w:snapToGrid w:val="0"/>
        <w:spacing w:line="540" w:lineRule="exact"/>
        <w:jc w:val="center"/>
        <w:rPr>
          <w:rFonts w:hint="eastAsia" w:ascii="宋体" w:hAnsi="宋体" w:eastAsia="宋体" w:cs="宋体"/>
          <w:b/>
          <w:color w:val="auto"/>
          <w:sz w:val="36"/>
          <w:szCs w:val="36"/>
          <w:highlight w:val="none"/>
        </w:rPr>
      </w:pPr>
      <w:r>
        <w:rPr>
          <w:rFonts w:hint="eastAsia" w:ascii="宋体" w:hAnsi="宋体" w:cs="宋体"/>
          <w:b/>
          <w:color w:val="auto"/>
          <w:sz w:val="36"/>
          <w:szCs w:val="36"/>
          <w:highlight w:val="none"/>
          <w:lang w:eastAsia="zh-CN"/>
        </w:rPr>
        <w:t>比选</w:t>
      </w:r>
      <w:r>
        <w:rPr>
          <w:rFonts w:hint="eastAsia" w:ascii="宋体" w:hAnsi="宋体" w:eastAsia="宋体" w:cs="宋体"/>
          <w:b/>
          <w:color w:val="auto"/>
          <w:sz w:val="36"/>
          <w:szCs w:val="36"/>
          <w:highlight w:val="none"/>
        </w:rPr>
        <w:t>报价</w:t>
      </w:r>
    </w:p>
    <w:p w14:paraId="416A8D49">
      <w:pPr>
        <w:keepNext w:val="0"/>
        <w:keepLines w:val="0"/>
        <w:pageBreakBefore w:val="0"/>
        <w:widowControl w:val="0"/>
        <w:tabs>
          <w:tab w:val="left" w:pos="6300"/>
        </w:tabs>
        <w:kinsoku/>
        <w:wordWrap/>
        <w:overflowPunct/>
        <w:topLinePunct w:val="0"/>
        <w:autoSpaceDE/>
        <w:autoSpaceDN/>
        <w:bidi w:val="0"/>
        <w:adjustRightInd/>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（采购人名称）</w:t>
      </w:r>
      <w:r>
        <w:rPr>
          <w:rFonts w:hint="eastAsia" w:ascii="宋体" w:hAnsi="宋体" w:eastAsia="宋体" w:cs="宋体"/>
          <w:color w:val="auto"/>
          <w:sz w:val="24"/>
          <w:szCs w:val="24"/>
          <w:highlight w:val="none"/>
        </w:rPr>
        <w:t>：</w:t>
      </w:r>
    </w:p>
    <w:p w14:paraId="44D9A8E0">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我方收到___________________________（项目名称）的</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文件，经详细研究，决定参加该项目的</w:t>
      </w:r>
      <w:r>
        <w:rPr>
          <w:rFonts w:hint="eastAsia" w:ascii="宋体" w:hAnsi="宋体" w:cs="宋体"/>
          <w:color w:val="auto"/>
          <w:sz w:val="24"/>
          <w:szCs w:val="24"/>
          <w:highlight w:val="none"/>
          <w:lang w:val="en-US" w:eastAsia="zh-CN"/>
        </w:rPr>
        <w:t>竞争</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w:t>
      </w:r>
    </w:p>
    <w:p w14:paraId="46B406DB">
      <w:pPr>
        <w:keepNext w:val="0"/>
        <w:keepLines w:val="0"/>
        <w:pageBreakBefore w:val="0"/>
        <w:widowControl w:val="0"/>
        <w:numPr>
          <w:ilvl w:val="0"/>
          <w:numId w:val="7"/>
        </w:numPr>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yellow"/>
          <w:lang w:eastAsia="zh-CN"/>
        </w:rPr>
      </w:pPr>
      <w:r>
        <w:rPr>
          <w:rFonts w:hint="eastAsia" w:ascii="宋体" w:hAnsi="宋体" w:eastAsia="宋体" w:cs="宋体"/>
          <w:color w:val="auto"/>
          <w:sz w:val="24"/>
          <w:szCs w:val="24"/>
          <w:highlight w:val="none"/>
        </w:rPr>
        <w:t>愿意按照</w:t>
      </w:r>
      <w:r>
        <w:rPr>
          <w:rFonts w:hint="eastAsia" w:ascii="宋体" w:hAnsi="宋体" w:eastAsia="宋体" w:cs="宋体"/>
          <w:color w:val="auto"/>
          <w:sz w:val="24"/>
          <w:szCs w:val="24"/>
          <w:highlight w:val="none"/>
          <w:lang w:eastAsia="zh-CN"/>
        </w:rPr>
        <w:t>比选文件</w:t>
      </w:r>
      <w:r>
        <w:rPr>
          <w:rFonts w:hint="eastAsia" w:ascii="宋体" w:hAnsi="宋体" w:eastAsia="宋体" w:cs="宋体"/>
          <w:color w:val="auto"/>
          <w:sz w:val="24"/>
          <w:szCs w:val="24"/>
          <w:highlight w:val="none"/>
        </w:rPr>
        <w:t>中的一切要求，提供本项目的</w:t>
      </w:r>
      <w:r>
        <w:rPr>
          <w:rFonts w:hint="eastAsia" w:ascii="宋体" w:hAnsi="宋体" w:eastAsia="宋体" w:cs="宋体"/>
          <w:color w:val="auto"/>
          <w:sz w:val="24"/>
          <w:szCs w:val="24"/>
          <w:highlight w:val="none"/>
          <w:lang w:eastAsia="zh-CN"/>
        </w:rPr>
        <w:t>技术</w:t>
      </w:r>
      <w:r>
        <w:rPr>
          <w:rFonts w:hint="eastAsia" w:ascii="宋体" w:hAnsi="宋体" w:eastAsia="宋体" w:cs="宋体"/>
          <w:color w:val="auto"/>
          <w:sz w:val="24"/>
          <w:szCs w:val="24"/>
          <w:highlight w:val="none"/>
        </w:rPr>
        <w:t>要求，</w:t>
      </w:r>
      <w:r>
        <w:rPr>
          <w:rFonts w:hint="eastAsia" w:ascii="宋体" w:hAnsi="宋体" w:eastAsia="宋体" w:cs="宋体"/>
          <w:color w:val="auto"/>
          <w:sz w:val="24"/>
          <w:szCs w:val="24"/>
          <w:highlight w:val="none"/>
          <w:lang w:eastAsia="zh-CN"/>
        </w:rPr>
        <w:t>比选</w:t>
      </w:r>
      <w:r>
        <w:rPr>
          <w:rFonts w:hint="eastAsia" w:ascii="宋体" w:hAnsi="宋体" w:eastAsia="宋体" w:cs="宋体"/>
          <w:color w:val="auto"/>
          <w:sz w:val="24"/>
          <w:szCs w:val="24"/>
          <w:highlight w:val="none"/>
        </w:rPr>
        <w:t>报价为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yellow"/>
          <w:lang w:val="en-US" w:eastAsia="zh-CN"/>
        </w:rPr>
        <w:t>内业核实：</w:t>
      </w:r>
      <w:r>
        <w:rPr>
          <w:rFonts w:hint="eastAsia" w:ascii="宋体" w:hAnsi="宋体" w:eastAsia="宋体" w:cs="宋体"/>
          <w:color w:val="auto"/>
          <w:sz w:val="24"/>
          <w:szCs w:val="24"/>
          <w:highlight w:val="yellow"/>
        </w:rPr>
        <w:t>人民币</w:t>
      </w:r>
      <w:r>
        <w:rPr>
          <w:rFonts w:hint="eastAsia" w:ascii="宋体" w:hAnsi="宋体" w:cs="宋体"/>
          <w:color w:val="auto"/>
          <w:sz w:val="24"/>
          <w:szCs w:val="24"/>
          <w:highlight w:val="yellow"/>
          <w:lang w:val="en-US" w:eastAsia="zh-CN"/>
        </w:rPr>
        <w:t>小写：</w:t>
      </w:r>
      <w:r>
        <w:rPr>
          <w:rFonts w:hint="eastAsia" w:ascii="宋体" w:hAnsi="宋体" w:eastAsia="宋体" w:cs="宋体"/>
          <w:color w:val="auto"/>
          <w:sz w:val="24"/>
          <w:szCs w:val="24"/>
          <w:highlight w:val="yellow"/>
          <w:u w:val="single"/>
        </w:rPr>
        <w:t xml:space="preserve">       </w:t>
      </w:r>
      <w:r>
        <w:rPr>
          <w:rFonts w:hint="eastAsia" w:ascii="宋体" w:hAnsi="宋体" w:eastAsia="宋体" w:cs="宋体"/>
          <w:color w:val="auto"/>
          <w:sz w:val="24"/>
          <w:szCs w:val="24"/>
          <w:highlight w:val="yellow"/>
          <w:lang w:eastAsia="zh-CN"/>
        </w:rPr>
        <w:t>元</w:t>
      </w:r>
      <w:r>
        <w:rPr>
          <w:rFonts w:hint="eastAsia" w:ascii="宋体" w:hAnsi="宋体" w:eastAsia="宋体" w:cs="宋体"/>
          <w:color w:val="auto"/>
          <w:sz w:val="24"/>
          <w:szCs w:val="24"/>
          <w:highlight w:val="yellow"/>
        </w:rPr>
        <w:t xml:space="preserve"> ；</w:t>
      </w:r>
      <w:r>
        <w:rPr>
          <w:rFonts w:hint="eastAsia" w:ascii="宋体" w:hAnsi="宋体" w:eastAsia="宋体" w:cs="宋体"/>
          <w:color w:val="auto"/>
          <w:sz w:val="24"/>
          <w:szCs w:val="24"/>
          <w:highlight w:val="yellow"/>
          <w:lang w:eastAsia="zh-CN"/>
        </w:rPr>
        <w:t>大写</w:t>
      </w:r>
      <w:r>
        <w:rPr>
          <w:rFonts w:hint="eastAsia" w:ascii="宋体" w:hAnsi="宋体" w:eastAsia="宋体" w:cs="宋体"/>
          <w:color w:val="auto"/>
          <w:sz w:val="24"/>
          <w:szCs w:val="24"/>
          <w:highlight w:val="yellow"/>
        </w:rPr>
        <w:t>：</w:t>
      </w:r>
      <w:r>
        <w:rPr>
          <w:rFonts w:hint="eastAsia" w:ascii="宋体" w:hAnsi="宋体" w:eastAsia="宋体" w:cs="宋体"/>
          <w:color w:val="auto"/>
          <w:sz w:val="24"/>
          <w:szCs w:val="24"/>
          <w:highlight w:val="yellow"/>
          <w:u w:val="single"/>
        </w:rPr>
        <w:t xml:space="preserve">       </w:t>
      </w:r>
      <w:r>
        <w:rPr>
          <w:rFonts w:hint="eastAsia" w:ascii="宋体" w:hAnsi="宋体" w:eastAsia="宋体" w:cs="宋体"/>
          <w:color w:val="auto"/>
          <w:sz w:val="24"/>
          <w:szCs w:val="24"/>
          <w:highlight w:val="yellow"/>
          <w:lang w:eastAsia="zh-CN"/>
        </w:rPr>
        <w:t>元整；</w:t>
      </w:r>
      <w:r>
        <w:rPr>
          <w:rFonts w:hint="eastAsia" w:ascii="宋体" w:hAnsi="宋体" w:eastAsia="宋体" w:cs="宋体"/>
          <w:color w:val="auto"/>
          <w:sz w:val="24"/>
          <w:szCs w:val="24"/>
          <w:highlight w:val="yellow"/>
          <w:lang w:val="en-US" w:eastAsia="zh-CN"/>
        </w:rPr>
        <w:t>外业核实：</w:t>
      </w:r>
      <w:r>
        <w:rPr>
          <w:rFonts w:hint="eastAsia" w:ascii="宋体" w:hAnsi="宋体" w:eastAsia="宋体" w:cs="宋体"/>
          <w:color w:val="auto"/>
          <w:sz w:val="24"/>
          <w:szCs w:val="24"/>
          <w:highlight w:val="yellow"/>
        </w:rPr>
        <w:t>人民币小写：</w:t>
      </w:r>
      <w:r>
        <w:rPr>
          <w:rFonts w:hint="eastAsia" w:ascii="宋体" w:hAnsi="宋体" w:eastAsia="宋体" w:cs="宋体"/>
          <w:color w:val="auto"/>
          <w:sz w:val="24"/>
          <w:szCs w:val="24"/>
          <w:highlight w:val="yellow"/>
          <w:u w:val="single"/>
        </w:rPr>
        <w:t xml:space="preserve">   </w:t>
      </w:r>
      <w:r>
        <w:rPr>
          <w:rFonts w:hint="eastAsia" w:ascii="宋体" w:hAnsi="宋体" w:eastAsia="宋体" w:cs="宋体"/>
          <w:color w:val="auto"/>
          <w:sz w:val="24"/>
          <w:szCs w:val="24"/>
          <w:highlight w:val="yellow"/>
          <w:u w:val="single"/>
          <w:lang w:val="en-US" w:eastAsia="zh-CN"/>
        </w:rPr>
        <w:t xml:space="preserve"> </w:t>
      </w:r>
      <w:r>
        <w:rPr>
          <w:rFonts w:hint="eastAsia" w:ascii="宋体" w:hAnsi="宋体" w:eastAsia="宋体" w:cs="宋体"/>
          <w:color w:val="auto"/>
          <w:sz w:val="24"/>
          <w:szCs w:val="24"/>
          <w:highlight w:val="yellow"/>
          <w:u w:val="single"/>
        </w:rPr>
        <w:t xml:space="preserve"> </w:t>
      </w:r>
      <w:r>
        <w:rPr>
          <w:rFonts w:hint="eastAsia" w:ascii="宋体" w:hAnsi="宋体" w:eastAsia="宋体" w:cs="宋体"/>
          <w:color w:val="auto"/>
          <w:sz w:val="24"/>
          <w:szCs w:val="24"/>
          <w:highlight w:val="yellow"/>
        </w:rPr>
        <w:t>元/图斑；</w:t>
      </w:r>
      <w:r>
        <w:rPr>
          <w:rFonts w:hint="eastAsia" w:ascii="宋体" w:hAnsi="宋体" w:cs="宋体"/>
          <w:color w:val="auto"/>
          <w:sz w:val="24"/>
          <w:szCs w:val="24"/>
          <w:highlight w:val="yellow"/>
          <w:lang w:val="en-US" w:eastAsia="zh-CN"/>
        </w:rPr>
        <w:t>大写：</w:t>
      </w:r>
      <w:r>
        <w:rPr>
          <w:rFonts w:hint="eastAsia" w:ascii="宋体" w:hAnsi="宋体" w:cs="宋体"/>
          <w:color w:val="auto"/>
          <w:sz w:val="24"/>
          <w:szCs w:val="24"/>
          <w:highlight w:val="yellow"/>
          <w:u w:val="single"/>
          <w:lang w:val="en-US" w:eastAsia="zh-CN"/>
        </w:rPr>
        <w:t xml:space="preserve">         </w:t>
      </w:r>
      <w:r>
        <w:rPr>
          <w:rFonts w:hint="eastAsia" w:ascii="宋体" w:hAnsi="宋体" w:eastAsia="宋体" w:cs="宋体"/>
          <w:color w:val="auto"/>
          <w:sz w:val="24"/>
          <w:szCs w:val="24"/>
          <w:highlight w:val="yellow"/>
        </w:rPr>
        <w:t>元整/图斑</w:t>
      </w:r>
      <w:r>
        <w:rPr>
          <w:rFonts w:hint="eastAsia" w:ascii="宋体" w:hAnsi="宋体" w:eastAsia="宋体" w:cs="宋体"/>
          <w:color w:val="auto"/>
          <w:sz w:val="24"/>
          <w:szCs w:val="24"/>
          <w:highlight w:val="yellow"/>
          <w:lang w:eastAsia="zh-CN"/>
        </w:rPr>
        <w:t>。</w:t>
      </w:r>
    </w:p>
    <w:p w14:paraId="73B62A80">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2、我方现提交的响应文件为：响应文件</w:t>
      </w:r>
      <w:r>
        <w:rPr>
          <w:rFonts w:hint="eastAsia" w:ascii="宋体" w:hAnsi="宋体" w:cs="宋体"/>
          <w:color w:val="auto"/>
          <w:sz w:val="24"/>
          <w:szCs w:val="24"/>
          <w:highlight w:val="none"/>
          <w:u w:val="none"/>
          <w:lang w:val="en-US" w:eastAsia="zh-CN"/>
        </w:rPr>
        <w:t>正本</w:t>
      </w:r>
      <w:r>
        <w:rPr>
          <w:rFonts w:hint="eastAsia" w:ascii="宋体" w:hAnsi="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rPr>
        <w:t>份</w:t>
      </w:r>
      <w:r>
        <w:rPr>
          <w:rFonts w:hint="eastAsia" w:ascii="宋体" w:hAnsi="宋体" w:cs="宋体"/>
          <w:color w:val="auto"/>
          <w:sz w:val="24"/>
          <w:szCs w:val="24"/>
          <w:highlight w:val="none"/>
          <w:lang w:eastAsia="zh-CN"/>
        </w:rPr>
        <w:t>，副本</w:t>
      </w:r>
      <w:r>
        <w:rPr>
          <w:rFonts w:hint="eastAsia" w:ascii="宋体" w:hAnsi="宋体" w:cs="宋体"/>
          <w:color w:val="auto"/>
          <w:sz w:val="24"/>
          <w:szCs w:val="24"/>
          <w:highlight w:val="none"/>
          <w:u w:val="single"/>
          <w:lang w:val="en-US" w:eastAsia="zh-CN"/>
        </w:rPr>
        <w:t xml:space="preserve">  2 </w:t>
      </w:r>
      <w:r>
        <w:rPr>
          <w:rFonts w:hint="eastAsia" w:ascii="宋体" w:hAnsi="宋体" w:eastAsia="宋体" w:cs="宋体"/>
          <w:color w:val="auto"/>
          <w:sz w:val="24"/>
          <w:szCs w:val="24"/>
          <w:highlight w:val="none"/>
        </w:rPr>
        <w:t>份。</w:t>
      </w:r>
    </w:p>
    <w:p w14:paraId="264FBCD7">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3、我方承诺：本次</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的有效期为90天。</w:t>
      </w:r>
    </w:p>
    <w:p w14:paraId="04B54AC6">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4、我方完全理解和接受贵方</w:t>
      </w:r>
      <w:r>
        <w:rPr>
          <w:rFonts w:hint="eastAsia" w:ascii="宋体" w:hAnsi="宋体" w:cs="宋体"/>
          <w:color w:val="auto"/>
          <w:sz w:val="24"/>
          <w:szCs w:val="24"/>
          <w:highlight w:val="none"/>
          <w:lang w:eastAsia="zh-CN"/>
        </w:rPr>
        <w:t>比选文件</w:t>
      </w:r>
      <w:r>
        <w:rPr>
          <w:rFonts w:hint="eastAsia" w:ascii="宋体" w:hAnsi="宋体" w:eastAsia="宋体" w:cs="宋体"/>
          <w:color w:val="auto"/>
          <w:sz w:val="24"/>
          <w:szCs w:val="24"/>
          <w:highlight w:val="none"/>
        </w:rPr>
        <w:t>的一切规定和要求及评审办法。</w:t>
      </w:r>
    </w:p>
    <w:p w14:paraId="547CD00C">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5、在整个</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过程中，我方若有违规行为，接受按照《中华人民共和国政府采购法》之规定给予惩罚。</w:t>
      </w:r>
    </w:p>
    <w:p w14:paraId="64D89FA8">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6、我方若成为成交供应商，将按照最终</w:t>
      </w:r>
      <w:r>
        <w:rPr>
          <w:rFonts w:hint="eastAsia" w:ascii="宋体" w:hAnsi="宋体" w:cs="宋体"/>
          <w:color w:val="auto"/>
          <w:sz w:val="24"/>
          <w:szCs w:val="24"/>
          <w:highlight w:val="none"/>
          <w:lang w:eastAsia="zh-CN"/>
        </w:rPr>
        <w:t>比选</w:t>
      </w:r>
      <w:r>
        <w:rPr>
          <w:rFonts w:hint="eastAsia" w:ascii="宋体" w:hAnsi="宋体" w:eastAsia="宋体" w:cs="宋体"/>
          <w:color w:val="auto"/>
          <w:sz w:val="24"/>
          <w:szCs w:val="24"/>
          <w:highlight w:val="none"/>
        </w:rPr>
        <w:t>结果签订合同，并且严格履行合同义务。本承诺函将成为合同不可分割的一部分，与合同具有同等的法律效力。</w:t>
      </w:r>
    </w:p>
    <w:p w14:paraId="378B69CB">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7.如果我方成为成交供应商，保证在接到成交通知书后，向采购代理机构</w:t>
      </w:r>
      <w:r>
        <w:rPr>
          <w:rFonts w:hint="eastAsia" w:ascii="宋体" w:hAnsi="宋体" w:eastAsia="宋体" w:cs="宋体"/>
          <w:color w:val="auto"/>
          <w:sz w:val="24"/>
          <w:highlight w:val="none"/>
        </w:rPr>
        <w:t>缴纳</w:t>
      </w:r>
      <w:r>
        <w:rPr>
          <w:rFonts w:hint="eastAsia" w:ascii="宋体" w:hAnsi="宋体" w:cs="宋体"/>
          <w:color w:val="auto"/>
          <w:sz w:val="24"/>
          <w:szCs w:val="24"/>
          <w:highlight w:val="none"/>
          <w:lang w:val="en-US" w:eastAsia="zh-CN"/>
        </w:rPr>
        <w:t>比选文件</w:t>
      </w:r>
      <w:r>
        <w:rPr>
          <w:rFonts w:hint="eastAsia" w:ascii="宋体" w:hAnsi="宋体" w:eastAsia="宋体" w:cs="宋体"/>
          <w:color w:val="auto"/>
          <w:sz w:val="24"/>
          <w:szCs w:val="24"/>
          <w:highlight w:val="none"/>
        </w:rPr>
        <w:t>规定的采购代理服务费和</w:t>
      </w:r>
      <w:r>
        <w:rPr>
          <w:rFonts w:hint="eastAsia" w:ascii="宋体" w:hAnsi="宋体" w:eastAsia="宋体" w:cs="宋体"/>
          <w:color w:val="auto"/>
          <w:sz w:val="24"/>
          <w:szCs w:val="24"/>
          <w:highlight w:val="none"/>
          <w:lang w:eastAsia="zh-CN"/>
        </w:rPr>
        <w:t>场地</w:t>
      </w:r>
      <w:r>
        <w:rPr>
          <w:rFonts w:hint="eastAsia" w:ascii="宋体" w:hAnsi="宋体" w:eastAsia="宋体" w:cs="宋体"/>
          <w:color w:val="auto"/>
          <w:sz w:val="24"/>
          <w:szCs w:val="24"/>
          <w:highlight w:val="none"/>
        </w:rPr>
        <w:t>服务费。</w:t>
      </w:r>
    </w:p>
    <w:p w14:paraId="3E300A44">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8"/>
          <w:highlight w:val="none"/>
        </w:rPr>
        <w:t>我方未</w:t>
      </w:r>
      <w:r>
        <w:rPr>
          <w:rFonts w:hint="eastAsia" w:ascii="宋体" w:hAnsi="宋体" w:eastAsia="宋体" w:cs="宋体"/>
          <w:color w:val="auto"/>
          <w:sz w:val="24"/>
          <w:szCs w:val="24"/>
          <w:highlight w:val="none"/>
        </w:rPr>
        <w:t>为采购项目提供整体设计、规范编制或者项目管理、监理、检测等服务。</w:t>
      </w:r>
    </w:p>
    <w:p w14:paraId="7317A0DF">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p w14:paraId="1A819DD1">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地址：  </w:t>
      </w:r>
    </w:p>
    <w:p w14:paraId="6951891F">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                                             传真：</w:t>
      </w:r>
    </w:p>
    <w:p w14:paraId="1B0A15A4">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网址：                                             邮编：</w:t>
      </w:r>
    </w:p>
    <w:p w14:paraId="299D4C4F">
      <w:pPr>
        <w:keepNext w:val="0"/>
        <w:keepLines w:val="0"/>
        <w:pageBreakBefore w:val="0"/>
        <w:widowControl w:val="0"/>
        <w:tabs>
          <w:tab w:val="left" w:pos="6300"/>
        </w:tabs>
        <w:kinsoku/>
        <w:wordWrap/>
        <w:overflowPunct/>
        <w:topLinePunct w:val="0"/>
        <w:autoSpaceDE/>
        <w:autoSpaceDN/>
        <w:bidi w:val="0"/>
        <w:adjustRightInd/>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p w14:paraId="5136C13B">
      <w:pPr>
        <w:snapToGrid w:val="0"/>
        <w:spacing w:line="540" w:lineRule="exact"/>
        <w:ind w:firstLine="480" w:firstLineChars="200"/>
        <w:rPr>
          <w:rFonts w:hint="eastAsia" w:ascii="宋体" w:hAnsi="宋体" w:eastAsia="宋体" w:cs="宋体"/>
          <w:color w:val="auto"/>
          <w:sz w:val="24"/>
          <w:szCs w:val="24"/>
          <w:highlight w:val="none"/>
        </w:rPr>
      </w:pPr>
    </w:p>
    <w:p w14:paraId="6C830F82">
      <w:pPr>
        <w:snapToGrid w:val="0"/>
        <w:spacing w:line="540" w:lineRule="exact"/>
        <w:ind w:firstLine="480" w:firstLineChars="200"/>
        <w:rPr>
          <w:rFonts w:hint="eastAsia" w:ascii="宋体" w:hAnsi="宋体" w:eastAsia="宋体" w:cs="宋体"/>
          <w:color w:val="auto"/>
          <w:sz w:val="24"/>
          <w:szCs w:val="24"/>
          <w:highlight w:val="none"/>
        </w:rPr>
      </w:pPr>
    </w:p>
    <w:p w14:paraId="3DB659E7">
      <w:pPr>
        <w:snapToGrid w:val="0"/>
        <w:spacing w:line="540" w:lineRule="exact"/>
        <w:ind w:firstLine="480" w:firstLineChars="200"/>
        <w:jc w:val="right"/>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 xml:space="preserve">      年   月   日</w:t>
      </w:r>
      <w:bookmarkStart w:id="146" w:name="_Toc9841"/>
      <w:bookmarkStart w:id="147" w:name="_Toc11495"/>
      <w:bookmarkStart w:id="148" w:name="_Toc101387457"/>
    </w:p>
    <w:p w14:paraId="60832D77">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6161C09D">
      <w:pPr>
        <w:pStyle w:val="6"/>
        <w:spacing w:before="0" w:after="0" w:line="540" w:lineRule="exact"/>
        <w:rPr>
          <w:rFonts w:hint="eastAsia" w:ascii="宋体" w:hAnsi="宋体" w:eastAsia="宋体" w:cs="宋体"/>
          <w:color w:val="auto"/>
          <w:highlight w:val="none"/>
        </w:rPr>
      </w:pPr>
      <w:r>
        <w:rPr>
          <w:rFonts w:hint="eastAsia" w:ascii="宋体" w:hAnsi="宋体" w:eastAsia="宋体" w:cs="宋体"/>
          <w:color w:val="auto"/>
          <w:highlight w:val="none"/>
        </w:rPr>
        <w:t>二、</w:t>
      </w:r>
      <w:r>
        <w:rPr>
          <w:rFonts w:hint="eastAsia" w:ascii="宋体" w:hAnsi="宋体" w:cs="宋体"/>
          <w:color w:val="auto"/>
          <w:highlight w:val="none"/>
          <w:lang w:eastAsia="zh-CN"/>
        </w:rPr>
        <w:t>服务</w:t>
      </w:r>
      <w:r>
        <w:rPr>
          <w:rFonts w:hint="eastAsia" w:ascii="宋体" w:hAnsi="宋体" w:eastAsia="宋体" w:cs="宋体"/>
          <w:color w:val="auto"/>
          <w:highlight w:val="none"/>
        </w:rPr>
        <w:t>部分</w:t>
      </w:r>
      <w:bookmarkEnd w:id="146"/>
      <w:bookmarkEnd w:id="147"/>
      <w:bookmarkEnd w:id="148"/>
    </w:p>
    <w:p w14:paraId="41A7CF41">
      <w:pPr>
        <w:tabs>
          <w:tab w:val="left" w:pos="6300"/>
        </w:tabs>
        <w:snapToGrid w:val="0"/>
        <w:spacing w:line="540" w:lineRule="exact"/>
        <w:jc w:val="left"/>
        <w:rPr>
          <w:rFonts w:hint="eastAsia" w:ascii="宋体" w:hAnsi="宋体" w:eastAsia="宋体" w:cs="宋体"/>
          <w:color w:val="auto"/>
          <w:sz w:val="24"/>
          <w:szCs w:val="24"/>
          <w:highlight w:val="none"/>
        </w:rPr>
      </w:pPr>
    </w:p>
    <w:p w14:paraId="418BBB45">
      <w:pPr>
        <w:tabs>
          <w:tab w:val="left" w:pos="6300"/>
        </w:tabs>
        <w:snapToGrid w:val="0"/>
        <w:spacing w:line="540" w:lineRule="exact"/>
        <w:ind w:firstLine="3313" w:firstLineChars="1100"/>
        <w:jc w:val="both"/>
        <w:rPr>
          <w:rFonts w:hint="eastAsia" w:ascii="宋体" w:hAnsi="宋体" w:eastAsia="宋体" w:cs="宋体"/>
          <w:color w:val="auto"/>
          <w:sz w:val="24"/>
          <w:szCs w:val="24"/>
          <w:highlight w:val="none"/>
        </w:rPr>
      </w:pPr>
      <w:r>
        <w:rPr>
          <w:rFonts w:hint="eastAsia" w:ascii="宋体" w:hAnsi="宋体" w:eastAsia="宋体" w:cs="宋体"/>
          <w:b/>
          <w:color w:val="auto"/>
          <w:sz w:val="30"/>
          <w:szCs w:val="30"/>
          <w:highlight w:val="none"/>
        </w:rPr>
        <w:t>服务响应偏离表</w:t>
      </w:r>
    </w:p>
    <w:p w14:paraId="3099B472">
      <w:pPr>
        <w:tabs>
          <w:tab w:val="left" w:pos="2145"/>
        </w:tabs>
        <w:spacing w:line="5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rPr>
        <w:tab/>
      </w:r>
    </w:p>
    <w:tbl>
      <w:tblPr>
        <w:tblStyle w:val="25"/>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2428"/>
        <w:gridCol w:w="2520"/>
        <w:gridCol w:w="2147"/>
      </w:tblGrid>
      <w:tr w14:paraId="76B68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865" w:type="dxa"/>
            <w:vAlign w:val="center"/>
          </w:tcPr>
          <w:p w14:paraId="754482C7">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49" w:name="_Toc15500"/>
            <w:bookmarkStart w:id="150" w:name="_Toc17194"/>
            <w:bookmarkStart w:id="151" w:name="_Toc20661"/>
            <w:bookmarkStart w:id="152" w:name="_Toc22449"/>
            <w:r>
              <w:rPr>
                <w:rFonts w:hint="eastAsia" w:ascii="宋体" w:hAnsi="宋体" w:eastAsia="宋体" w:cs="宋体"/>
                <w:b/>
                <w:bCs/>
                <w:color w:val="auto"/>
                <w:sz w:val="24"/>
                <w:szCs w:val="24"/>
                <w:highlight w:val="none"/>
              </w:rPr>
              <w:t>序号</w:t>
            </w:r>
            <w:bookmarkEnd w:id="149"/>
            <w:bookmarkEnd w:id="150"/>
            <w:bookmarkEnd w:id="151"/>
            <w:bookmarkEnd w:id="152"/>
          </w:p>
        </w:tc>
        <w:tc>
          <w:tcPr>
            <w:tcW w:w="2428" w:type="dxa"/>
            <w:vAlign w:val="center"/>
          </w:tcPr>
          <w:p w14:paraId="1D0488F0">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53" w:name="_Toc23948"/>
            <w:bookmarkStart w:id="154" w:name="_Toc3612"/>
            <w:bookmarkStart w:id="155" w:name="_Toc24053"/>
            <w:bookmarkStart w:id="156" w:name="_Toc9653"/>
            <w:r>
              <w:rPr>
                <w:rFonts w:hint="eastAsia" w:ascii="宋体" w:hAnsi="宋体" w:eastAsia="宋体" w:cs="宋体"/>
                <w:b/>
                <w:bCs/>
                <w:color w:val="auto"/>
                <w:sz w:val="24"/>
                <w:szCs w:val="24"/>
                <w:highlight w:val="none"/>
              </w:rPr>
              <w:t>采购需求</w:t>
            </w:r>
            <w:bookmarkEnd w:id="153"/>
            <w:bookmarkEnd w:id="154"/>
            <w:bookmarkEnd w:id="155"/>
            <w:bookmarkEnd w:id="156"/>
          </w:p>
        </w:tc>
        <w:tc>
          <w:tcPr>
            <w:tcW w:w="2520" w:type="dxa"/>
            <w:vAlign w:val="center"/>
          </w:tcPr>
          <w:p w14:paraId="0CAB19DD">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57" w:name="_Toc14755"/>
            <w:bookmarkStart w:id="158" w:name="_Toc7843"/>
            <w:bookmarkStart w:id="159" w:name="_Toc10505"/>
            <w:bookmarkStart w:id="160" w:name="_Toc25924"/>
            <w:r>
              <w:rPr>
                <w:rFonts w:hint="eastAsia" w:ascii="宋体" w:hAnsi="宋体" w:eastAsia="宋体" w:cs="宋体"/>
                <w:b/>
                <w:bCs/>
                <w:color w:val="auto"/>
                <w:sz w:val="24"/>
                <w:szCs w:val="24"/>
                <w:highlight w:val="none"/>
              </w:rPr>
              <w:t>响应情况</w:t>
            </w:r>
            <w:bookmarkEnd w:id="157"/>
            <w:bookmarkEnd w:id="158"/>
            <w:bookmarkEnd w:id="159"/>
            <w:bookmarkEnd w:id="160"/>
          </w:p>
        </w:tc>
        <w:tc>
          <w:tcPr>
            <w:tcW w:w="2147" w:type="dxa"/>
            <w:vAlign w:val="center"/>
          </w:tcPr>
          <w:p w14:paraId="20965517">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bookmarkStart w:id="161" w:name="_Toc13589"/>
            <w:bookmarkStart w:id="162" w:name="_Toc5131"/>
            <w:bookmarkStart w:id="163" w:name="_Toc30658"/>
            <w:bookmarkStart w:id="164" w:name="_Toc17545"/>
            <w:r>
              <w:rPr>
                <w:rFonts w:hint="eastAsia" w:ascii="宋体" w:hAnsi="宋体" w:eastAsia="宋体" w:cs="宋体"/>
                <w:b/>
                <w:bCs/>
                <w:color w:val="auto"/>
                <w:sz w:val="24"/>
                <w:szCs w:val="24"/>
                <w:highlight w:val="none"/>
              </w:rPr>
              <w:t>差异说明</w:t>
            </w:r>
            <w:bookmarkEnd w:id="161"/>
            <w:bookmarkEnd w:id="162"/>
            <w:bookmarkEnd w:id="163"/>
            <w:bookmarkEnd w:id="164"/>
          </w:p>
        </w:tc>
      </w:tr>
      <w:tr w14:paraId="0FC7A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00B5FB3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80FC9D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6BE9C8F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3D2214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AFF0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09037221">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15602E6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486C0D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A8CE05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3C67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7A37B0A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0E4EE86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6EC10A1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286E0C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5AB63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64C142A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55BCF197">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CC29BD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508DC9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5B086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6D3FD2F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1E04BBE2">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44A9618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4C0DF9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F395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43E8D92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01DB76C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286D79D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9C14EE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89E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7CA30A3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896559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41DE4C2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0ECE097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A147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445B18E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668F921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1B35F1B">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1FC6723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B9E1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3CB138B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6D07AD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6B1CAD8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5E7C8E4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1A74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5" w:type="dxa"/>
            <w:vAlign w:val="center"/>
          </w:tcPr>
          <w:p w14:paraId="0D42FCF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431AE1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072FD8F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147" w:type="dxa"/>
            <w:vAlign w:val="center"/>
          </w:tcPr>
          <w:p w14:paraId="40C6B9F7">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bl>
    <w:p w14:paraId="7A2BB424">
      <w:pPr>
        <w:spacing w:line="500" w:lineRule="exact"/>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               法定代表人（或法定代表人授权代表）或自然人：</w:t>
      </w:r>
    </w:p>
    <w:p w14:paraId="6F85D194">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                                 （签字或盖章）</w:t>
      </w:r>
    </w:p>
    <w:p w14:paraId="0E4CC52A">
      <w:pPr>
        <w:tabs>
          <w:tab w:val="left" w:pos="6300"/>
        </w:tabs>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5C7FC6A0">
      <w:pPr>
        <w:tabs>
          <w:tab w:val="left" w:pos="6300"/>
        </w:tabs>
        <w:snapToGrid w:val="0"/>
        <w:spacing w:line="3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w:t>
      </w:r>
    </w:p>
    <w:p w14:paraId="17AB3E90">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1.本表即为对本项目“第二篇  </w:t>
      </w:r>
      <w:r>
        <w:rPr>
          <w:rFonts w:hint="eastAsia" w:ascii="宋体" w:hAnsi="宋体" w:cs="宋体"/>
          <w:bCs/>
          <w:color w:val="auto"/>
          <w:sz w:val="24"/>
          <w:szCs w:val="24"/>
          <w:highlight w:val="none"/>
          <w:lang w:eastAsia="zh-CN"/>
        </w:rPr>
        <w:t>项目服务需求</w:t>
      </w:r>
      <w:r>
        <w:rPr>
          <w:rFonts w:hint="eastAsia" w:ascii="宋体" w:hAnsi="宋体" w:eastAsia="宋体" w:cs="宋体"/>
          <w:bCs/>
          <w:color w:val="auto"/>
          <w:sz w:val="24"/>
          <w:szCs w:val="24"/>
          <w:highlight w:val="none"/>
        </w:rPr>
        <w:t>”中所列全部条款进行比较和响应；该表必须按照</w:t>
      </w:r>
      <w:r>
        <w:rPr>
          <w:rFonts w:hint="eastAsia" w:ascii="宋体" w:hAnsi="宋体" w:cs="宋体"/>
          <w:bCs/>
          <w:color w:val="auto"/>
          <w:sz w:val="24"/>
          <w:szCs w:val="24"/>
          <w:highlight w:val="none"/>
          <w:lang w:eastAsia="zh-CN"/>
        </w:rPr>
        <w:t>比选文件</w:t>
      </w:r>
      <w:r>
        <w:rPr>
          <w:rFonts w:hint="eastAsia" w:ascii="宋体" w:hAnsi="宋体" w:eastAsia="宋体" w:cs="宋体"/>
          <w:bCs/>
          <w:color w:val="auto"/>
          <w:sz w:val="24"/>
          <w:szCs w:val="24"/>
          <w:highlight w:val="none"/>
        </w:rPr>
        <w:t>要求逐条如实填写，根据响应情况在“差异说明”项填写“正偏离”或“负偏离”及原因，完全符合的填写“无差异”。</w:t>
      </w:r>
    </w:p>
    <w:p w14:paraId="33A8DA8F">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2.该表可扩展，并逐页签字或盖章，可附相关技术支撑材料（格式自定）。</w:t>
      </w:r>
    </w:p>
    <w:p w14:paraId="234D50BA">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3.若“响应情况”栏仅填写“无偏离”或“有偏离”等内容而未作实质性参数描述，该供应商将失去成为成交供应商的资格。</w:t>
      </w:r>
    </w:p>
    <w:p w14:paraId="684F1116">
      <w:pPr>
        <w:pStyle w:val="23"/>
        <w:rPr>
          <w:rFonts w:hint="eastAsia" w:ascii="宋体" w:hAnsi="宋体" w:eastAsia="宋体" w:cs="宋体"/>
          <w:color w:val="auto"/>
          <w:highlight w:val="none"/>
        </w:rPr>
      </w:pPr>
    </w:p>
    <w:p w14:paraId="3A61BB89">
      <w:pPr>
        <w:rPr>
          <w:rFonts w:hint="eastAsia" w:ascii="宋体" w:hAnsi="宋体" w:eastAsia="宋体" w:cs="宋体"/>
          <w:color w:val="auto"/>
          <w:highlight w:val="none"/>
        </w:rPr>
      </w:pPr>
    </w:p>
    <w:p w14:paraId="0FD0FA32">
      <w:pPr>
        <w:pStyle w:val="23"/>
        <w:rPr>
          <w:rFonts w:hint="eastAsia" w:ascii="宋体" w:hAnsi="宋体" w:eastAsia="宋体" w:cs="宋体"/>
          <w:color w:val="auto"/>
          <w:highlight w:val="none"/>
        </w:rPr>
      </w:pPr>
    </w:p>
    <w:p w14:paraId="406D49DC">
      <w:pPr>
        <w:rPr>
          <w:rFonts w:hint="eastAsia" w:ascii="宋体" w:hAnsi="宋体" w:eastAsia="宋体" w:cs="宋体"/>
          <w:color w:val="auto"/>
          <w:highlight w:val="none"/>
        </w:rPr>
      </w:pPr>
    </w:p>
    <w:p w14:paraId="1B846CE8">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2C60D1D">
      <w:pPr>
        <w:snapToGrid w:val="0"/>
        <w:spacing w:line="360" w:lineRule="auto"/>
        <w:jc w:val="left"/>
        <w:rPr>
          <w:rFonts w:hint="eastAsia" w:ascii="宋体" w:hAnsi="宋体" w:cs="宋体"/>
          <w:color w:val="auto"/>
          <w:sz w:val="24"/>
          <w:szCs w:val="24"/>
          <w:highlight w:val="none"/>
          <w:bdr w:val="single" w:color="auto" w:sz="4" w:space="0"/>
        </w:rPr>
      </w:pPr>
      <w:r>
        <w:rPr>
          <w:rFonts w:hint="eastAsia" w:ascii="宋体" w:hAnsi="宋体" w:cs="宋体"/>
          <w:color w:val="auto"/>
          <w:sz w:val="24"/>
          <w:szCs w:val="24"/>
          <w:highlight w:val="none"/>
        </w:rPr>
        <w:t>（二）其他</w:t>
      </w:r>
      <w:r>
        <w:rPr>
          <w:rFonts w:hint="eastAsia" w:ascii="宋体" w:hAnsi="宋体" w:cs="宋体"/>
          <w:color w:val="auto"/>
          <w:sz w:val="24"/>
          <w:szCs w:val="24"/>
          <w:highlight w:val="none"/>
          <w:lang w:eastAsia="zh-CN"/>
        </w:rPr>
        <w:t>项目</w:t>
      </w:r>
      <w:r>
        <w:rPr>
          <w:rFonts w:hint="eastAsia" w:ascii="宋体" w:hAnsi="宋体" w:eastAsia="宋体" w:cs="宋体"/>
          <w:color w:val="auto"/>
          <w:sz w:val="24"/>
          <w:szCs w:val="24"/>
          <w:highlight w:val="none"/>
        </w:rPr>
        <w:t>资料（自附）</w:t>
      </w:r>
    </w:p>
    <w:p w14:paraId="395E383A">
      <w:pPr>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（可参照</w:t>
      </w:r>
      <w:r>
        <w:rPr>
          <w:rFonts w:hint="eastAsia" w:ascii="宋体" w:hAnsi="宋体" w:cs="宋体"/>
          <w:color w:val="auto"/>
          <w:sz w:val="24"/>
          <w:szCs w:val="24"/>
          <w:highlight w:val="none"/>
          <w:lang w:eastAsia="zh-CN"/>
        </w:rPr>
        <w:t>服务需求</w:t>
      </w:r>
      <w:r>
        <w:rPr>
          <w:rFonts w:hint="eastAsia" w:ascii="宋体" w:hAnsi="宋体" w:eastAsia="宋体" w:cs="宋体"/>
          <w:color w:val="auto"/>
          <w:sz w:val="24"/>
          <w:szCs w:val="24"/>
          <w:highlight w:val="none"/>
        </w:rPr>
        <w:t>部分评分内容提供相关资料，为方便评审专家评审，可编制目录）</w:t>
      </w:r>
    </w:p>
    <w:p w14:paraId="164E4057">
      <w:pPr>
        <w:snapToGrid w:val="0"/>
        <w:spacing w:line="360" w:lineRule="auto"/>
        <w:jc w:val="center"/>
        <w:rPr>
          <w:rFonts w:hint="eastAsia" w:ascii="宋体" w:hAnsi="宋体" w:cs="宋体"/>
          <w:color w:val="auto"/>
          <w:sz w:val="21"/>
          <w:szCs w:val="21"/>
          <w:highlight w:val="none"/>
        </w:rPr>
      </w:pPr>
    </w:p>
    <w:p w14:paraId="035BB840">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E33CE0F">
      <w:pPr>
        <w:pStyle w:val="6"/>
        <w:spacing w:before="0" w:after="0" w:line="540" w:lineRule="exact"/>
        <w:rPr>
          <w:rFonts w:hint="eastAsia" w:ascii="宋体" w:hAnsi="宋体" w:eastAsia="宋体" w:cs="宋体"/>
          <w:color w:val="auto"/>
          <w:highlight w:val="none"/>
        </w:rPr>
      </w:pPr>
      <w:bookmarkStart w:id="165" w:name="_Toc8023"/>
      <w:r>
        <w:rPr>
          <w:rFonts w:hint="eastAsia" w:ascii="宋体" w:hAnsi="宋体" w:eastAsia="宋体" w:cs="宋体"/>
          <w:color w:val="auto"/>
          <w:highlight w:val="none"/>
        </w:rPr>
        <w:t>三、商务部分</w:t>
      </w:r>
      <w:bookmarkEnd w:id="165"/>
    </w:p>
    <w:p w14:paraId="72FF20E9">
      <w:pPr>
        <w:tabs>
          <w:tab w:val="left" w:pos="6300"/>
        </w:tabs>
        <w:snapToGrid w:val="0"/>
        <w:spacing w:line="540" w:lineRule="exact"/>
        <w:ind w:firstLine="301" w:firstLineChars="100"/>
        <w:jc w:val="center"/>
        <w:rPr>
          <w:rFonts w:hint="eastAsia" w:ascii="宋体" w:hAnsi="宋体" w:eastAsia="宋体" w:cs="宋体"/>
          <w:b/>
          <w:color w:val="auto"/>
          <w:sz w:val="24"/>
          <w:szCs w:val="24"/>
          <w:highlight w:val="none"/>
        </w:rPr>
      </w:pPr>
      <w:r>
        <w:rPr>
          <w:rFonts w:hint="eastAsia" w:ascii="宋体" w:hAnsi="宋体" w:eastAsia="宋体" w:cs="宋体"/>
          <w:b/>
          <w:color w:val="auto"/>
          <w:sz w:val="30"/>
          <w:szCs w:val="30"/>
          <w:highlight w:val="none"/>
        </w:rPr>
        <w:t>商务响应偏离表</w:t>
      </w:r>
    </w:p>
    <w:p w14:paraId="351409A7">
      <w:pPr>
        <w:tabs>
          <w:tab w:val="left" w:pos="2145"/>
        </w:tabs>
        <w:spacing w:line="5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rPr>
        <w:tab/>
      </w:r>
    </w:p>
    <w:tbl>
      <w:tblPr>
        <w:tblStyle w:val="25"/>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2428"/>
        <w:gridCol w:w="2520"/>
        <w:gridCol w:w="2222"/>
      </w:tblGrid>
      <w:tr w14:paraId="5C0B5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666" w:type="dxa"/>
            <w:vAlign w:val="center"/>
          </w:tcPr>
          <w:p w14:paraId="3C66BBD8">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2428" w:type="dxa"/>
            <w:vAlign w:val="center"/>
          </w:tcPr>
          <w:p w14:paraId="4B844DC9">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eastAsia="zh-CN"/>
              </w:rPr>
              <w:t>采购</w:t>
            </w:r>
            <w:r>
              <w:rPr>
                <w:rFonts w:hint="eastAsia" w:ascii="宋体" w:hAnsi="宋体" w:eastAsia="宋体" w:cs="宋体"/>
                <w:b/>
                <w:bCs/>
                <w:color w:val="auto"/>
                <w:sz w:val="24"/>
                <w:szCs w:val="24"/>
                <w:highlight w:val="none"/>
              </w:rPr>
              <w:t>需求</w:t>
            </w:r>
          </w:p>
        </w:tc>
        <w:tc>
          <w:tcPr>
            <w:tcW w:w="2520" w:type="dxa"/>
            <w:vAlign w:val="center"/>
          </w:tcPr>
          <w:p w14:paraId="79F4CD1F">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响应情况</w:t>
            </w:r>
          </w:p>
        </w:tc>
        <w:tc>
          <w:tcPr>
            <w:tcW w:w="2222" w:type="dxa"/>
            <w:vAlign w:val="center"/>
          </w:tcPr>
          <w:p w14:paraId="4FB3065E">
            <w:pPr>
              <w:tabs>
                <w:tab w:val="left" w:pos="6300"/>
              </w:tabs>
              <w:snapToGrid w:val="0"/>
              <w:spacing w:line="500" w:lineRule="exact"/>
              <w:jc w:val="center"/>
              <w:outlineLvl w:val="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差异说明</w:t>
            </w:r>
          </w:p>
        </w:tc>
      </w:tr>
      <w:tr w14:paraId="59B49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1EA1691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34014A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2FEF7E7">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4C36AF4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07E2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6B245B9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3B6B12F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2F69477C">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1246E6E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33C98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2522F74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02FF801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10320DE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1872AF3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06DF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0FF257D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EBC55D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7629C3E6">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3513249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5EBA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7C8C4814">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7662D0D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B76DEC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51B6D3A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191FF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0CA6B70A">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41650A4F">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1478CCA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2A1446C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26730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5566235E">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27E34AF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47A5BE5A">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7C943D7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7F23E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711D4299">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697F841A">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799E2CB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788F450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38152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458F3A6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593B9BDF">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2F062818">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27A658DB">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08376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131FB6A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5432B855">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5928264F">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58E77E41">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r w14:paraId="79EA4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66" w:type="dxa"/>
            <w:vAlign w:val="center"/>
          </w:tcPr>
          <w:p w14:paraId="25901C4D">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428" w:type="dxa"/>
            <w:vAlign w:val="center"/>
          </w:tcPr>
          <w:p w14:paraId="7AD430C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520" w:type="dxa"/>
            <w:vAlign w:val="center"/>
          </w:tcPr>
          <w:p w14:paraId="3A3003B0">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c>
          <w:tcPr>
            <w:tcW w:w="2222" w:type="dxa"/>
            <w:vAlign w:val="center"/>
          </w:tcPr>
          <w:p w14:paraId="228C0B93">
            <w:pPr>
              <w:tabs>
                <w:tab w:val="left" w:pos="6300"/>
              </w:tabs>
              <w:snapToGrid w:val="0"/>
              <w:spacing w:line="500" w:lineRule="exact"/>
              <w:ind w:firstLine="480" w:firstLineChars="200"/>
              <w:jc w:val="center"/>
              <w:rPr>
                <w:rFonts w:hint="eastAsia" w:ascii="宋体" w:hAnsi="宋体" w:eastAsia="宋体" w:cs="宋体"/>
                <w:color w:val="auto"/>
                <w:sz w:val="24"/>
                <w:szCs w:val="24"/>
                <w:highlight w:val="none"/>
              </w:rPr>
            </w:pPr>
          </w:p>
        </w:tc>
      </w:tr>
    </w:tbl>
    <w:p w14:paraId="6922E822">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               法定代表人（或法定代表人授权代表）或自然人：</w:t>
      </w:r>
    </w:p>
    <w:p w14:paraId="16BB191C">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                                 （签字或盖章）</w:t>
      </w:r>
    </w:p>
    <w:p w14:paraId="2C4E9C7B">
      <w:pPr>
        <w:tabs>
          <w:tab w:val="left" w:pos="6300"/>
        </w:tabs>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14:paraId="30F4F27B">
      <w:pPr>
        <w:tabs>
          <w:tab w:val="left" w:pos="6300"/>
        </w:tabs>
        <w:snapToGrid w:val="0"/>
        <w:spacing w:line="3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注：</w:t>
      </w:r>
    </w:p>
    <w:p w14:paraId="5603CB4C">
      <w:pPr>
        <w:tabs>
          <w:tab w:val="left" w:pos="6300"/>
        </w:tabs>
        <w:snapToGrid w:val="0"/>
        <w:spacing w:line="36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1.本表即为对本项目“第三篇 项目商务需求”中所列全部条款进行比较和响应；该表必须按照</w:t>
      </w:r>
      <w:r>
        <w:rPr>
          <w:rFonts w:hint="eastAsia" w:ascii="宋体" w:hAnsi="宋体" w:cs="宋体"/>
          <w:bCs/>
          <w:color w:val="auto"/>
          <w:sz w:val="24"/>
          <w:szCs w:val="24"/>
          <w:highlight w:val="none"/>
          <w:lang w:eastAsia="zh-CN"/>
        </w:rPr>
        <w:t>比选文件</w:t>
      </w:r>
      <w:r>
        <w:rPr>
          <w:rFonts w:hint="eastAsia" w:ascii="宋体" w:hAnsi="宋体" w:eastAsia="宋体" w:cs="宋体"/>
          <w:bCs/>
          <w:color w:val="auto"/>
          <w:sz w:val="24"/>
          <w:szCs w:val="24"/>
          <w:highlight w:val="none"/>
        </w:rPr>
        <w:t>要求逐条如实填写，根据响应情况在“差异说明”项填写“正偏离”或“负偏离”及原因，完全符合的填写“无差异”。若“响应情况”栏仅填写“无偏离”或“有偏离”等内容而未作实质性描述，该供应商将失去成为成交供应商的资格。</w:t>
      </w:r>
    </w:p>
    <w:p w14:paraId="601D67FA">
      <w:pPr>
        <w:tabs>
          <w:tab w:val="left" w:pos="6300"/>
        </w:tabs>
        <w:snapToGrid w:val="0"/>
        <w:spacing w:line="36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2.该表可扩展。</w:t>
      </w:r>
    </w:p>
    <w:p w14:paraId="49D71511">
      <w:pPr>
        <w:rPr>
          <w:rFonts w:hint="eastAsia" w:ascii="宋体" w:hAnsi="宋体" w:eastAsia="宋体" w:cs="宋体"/>
          <w:color w:val="auto"/>
          <w:highlight w:val="none"/>
        </w:rPr>
        <w:sectPr>
          <w:headerReference r:id="rId9" w:type="default"/>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p>
    <w:p w14:paraId="7A71E093">
      <w:pPr>
        <w:pStyle w:val="31"/>
        <w:rPr>
          <w:rFonts w:hint="eastAsia" w:ascii="宋体" w:hAnsi="宋体" w:eastAsia="宋体" w:cs="宋体"/>
          <w:color w:val="auto"/>
          <w:szCs w:val="24"/>
          <w:highlight w:val="none"/>
        </w:rPr>
      </w:pPr>
      <w:r>
        <w:rPr>
          <w:rFonts w:hint="eastAsia" w:ascii="宋体" w:hAnsi="宋体" w:eastAsia="宋体" w:cs="宋体"/>
          <w:color w:val="auto"/>
          <w:szCs w:val="24"/>
          <w:highlight w:val="none"/>
        </w:rPr>
        <w:t>（二）其他商务资料</w:t>
      </w:r>
      <w:bookmarkStart w:id="166" w:name="_Toc101387459"/>
      <w:bookmarkStart w:id="167" w:name="_Toc80104371"/>
      <w:r>
        <w:rPr>
          <w:rFonts w:hint="eastAsia" w:ascii="宋体" w:hAnsi="宋体" w:eastAsia="宋体" w:cs="宋体"/>
          <w:color w:val="auto"/>
          <w:szCs w:val="24"/>
          <w:highlight w:val="none"/>
        </w:rPr>
        <w:t>（自附）</w:t>
      </w:r>
    </w:p>
    <w:p w14:paraId="2753C1FD">
      <w:pPr>
        <w:snapToGrid w:val="0"/>
        <w:spacing w:line="360" w:lineRule="auto"/>
        <w:ind w:firstLine="420" w:firstLineChars="200"/>
        <w:jc w:val="center"/>
        <w:rPr>
          <w:rFonts w:ascii="宋体" w:hAnsi="宋体"/>
          <w:color w:val="auto"/>
          <w:sz w:val="21"/>
          <w:szCs w:val="21"/>
          <w:highlight w:val="none"/>
        </w:rPr>
      </w:pPr>
    </w:p>
    <w:p w14:paraId="14A5B67E">
      <w:pPr>
        <w:snapToGrid w:val="0"/>
        <w:spacing w:line="360" w:lineRule="auto"/>
        <w:ind w:firstLine="480" w:firstLineChars="200"/>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（可参照商务部分评分需要的资料提供，为方便专家评审，可自行编制目录）</w:t>
      </w:r>
    </w:p>
    <w:p w14:paraId="63E965E7">
      <w:pPr>
        <w:pStyle w:val="34"/>
        <w:rPr>
          <w:rFonts w:hint="eastAsia" w:ascii="宋体" w:hAnsi="宋体" w:eastAsia="宋体" w:cs="宋体"/>
          <w:color w:val="auto"/>
          <w:kern w:val="0"/>
          <w:sz w:val="24"/>
          <w:szCs w:val="24"/>
          <w:highlight w:val="none"/>
          <w:lang w:val="en-US" w:eastAsia="zh-CN" w:bidi="ar-SA"/>
        </w:rPr>
        <w:sectPr>
          <w:headerReference r:id="rId10" w:type="default"/>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p>
    <w:p w14:paraId="0540A926">
      <w:pPr>
        <w:pStyle w:val="31"/>
        <w:spacing w:line="540" w:lineRule="exact"/>
        <w:rPr>
          <w:rFonts w:hint="eastAsia" w:ascii="宋体" w:hAnsi="宋体" w:eastAsia="宋体" w:cs="宋体"/>
          <w:b/>
          <w:color w:val="auto"/>
          <w:sz w:val="40"/>
          <w:szCs w:val="22"/>
          <w:highlight w:val="none"/>
        </w:rPr>
      </w:pPr>
      <w:r>
        <w:rPr>
          <w:rFonts w:hint="eastAsia" w:ascii="宋体" w:hAnsi="宋体" w:eastAsia="宋体" w:cs="宋体"/>
          <w:b/>
          <w:color w:val="auto"/>
          <w:kern w:val="2"/>
          <w:sz w:val="32"/>
          <w:szCs w:val="32"/>
          <w:highlight w:val="none"/>
        </w:rPr>
        <w:t>四、资格条件</w:t>
      </w:r>
      <w:bookmarkEnd w:id="166"/>
      <w:bookmarkEnd w:id="167"/>
    </w:p>
    <w:p w14:paraId="4DE9E434">
      <w:pPr>
        <w:tabs>
          <w:tab w:val="left" w:pos="6300"/>
        </w:tabs>
        <w:snapToGrid w:val="0"/>
        <w:spacing w:line="500" w:lineRule="exact"/>
        <w:ind w:firstLine="480" w:firstLineChars="200"/>
        <w:rPr>
          <w:rFonts w:hint="eastAsia" w:ascii="宋体" w:hAnsi="宋体" w:eastAsia="宋体" w:cs="宋体"/>
          <w:color w:val="auto"/>
          <w:sz w:val="24"/>
          <w:szCs w:val="24"/>
          <w:highlight w:val="none"/>
        </w:rPr>
        <w:sectPr>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r>
        <w:rPr>
          <w:rFonts w:hint="eastAsia" w:ascii="宋体" w:hAnsi="宋体" w:eastAsia="宋体" w:cs="宋体"/>
          <w:color w:val="auto"/>
          <w:sz w:val="24"/>
          <w:szCs w:val="24"/>
          <w:highlight w:val="none"/>
        </w:rPr>
        <w:t>（一）法人营业执照（副本）或事业单位法人证书（副本）或个体工商户营业执照或有效的自然人身份证明或社会团体法人登记证书复印件。</w:t>
      </w:r>
    </w:p>
    <w:p w14:paraId="1FB17C4F">
      <w:pPr>
        <w:tabs>
          <w:tab w:val="left" w:pos="6300"/>
        </w:tabs>
        <w:snapToGrid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（二）法定代表人身份证明书</w:t>
      </w:r>
    </w:p>
    <w:p w14:paraId="0CDB0D00">
      <w:pPr>
        <w:pStyle w:val="2"/>
        <w:jc w:val="center"/>
        <w:rPr>
          <w:rFonts w:hint="eastAsia" w:ascii="宋体" w:hAnsi="宋体" w:eastAsia="宋体" w:cs="宋体"/>
          <w:b/>
          <w:bCs/>
          <w:color w:val="auto"/>
          <w:sz w:val="32"/>
          <w:szCs w:val="32"/>
          <w:highlight w:val="none"/>
        </w:rPr>
      </w:pPr>
    </w:p>
    <w:p w14:paraId="5E5D3B0C">
      <w:pPr>
        <w:pStyle w:val="2"/>
        <w:jc w:val="center"/>
        <w:rPr>
          <w:rFonts w:hint="eastAsia" w:ascii="宋体" w:hAnsi="宋体" w:eastAsia="宋体" w:cs="宋体"/>
          <w:color w:val="auto"/>
          <w:sz w:val="24"/>
          <w:highlight w:val="none"/>
        </w:rPr>
      </w:pPr>
      <w:r>
        <w:rPr>
          <w:rFonts w:hint="eastAsia" w:ascii="宋体" w:hAnsi="宋体" w:eastAsia="宋体" w:cs="宋体"/>
          <w:b/>
          <w:bCs/>
          <w:color w:val="auto"/>
          <w:sz w:val="32"/>
          <w:szCs w:val="32"/>
          <w:highlight w:val="none"/>
        </w:rPr>
        <w:t>法定代表人身份证明书</w:t>
      </w:r>
    </w:p>
    <w:p w14:paraId="5A185AE3">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p>
    <w:p w14:paraId="1C3F01F6">
      <w:pPr>
        <w:tabs>
          <w:tab w:val="left" w:pos="6300"/>
        </w:tabs>
        <w:snapToGrid w:val="0"/>
        <w:spacing w:line="500" w:lineRule="exact"/>
        <w:ind w:firstLine="570"/>
        <w:rPr>
          <w:rFonts w:hint="eastAsia" w:ascii="宋体" w:hAnsi="宋体" w:eastAsia="宋体" w:cs="宋体"/>
          <w:color w:val="auto"/>
          <w:sz w:val="24"/>
          <w:highlight w:val="none"/>
        </w:rPr>
      </w:pPr>
    </w:p>
    <w:p w14:paraId="2F9C7421">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2854C88F">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（法定代表人姓名）在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（职务名称）职务，是（供应商名称）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的法定代表人。</w:t>
      </w:r>
    </w:p>
    <w:p w14:paraId="5CF0E555">
      <w:pPr>
        <w:tabs>
          <w:tab w:val="left" w:pos="6300"/>
        </w:tabs>
        <w:snapToGrid w:val="0"/>
        <w:spacing w:line="500" w:lineRule="exact"/>
        <w:ind w:firstLine="570"/>
        <w:rPr>
          <w:rFonts w:hint="eastAsia" w:ascii="宋体" w:hAnsi="宋体" w:eastAsia="宋体" w:cs="宋体"/>
          <w:color w:val="auto"/>
          <w:sz w:val="24"/>
          <w:highlight w:val="none"/>
        </w:rPr>
      </w:pPr>
    </w:p>
    <w:p w14:paraId="69E4D3EA">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59444AE9">
      <w:pPr>
        <w:tabs>
          <w:tab w:val="left" w:pos="6300"/>
        </w:tabs>
        <w:snapToGrid w:val="0"/>
        <w:spacing w:line="500" w:lineRule="exact"/>
        <w:ind w:firstLine="570"/>
        <w:rPr>
          <w:rFonts w:hint="eastAsia" w:ascii="宋体" w:hAnsi="宋体" w:eastAsia="宋体" w:cs="宋体"/>
          <w:color w:val="auto"/>
          <w:sz w:val="24"/>
          <w:highlight w:val="none"/>
        </w:rPr>
      </w:pPr>
    </w:p>
    <w:p w14:paraId="0A1B4712">
      <w:pPr>
        <w:tabs>
          <w:tab w:val="left" w:pos="6300"/>
        </w:tabs>
        <w:snapToGrid w:val="0"/>
        <w:spacing w:line="500" w:lineRule="exact"/>
        <w:ind w:firstLine="570"/>
        <w:rPr>
          <w:rFonts w:hint="eastAsia" w:ascii="宋体" w:hAnsi="宋体" w:eastAsia="宋体" w:cs="宋体"/>
          <w:color w:val="auto"/>
          <w:sz w:val="24"/>
          <w:highlight w:val="none"/>
        </w:rPr>
      </w:pPr>
    </w:p>
    <w:p w14:paraId="00113E58">
      <w:pPr>
        <w:tabs>
          <w:tab w:val="left" w:pos="6300"/>
        </w:tabs>
        <w:snapToGrid w:val="0"/>
        <w:spacing w:line="500" w:lineRule="exact"/>
        <w:ind w:firstLine="570"/>
        <w:rPr>
          <w:rFonts w:hint="eastAsia" w:ascii="宋体" w:hAnsi="宋体" w:eastAsia="宋体" w:cs="宋体"/>
          <w:color w:val="auto"/>
          <w:sz w:val="24"/>
          <w:highlight w:val="none"/>
        </w:rPr>
      </w:pPr>
    </w:p>
    <w:p w14:paraId="1F4ED0CF">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（供应商公章）</w:t>
      </w:r>
    </w:p>
    <w:p w14:paraId="185637A2">
      <w:pPr>
        <w:tabs>
          <w:tab w:val="left" w:pos="6300"/>
        </w:tabs>
        <w:snapToGrid w:val="0"/>
        <w:spacing w:line="500" w:lineRule="exact"/>
        <w:ind w:firstLine="570"/>
        <w:rPr>
          <w:rFonts w:hint="eastAsia" w:ascii="宋体" w:hAnsi="宋体" w:eastAsia="宋体" w:cs="宋体"/>
          <w:color w:val="auto"/>
          <w:sz w:val="24"/>
          <w:highlight w:val="none"/>
        </w:rPr>
      </w:pPr>
    </w:p>
    <w:p w14:paraId="36510F1C">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年   月   日</w:t>
      </w:r>
    </w:p>
    <w:p w14:paraId="2574873B">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法定代表人电话：XXXXXXX      电子邮箱：XXXXXX@XXXXX（若授权他人办理并签署响应文件的可不填写）</w:t>
      </w:r>
    </w:p>
    <w:p w14:paraId="6D644A72">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（附：法定代表人身份证正反面复印件）</w:t>
      </w:r>
    </w:p>
    <w:p w14:paraId="790BBAC6">
      <w:pPr>
        <w:tabs>
          <w:tab w:val="left" w:pos="6300"/>
        </w:tabs>
        <w:snapToGrid w:val="0"/>
        <w:spacing w:line="500" w:lineRule="exact"/>
        <w:ind w:firstLine="570"/>
        <w:rPr>
          <w:rFonts w:hint="eastAsia" w:ascii="宋体" w:hAnsi="宋体" w:eastAsia="宋体" w:cs="宋体"/>
          <w:color w:val="auto"/>
          <w:sz w:val="24"/>
          <w:highlight w:val="none"/>
        </w:rPr>
      </w:pPr>
    </w:p>
    <w:p w14:paraId="2BD3B240">
      <w:pPr>
        <w:rPr>
          <w:rFonts w:hint="eastAsia" w:ascii="宋体" w:hAnsi="宋体" w:eastAsia="宋体" w:cs="宋体"/>
          <w:color w:val="auto"/>
          <w:szCs w:val="28"/>
          <w:highlight w:val="none"/>
        </w:rPr>
      </w:pPr>
      <w:r>
        <w:rPr>
          <w:rFonts w:hint="eastAsia" w:ascii="宋体" w:hAnsi="宋体" w:eastAsia="宋体" w:cs="宋体"/>
          <w:color w:val="auto"/>
          <w:szCs w:val="28"/>
          <w:highlight w:val="none"/>
        </w:rPr>
        <w:br w:type="page"/>
      </w:r>
    </w:p>
    <w:p w14:paraId="0F63E1BB">
      <w:pPr>
        <w:tabs>
          <w:tab w:val="left" w:pos="6300"/>
        </w:tabs>
        <w:snapToGrid w:val="0"/>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（三）法定代表人授权委托书</w:t>
      </w:r>
    </w:p>
    <w:p w14:paraId="57FB51A4">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7E2CDC61">
      <w:pPr>
        <w:pStyle w:val="2"/>
        <w:jc w:val="center"/>
        <w:rPr>
          <w:rFonts w:hint="eastAsia" w:ascii="宋体" w:hAnsi="宋体" w:eastAsia="宋体" w:cs="宋体"/>
          <w:color w:val="auto"/>
          <w:sz w:val="24"/>
          <w:highlight w:val="none"/>
        </w:rPr>
      </w:pPr>
      <w:r>
        <w:rPr>
          <w:rFonts w:hint="eastAsia" w:ascii="宋体" w:hAnsi="宋体" w:eastAsia="宋体" w:cs="宋体"/>
          <w:b/>
          <w:bCs/>
          <w:color w:val="auto"/>
          <w:sz w:val="32"/>
          <w:szCs w:val="32"/>
          <w:highlight w:val="none"/>
        </w:rPr>
        <w:t>法定代表人授权委托书</w:t>
      </w:r>
    </w:p>
    <w:p w14:paraId="54F98649">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szCs w:val="28"/>
          <w:highlight w:val="none"/>
        </w:rPr>
        <w:t>项目名称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u w:val="single"/>
        </w:rPr>
        <w:t xml:space="preserve">                                                </w:t>
      </w:r>
    </w:p>
    <w:p w14:paraId="0F13BCA8">
      <w:pPr>
        <w:tabs>
          <w:tab w:val="left" w:pos="6300"/>
        </w:tabs>
        <w:snapToGrid w:val="0"/>
        <w:spacing w:line="500" w:lineRule="exact"/>
        <w:ind w:firstLine="570"/>
        <w:rPr>
          <w:rFonts w:hint="eastAsia" w:ascii="宋体" w:hAnsi="宋体" w:eastAsia="宋体" w:cs="宋体"/>
          <w:color w:val="auto"/>
          <w:sz w:val="24"/>
          <w:highlight w:val="none"/>
        </w:rPr>
      </w:pPr>
    </w:p>
    <w:p w14:paraId="7DA46CFC">
      <w:pPr>
        <w:tabs>
          <w:tab w:val="left" w:pos="6300"/>
        </w:tabs>
        <w:snapToGrid w:val="0"/>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5E757A04">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（供应商法定代表人名称）是</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（供应商名称）的法定代表人，特授权</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（被授权人姓名及身份证代码）代表我单位全权办理上述项目的</w:t>
      </w:r>
      <w:r>
        <w:rPr>
          <w:rFonts w:hint="eastAsia" w:ascii="宋体" w:hAnsi="宋体" w:cs="宋体"/>
          <w:color w:val="auto"/>
          <w:sz w:val="24"/>
          <w:highlight w:val="none"/>
          <w:lang w:eastAsia="zh-CN"/>
        </w:rPr>
        <w:t>比选</w:t>
      </w:r>
      <w:r>
        <w:rPr>
          <w:rFonts w:hint="eastAsia" w:ascii="宋体" w:hAnsi="宋体" w:eastAsia="宋体" w:cs="宋体"/>
          <w:color w:val="auto"/>
          <w:sz w:val="24"/>
          <w:highlight w:val="none"/>
        </w:rPr>
        <w:t>、签约等具体工作，并签署全部有关文件、协议及合同。</w:t>
      </w:r>
    </w:p>
    <w:p w14:paraId="192A0653">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我单位对被授权人的</w:t>
      </w:r>
      <w:r>
        <w:rPr>
          <w:rFonts w:hint="eastAsia" w:ascii="宋体" w:hAnsi="宋体" w:eastAsia="宋体" w:cs="宋体"/>
          <w:color w:val="auto"/>
          <w:sz w:val="24"/>
          <w:szCs w:val="28"/>
          <w:highlight w:val="none"/>
        </w:rPr>
        <w:t>签署</w:t>
      </w:r>
      <w:r>
        <w:rPr>
          <w:rFonts w:hint="eastAsia" w:ascii="宋体" w:hAnsi="宋体" w:eastAsia="宋体" w:cs="宋体"/>
          <w:color w:val="auto"/>
          <w:sz w:val="24"/>
          <w:highlight w:val="none"/>
        </w:rPr>
        <w:t>负全部责任。</w:t>
      </w:r>
    </w:p>
    <w:p w14:paraId="1228B2CC">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在撤销授权的书面通知以前，本授权书一直有效。被授权人在授权书有效期内签署的所有文件不因授权的撤销而失效。</w:t>
      </w:r>
    </w:p>
    <w:p w14:paraId="4B95ADFD">
      <w:pPr>
        <w:tabs>
          <w:tab w:val="left" w:pos="6300"/>
        </w:tabs>
        <w:snapToGrid w:val="0"/>
        <w:spacing w:line="500" w:lineRule="exact"/>
        <w:ind w:firstLine="570"/>
        <w:rPr>
          <w:rFonts w:hint="eastAsia" w:ascii="宋体" w:hAnsi="宋体" w:eastAsia="宋体" w:cs="宋体"/>
          <w:color w:val="auto"/>
          <w:sz w:val="24"/>
          <w:highlight w:val="none"/>
        </w:rPr>
      </w:pPr>
    </w:p>
    <w:p w14:paraId="36FF1FE7">
      <w:pPr>
        <w:tabs>
          <w:tab w:val="left" w:pos="6300"/>
        </w:tabs>
        <w:snapToGrid w:val="0"/>
        <w:spacing w:line="500" w:lineRule="exact"/>
        <w:ind w:firstLine="570"/>
        <w:rPr>
          <w:rFonts w:hint="eastAsia" w:ascii="宋体" w:hAnsi="宋体" w:eastAsia="宋体" w:cs="宋体"/>
          <w:color w:val="auto"/>
          <w:sz w:val="24"/>
          <w:highlight w:val="none"/>
        </w:rPr>
      </w:pPr>
    </w:p>
    <w:p w14:paraId="6ED6636E">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                                 供应商法定代表人：</w:t>
      </w:r>
    </w:p>
    <w:p w14:paraId="29D3E05B">
      <w:pPr>
        <w:tabs>
          <w:tab w:val="left" w:pos="6300"/>
        </w:tabs>
        <w:snapToGrid w:val="0"/>
        <w:spacing w:line="500" w:lineRule="exact"/>
        <w:ind w:firstLine="570"/>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（签署或盖章）                                （签署或盖章）</w:t>
      </w:r>
    </w:p>
    <w:p w14:paraId="3D487426">
      <w:pPr>
        <w:tabs>
          <w:tab w:val="left" w:pos="6300"/>
        </w:tabs>
        <w:snapToGrid w:val="0"/>
        <w:spacing w:line="500" w:lineRule="exact"/>
        <w:ind w:firstLine="570"/>
        <w:rPr>
          <w:rFonts w:hint="eastAsia" w:ascii="宋体" w:hAnsi="宋体" w:eastAsia="宋体" w:cs="宋体"/>
          <w:color w:val="auto"/>
          <w:sz w:val="24"/>
          <w:szCs w:val="28"/>
          <w:highlight w:val="none"/>
        </w:rPr>
      </w:pPr>
    </w:p>
    <w:p w14:paraId="3A5AB67F">
      <w:pPr>
        <w:tabs>
          <w:tab w:val="left" w:pos="6300"/>
        </w:tabs>
        <w:snapToGrid w:val="0"/>
        <w:spacing w:line="500" w:lineRule="exact"/>
        <w:ind w:firstLine="570"/>
        <w:rPr>
          <w:rFonts w:hint="eastAsia" w:ascii="宋体" w:hAnsi="宋体" w:eastAsia="宋体" w:cs="宋体"/>
          <w:color w:val="auto"/>
          <w:sz w:val="24"/>
          <w:highlight w:val="none"/>
        </w:rPr>
      </w:pPr>
    </w:p>
    <w:p w14:paraId="012D8426">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（附：被授权人身份证正反面复印件）</w:t>
      </w:r>
    </w:p>
    <w:p w14:paraId="185527DC">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7952EA81">
      <w:pPr>
        <w:tabs>
          <w:tab w:val="left" w:pos="6300"/>
        </w:tabs>
        <w:snapToGrid w:val="0"/>
        <w:spacing w:line="500" w:lineRule="exact"/>
        <w:ind w:firstLine="570"/>
        <w:rPr>
          <w:rFonts w:hint="eastAsia" w:ascii="宋体" w:hAnsi="宋体" w:eastAsia="宋体" w:cs="宋体"/>
          <w:color w:val="auto"/>
          <w:sz w:val="24"/>
          <w:highlight w:val="none"/>
        </w:rPr>
      </w:pPr>
    </w:p>
    <w:p w14:paraId="31AC1638">
      <w:pPr>
        <w:tabs>
          <w:tab w:val="left" w:pos="6300"/>
        </w:tabs>
        <w:snapToGrid w:val="0"/>
        <w:spacing w:line="500" w:lineRule="exact"/>
        <w:ind w:firstLine="570"/>
        <w:rPr>
          <w:rFonts w:hint="eastAsia" w:ascii="宋体" w:hAnsi="宋体" w:eastAsia="宋体" w:cs="宋体"/>
          <w:color w:val="auto"/>
          <w:sz w:val="24"/>
          <w:highlight w:val="none"/>
        </w:rPr>
      </w:pPr>
    </w:p>
    <w:p w14:paraId="1E717795">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（供应商公章）</w:t>
      </w:r>
    </w:p>
    <w:p w14:paraId="4D778F1F">
      <w:pPr>
        <w:tabs>
          <w:tab w:val="left" w:pos="6300"/>
        </w:tabs>
        <w:snapToGrid w:val="0"/>
        <w:spacing w:line="500" w:lineRule="exact"/>
        <w:ind w:right="480" w:firstLine="57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年   月   日</w:t>
      </w:r>
    </w:p>
    <w:p w14:paraId="106D4FBD">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被授权人电话：XXXXXXX     电子邮箱：XXXXXX@XXXXX（若法定代表人办理并签署响应文件的可不填写）</w:t>
      </w:r>
    </w:p>
    <w:p w14:paraId="1E0919D5">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67335F0B">
      <w:pPr>
        <w:tabs>
          <w:tab w:val="left" w:pos="6300"/>
        </w:tabs>
        <w:snapToGrid w:val="0"/>
        <w:spacing w:line="500" w:lineRule="exact"/>
        <w:ind w:right="480" w:firstLine="57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1.若为法定代表人办理并签署响应文件的，不提供此文件。</w:t>
      </w:r>
    </w:p>
    <w:p w14:paraId="41A9B65F">
      <w:pPr>
        <w:tabs>
          <w:tab w:val="left" w:pos="6300"/>
        </w:tabs>
        <w:snapToGrid w:val="0"/>
        <w:spacing w:line="500" w:lineRule="exact"/>
        <w:ind w:firstLine="570"/>
        <w:rPr>
          <w:rFonts w:hint="eastAsia" w:ascii="宋体" w:hAnsi="宋体" w:eastAsia="宋体" w:cs="宋体"/>
          <w:color w:val="auto"/>
          <w:sz w:val="24"/>
          <w:highlight w:val="none"/>
        </w:rPr>
      </w:pPr>
      <w:r>
        <w:rPr>
          <w:rFonts w:hint="eastAsia" w:ascii="宋体" w:hAnsi="宋体" w:eastAsia="宋体" w:cs="宋体"/>
          <w:color w:val="auto"/>
          <w:sz w:val="24"/>
          <w:highlight w:val="none"/>
        </w:rPr>
        <w:t>2.若为联合体参与的，法定代表人授权委托书由联合体主办方</w:t>
      </w:r>
      <w:r>
        <w:rPr>
          <w:rFonts w:hint="eastAsia" w:ascii="宋体" w:hAnsi="宋体" w:eastAsia="宋体" w:cs="宋体"/>
          <w:color w:val="auto"/>
          <w:kern w:val="0"/>
          <w:sz w:val="24"/>
          <w:szCs w:val="24"/>
          <w:highlight w:val="none"/>
        </w:rPr>
        <w:t>（主体）</w:t>
      </w:r>
      <w:r>
        <w:rPr>
          <w:rFonts w:hint="eastAsia" w:ascii="宋体" w:hAnsi="宋体" w:eastAsia="宋体" w:cs="宋体"/>
          <w:color w:val="auto"/>
          <w:sz w:val="24"/>
          <w:highlight w:val="none"/>
        </w:rPr>
        <w:t>出具。</w:t>
      </w:r>
    </w:p>
    <w:p w14:paraId="695B4ED5">
      <w:pPr>
        <w:rPr>
          <w:rFonts w:hint="eastAsia" w:ascii="宋体" w:hAnsi="宋体" w:eastAsia="宋体" w:cs="宋体"/>
          <w:color w:val="auto"/>
          <w:szCs w:val="28"/>
          <w:highlight w:val="none"/>
        </w:rPr>
      </w:pPr>
      <w:r>
        <w:rPr>
          <w:rFonts w:hint="eastAsia" w:ascii="宋体" w:hAnsi="宋体" w:eastAsia="宋体" w:cs="宋体"/>
          <w:color w:val="auto"/>
          <w:szCs w:val="28"/>
          <w:highlight w:val="none"/>
        </w:rPr>
        <w:br w:type="page"/>
      </w:r>
    </w:p>
    <w:p w14:paraId="3C54A36D">
      <w:pPr>
        <w:tabs>
          <w:tab w:val="left" w:pos="6300"/>
        </w:tabs>
        <w:snapToGrid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（四）基本资格条件承诺函</w:t>
      </w:r>
    </w:p>
    <w:p w14:paraId="65743586">
      <w:pPr>
        <w:tabs>
          <w:tab w:val="left" w:pos="6300"/>
        </w:tabs>
        <w:snapToGrid w:val="0"/>
        <w:spacing w:line="500" w:lineRule="exact"/>
        <w:ind w:firstLine="720" w:firstLineChars="200"/>
        <w:jc w:val="center"/>
        <w:rPr>
          <w:rFonts w:hint="eastAsia" w:ascii="宋体" w:hAnsi="宋体" w:eastAsia="宋体" w:cs="宋体"/>
          <w:color w:val="auto"/>
          <w:sz w:val="36"/>
          <w:szCs w:val="36"/>
          <w:highlight w:val="none"/>
        </w:rPr>
      </w:pPr>
    </w:p>
    <w:p w14:paraId="3D5F2955">
      <w:pPr>
        <w:tabs>
          <w:tab w:val="left" w:pos="6300"/>
        </w:tabs>
        <w:snapToGrid w:val="0"/>
        <w:spacing w:line="500" w:lineRule="exact"/>
        <w:ind w:firstLine="643" w:firstLineChars="20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基本资格条件承诺函</w:t>
      </w:r>
    </w:p>
    <w:p w14:paraId="041B39A0">
      <w:pPr>
        <w:tabs>
          <w:tab w:val="left" w:pos="6300"/>
        </w:tabs>
        <w:snapToGrid w:val="0"/>
        <w:spacing w:line="530" w:lineRule="exact"/>
        <w:rPr>
          <w:rFonts w:hint="eastAsia" w:ascii="宋体" w:hAnsi="宋体" w:eastAsia="宋体" w:cs="宋体"/>
          <w:color w:val="auto"/>
          <w:sz w:val="24"/>
          <w:highlight w:val="none"/>
        </w:rPr>
      </w:pPr>
    </w:p>
    <w:p w14:paraId="20EE1C52">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（采购代理机构名称）：</w:t>
      </w:r>
    </w:p>
    <w:p w14:paraId="0AEC1982">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（供应商名称）郑重承诺：</w:t>
      </w:r>
    </w:p>
    <w:p w14:paraId="55C5B84A">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1.我方具有良好的商业信誉和健全的财务会计制度，具有履行合同所必需的设备和专业技术能力，具</w:t>
      </w:r>
      <w:r>
        <w:rPr>
          <w:rFonts w:hint="eastAsia" w:ascii="宋体" w:hAnsi="宋体" w:eastAsia="宋体" w:cs="宋体"/>
          <w:color w:val="auto"/>
          <w:sz w:val="24"/>
          <w:highlight w:val="none"/>
          <w:lang w:val="zh-CN"/>
        </w:rPr>
        <w:t>有依法缴纳税收和社会保障金的良好记录</w:t>
      </w:r>
      <w:r>
        <w:rPr>
          <w:rFonts w:hint="eastAsia" w:ascii="宋体" w:hAnsi="宋体" w:eastAsia="宋体" w:cs="宋体"/>
          <w:color w:val="auto"/>
          <w:sz w:val="24"/>
          <w:highlight w:val="none"/>
        </w:rPr>
        <w:t>，参加本项目采购活动前三年内无重大违法活动记录。</w:t>
      </w:r>
    </w:p>
    <w:p w14:paraId="75E4E485">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2.我方未列入在信用中国网站（www.creditchina.gov.cn）“失信被执行人”、“重大税收违法案件当事人名单”中，也未列入中国政府采购网（www.ccgp.gov.cn）“政府采购严重违法失信行为记录名单”中。</w:t>
      </w:r>
    </w:p>
    <w:p w14:paraId="3967E32D">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3.我方在采购项目评审（评标）环节结束后，随时接受采购人、采购代理机构的检查验证，配合提供相关证明材料，证明符合《中华人民共和国政府采购法》规定的供应商基本资格条件。</w:t>
      </w:r>
    </w:p>
    <w:p w14:paraId="584E40C8">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我方对以上承诺负全部法律责任。</w:t>
      </w:r>
    </w:p>
    <w:p w14:paraId="5CBD8DF7">
      <w:pPr>
        <w:tabs>
          <w:tab w:val="left" w:pos="6300"/>
        </w:tabs>
        <w:snapToGrid w:val="0"/>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特此承诺。</w:t>
      </w:r>
    </w:p>
    <w:p w14:paraId="3F9F1D64">
      <w:pPr>
        <w:tabs>
          <w:tab w:val="left" w:pos="6300"/>
        </w:tabs>
        <w:snapToGrid w:val="0"/>
        <w:spacing w:line="500" w:lineRule="exact"/>
        <w:ind w:firstLine="480" w:firstLineChars="200"/>
        <w:rPr>
          <w:rFonts w:hint="eastAsia" w:ascii="宋体" w:hAnsi="宋体" w:eastAsia="宋体" w:cs="宋体"/>
          <w:color w:val="auto"/>
          <w:sz w:val="24"/>
          <w:highlight w:val="none"/>
        </w:rPr>
      </w:pPr>
    </w:p>
    <w:p w14:paraId="3AB6E870">
      <w:pPr>
        <w:tabs>
          <w:tab w:val="left" w:pos="6300"/>
        </w:tabs>
        <w:snapToGrid w:val="0"/>
        <w:spacing w:line="500" w:lineRule="exact"/>
        <w:ind w:firstLine="480" w:firstLineChars="20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（供应商公章）</w:t>
      </w:r>
    </w:p>
    <w:p w14:paraId="2D34A8D0">
      <w:pPr>
        <w:tabs>
          <w:tab w:val="left" w:pos="6300"/>
        </w:tabs>
        <w:snapToGrid w:val="0"/>
        <w:spacing w:line="500" w:lineRule="exact"/>
        <w:ind w:firstLine="7920" w:firstLineChars="330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年   月   日</w:t>
      </w:r>
    </w:p>
    <w:p w14:paraId="03CD734B">
      <w:pPr>
        <w:pStyle w:val="2"/>
        <w:rPr>
          <w:rFonts w:hint="eastAsia" w:ascii="宋体" w:hAnsi="宋体" w:eastAsia="宋体" w:cs="宋体"/>
          <w:color w:val="auto"/>
          <w:highlight w:val="none"/>
        </w:rPr>
        <w:sectPr>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r>
        <w:rPr>
          <w:rFonts w:hint="eastAsia" w:ascii="宋体" w:hAnsi="宋体" w:eastAsia="宋体" w:cs="宋体"/>
          <w:color w:val="auto"/>
          <w:highlight w:val="none"/>
        </w:rPr>
        <w:br w:type="page"/>
      </w:r>
    </w:p>
    <w:p w14:paraId="675E8C16">
      <w:pPr>
        <w:tabs>
          <w:tab w:val="left" w:pos="6300"/>
        </w:tabs>
        <w:snapToGrid w:val="0"/>
        <w:spacing w:line="500" w:lineRule="exact"/>
        <w:rPr>
          <w:rFonts w:hint="eastAsia" w:ascii="宋体" w:hAnsi="宋体" w:eastAsia="宋体" w:cs="宋体"/>
          <w:color w:val="auto"/>
          <w:szCs w:val="28"/>
          <w:highlight w:val="none"/>
        </w:rPr>
      </w:pPr>
      <w:r>
        <w:rPr>
          <w:rFonts w:hint="eastAsia" w:ascii="宋体" w:hAnsi="宋体" w:eastAsia="宋体" w:cs="宋体"/>
          <w:color w:val="auto"/>
          <w:szCs w:val="28"/>
          <w:highlight w:val="none"/>
        </w:rPr>
        <w:t>（五）特定资格条件证明文件（如有）</w:t>
      </w:r>
    </w:p>
    <w:p w14:paraId="5B29C9EF">
      <w:pPr>
        <w:pStyle w:val="23"/>
        <w:ind w:firstLine="0"/>
        <w:rPr>
          <w:rFonts w:hint="eastAsia" w:ascii="宋体" w:hAnsi="宋体" w:eastAsia="宋体" w:cs="宋体"/>
          <w:b/>
          <w:color w:val="auto"/>
          <w:sz w:val="32"/>
          <w:szCs w:val="32"/>
          <w:highlight w:val="none"/>
        </w:rPr>
        <w:sectPr>
          <w:pgSz w:w="11907" w:h="16840"/>
          <w:pgMar w:top="1134" w:right="1191" w:bottom="1134" w:left="1304" w:header="851" w:footer="850" w:gutter="0"/>
          <w:pgBorders>
            <w:top w:val="none" w:sz="0" w:space="0"/>
            <w:left w:val="none" w:sz="0" w:space="0"/>
            <w:bottom w:val="none" w:sz="0" w:space="0"/>
            <w:right w:val="none" w:sz="0" w:space="0"/>
          </w:pgBorders>
          <w:cols w:space="720" w:num="1"/>
          <w:docGrid w:linePitch="380" w:charSpace="-5735"/>
        </w:sectPr>
      </w:pPr>
      <w:bookmarkStart w:id="168" w:name="_Toc101387460"/>
    </w:p>
    <w:p w14:paraId="0478D8C8">
      <w:pPr>
        <w:pStyle w:val="23"/>
        <w:ind w:firstLine="0"/>
        <w:rPr>
          <w:rFonts w:hint="eastAsia" w:ascii="宋体" w:hAnsi="宋体" w:cs="宋体"/>
          <w:b/>
          <w:color w:val="auto"/>
          <w:sz w:val="32"/>
          <w:szCs w:val="32"/>
          <w:highlight w:val="none"/>
          <w:lang w:eastAsia="zh-CN"/>
        </w:rPr>
      </w:pPr>
      <w:r>
        <w:rPr>
          <w:rFonts w:hint="eastAsia" w:ascii="宋体" w:hAnsi="宋体" w:eastAsia="宋体" w:cs="宋体"/>
          <w:b/>
          <w:color w:val="auto"/>
          <w:sz w:val="32"/>
          <w:szCs w:val="32"/>
          <w:highlight w:val="none"/>
        </w:rPr>
        <w:t>五、</w:t>
      </w:r>
      <w:r>
        <w:rPr>
          <w:rFonts w:hint="eastAsia" w:ascii="宋体" w:hAnsi="宋体" w:cs="宋体"/>
          <w:b/>
          <w:color w:val="auto"/>
          <w:sz w:val="32"/>
          <w:szCs w:val="32"/>
          <w:highlight w:val="none"/>
          <w:lang w:eastAsia="zh-CN"/>
        </w:rPr>
        <w:t>其他资料</w:t>
      </w:r>
    </w:p>
    <w:bookmarkEnd w:id="168"/>
    <w:p w14:paraId="5895E3CA">
      <w:pPr>
        <w:rPr>
          <w:rFonts w:hint="eastAsia" w:ascii="宋体" w:hAnsi="宋体" w:eastAsia="宋体" w:cs="宋体"/>
          <w:color w:val="auto"/>
          <w:highlight w:val="none"/>
        </w:rPr>
      </w:pPr>
    </w:p>
    <w:p w14:paraId="2EB7D095">
      <w:pPr>
        <w:pStyle w:val="23"/>
        <w:rPr>
          <w:rFonts w:hint="eastAsia" w:ascii="宋体" w:hAnsi="宋体" w:eastAsia="宋体" w:cs="宋体"/>
          <w:color w:val="auto"/>
          <w:highlight w:val="none"/>
        </w:rPr>
      </w:pPr>
    </w:p>
    <w:p w14:paraId="5A504F18">
      <w:pPr>
        <w:rPr>
          <w:rFonts w:hint="eastAsia" w:ascii="宋体" w:hAnsi="宋体" w:eastAsia="宋体" w:cs="宋体"/>
          <w:color w:val="auto"/>
          <w:highlight w:val="none"/>
        </w:rPr>
      </w:pPr>
    </w:p>
    <w:p w14:paraId="340449FB">
      <w:pPr>
        <w:pStyle w:val="23"/>
        <w:rPr>
          <w:rFonts w:hint="eastAsia" w:ascii="宋体" w:hAnsi="宋体" w:eastAsia="宋体" w:cs="宋体"/>
          <w:color w:val="auto"/>
          <w:highlight w:val="none"/>
        </w:rPr>
      </w:pPr>
    </w:p>
    <w:p w14:paraId="0853578B">
      <w:pPr>
        <w:rPr>
          <w:rFonts w:hint="eastAsia" w:ascii="宋体" w:hAnsi="宋体" w:eastAsia="宋体" w:cs="宋体"/>
          <w:color w:val="auto"/>
          <w:highlight w:val="none"/>
        </w:rPr>
      </w:pPr>
    </w:p>
    <w:p w14:paraId="5023FEAC">
      <w:pPr>
        <w:pStyle w:val="23"/>
        <w:rPr>
          <w:rFonts w:hint="eastAsia" w:ascii="宋体" w:hAnsi="宋体" w:eastAsia="宋体" w:cs="宋体"/>
          <w:color w:val="auto"/>
          <w:highlight w:val="none"/>
        </w:rPr>
      </w:pPr>
    </w:p>
    <w:p w14:paraId="1CAF4997">
      <w:pPr>
        <w:rPr>
          <w:rFonts w:hint="eastAsia" w:ascii="宋体" w:hAnsi="宋体" w:eastAsia="宋体" w:cs="宋体"/>
          <w:color w:val="auto"/>
          <w:highlight w:val="none"/>
        </w:rPr>
      </w:pPr>
    </w:p>
    <w:p w14:paraId="5032BFDE">
      <w:pPr>
        <w:pStyle w:val="23"/>
        <w:rPr>
          <w:rFonts w:hint="eastAsia" w:ascii="宋体" w:hAnsi="宋体" w:eastAsia="宋体" w:cs="宋体"/>
          <w:color w:val="auto"/>
          <w:highlight w:val="none"/>
        </w:rPr>
      </w:pPr>
    </w:p>
    <w:p w14:paraId="3F18A214">
      <w:pPr>
        <w:rPr>
          <w:rFonts w:hint="eastAsia" w:ascii="宋体" w:hAnsi="宋体" w:eastAsia="宋体" w:cs="宋体"/>
          <w:color w:val="auto"/>
          <w:highlight w:val="none"/>
        </w:rPr>
      </w:pPr>
    </w:p>
    <w:p w14:paraId="54864E42">
      <w:pPr>
        <w:pStyle w:val="23"/>
        <w:rPr>
          <w:rFonts w:hint="eastAsia" w:ascii="宋体" w:hAnsi="宋体" w:eastAsia="宋体" w:cs="宋体"/>
          <w:color w:val="auto"/>
          <w:highlight w:val="none"/>
        </w:rPr>
      </w:pPr>
    </w:p>
    <w:p w14:paraId="645C56EE">
      <w:pPr>
        <w:rPr>
          <w:rFonts w:hint="eastAsia" w:ascii="宋体" w:hAnsi="宋体" w:eastAsia="宋体" w:cs="宋体"/>
          <w:color w:val="auto"/>
          <w:highlight w:val="none"/>
        </w:rPr>
      </w:pPr>
    </w:p>
    <w:p w14:paraId="4244B5EA">
      <w:pPr>
        <w:pStyle w:val="23"/>
        <w:rPr>
          <w:rFonts w:hint="eastAsia" w:ascii="宋体" w:hAnsi="宋体" w:eastAsia="宋体" w:cs="宋体"/>
          <w:color w:val="auto"/>
          <w:highlight w:val="none"/>
        </w:rPr>
      </w:pPr>
    </w:p>
    <w:p w14:paraId="550DE604">
      <w:pPr>
        <w:rPr>
          <w:rFonts w:hint="eastAsia" w:ascii="宋体" w:hAnsi="宋体" w:eastAsia="宋体" w:cs="宋体"/>
          <w:color w:val="auto"/>
          <w:highlight w:val="none"/>
        </w:rPr>
      </w:pPr>
    </w:p>
    <w:p w14:paraId="7083F5E6">
      <w:pPr>
        <w:pStyle w:val="23"/>
        <w:rPr>
          <w:rFonts w:hint="eastAsia" w:ascii="宋体" w:hAnsi="宋体" w:eastAsia="宋体" w:cs="宋体"/>
          <w:color w:val="auto"/>
          <w:highlight w:val="none"/>
        </w:rPr>
      </w:pPr>
    </w:p>
    <w:p w14:paraId="2E3F4D50">
      <w:pPr>
        <w:rPr>
          <w:rFonts w:hint="eastAsia" w:ascii="宋体" w:hAnsi="宋体" w:eastAsia="宋体" w:cs="宋体"/>
          <w:color w:val="auto"/>
          <w:highlight w:val="none"/>
        </w:rPr>
      </w:pPr>
    </w:p>
    <w:p w14:paraId="05E6AD54">
      <w:pPr>
        <w:pStyle w:val="23"/>
        <w:rPr>
          <w:rFonts w:hint="eastAsia" w:ascii="宋体" w:hAnsi="宋体" w:eastAsia="宋体" w:cs="宋体"/>
          <w:color w:val="auto"/>
          <w:highlight w:val="none"/>
        </w:rPr>
      </w:pPr>
    </w:p>
    <w:p w14:paraId="3DBDD5E5">
      <w:pPr>
        <w:rPr>
          <w:rFonts w:hint="eastAsia" w:ascii="宋体" w:hAnsi="宋体" w:eastAsia="宋体" w:cs="宋体"/>
          <w:color w:val="auto"/>
          <w:highlight w:val="none"/>
        </w:rPr>
      </w:pPr>
    </w:p>
    <w:p w14:paraId="77840048">
      <w:pPr>
        <w:pStyle w:val="23"/>
        <w:rPr>
          <w:rFonts w:hint="eastAsia" w:ascii="宋体" w:hAnsi="宋体" w:eastAsia="宋体" w:cs="宋体"/>
          <w:color w:val="auto"/>
          <w:highlight w:val="none"/>
        </w:rPr>
      </w:pPr>
    </w:p>
    <w:p w14:paraId="5FF8C077">
      <w:pPr>
        <w:rPr>
          <w:rFonts w:hint="eastAsia" w:ascii="宋体" w:hAnsi="宋体" w:eastAsia="宋体" w:cs="宋体"/>
          <w:color w:val="auto"/>
          <w:highlight w:val="none"/>
        </w:rPr>
      </w:pPr>
    </w:p>
    <w:p w14:paraId="4E1FF93E">
      <w:pPr>
        <w:pStyle w:val="23"/>
        <w:rPr>
          <w:rFonts w:hint="eastAsia" w:ascii="宋体" w:hAnsi="宋体" w:eastAsia="宋体" w:cs="宋体"/>
          <w:color w:val="auto"/>
          <w:highlight w:val="none"/>
        </w:rPr>
      </w:pPr>
    </w:p>
    <w:p w14:paraId="28FAD73D">
      <w:pPr>
        <w:rPr>
          <w:rFonts w:hint="eastAsia" w:ascii="宋体" w:hAnsi="宋体" w:eastAsia="宋体" w:cs="宋体"/>
          <w:color w:val="auto"/>
          <w:highlight w:val="none"/>
        </w:rPr>
      </w:pPr>
    </w:p>
    <w:p w14:paraId="4FF9AA89">
      <w:pPr>
        <w:pStyle w:val="37"/>
        <w:ind w:firstLine="480"/>
        <w:rPr>
          <w:rFonts w:hint="eastAsia" w:ascii="宋体" w:hAnsi="宋体" w:eastAsia="宋体" w:cs="宋体"/>
          <w:color w:val="auto"/>
          <w:highlight w:val="none"/>
        </w:rPr>
      </w:pPr>
      <w:bookmarkStart w:id="169" w:name="_Toc7382"/>
      <w:bookmarkStart w:id="170" w:name="_Toc25402"/>
      <w:bookmarkStart w:id="171" w:name="_Toc17153"/>
      <w:r>
        <w:rPr>
          <w:rFonts w:hint="eastAsia" w:ascii="宋体" w:hAnsi="宋体" w:eastAsia="宋体" w:cs="宋体"/>
          <w:color w:val="auto"/>
          <w:highlight w:val="none"/>
        </w:rPr>
        <w:t>（结束）</w:t>
      </w:r>
      <w:bookmarkEnd w:id="169"/>
      <w:bookmarkEnd w:id="170"/>
      <w:bookmarkEnd w:id="171"/>
      <w:bookmarkStart w:id="172" w:name="_Toc22835"/>
      <w:bookmarkStart w:id="173" w:name="_Toc8321"/>
      <w:bookmarkStart w:id="174" w:name="_Toc32111"/>
      <w:bookmarkStart w:id="175" w:name="_Toc26458"/>
      <w:bookmarkStart w:id="176" w:name="_Toc19707"/>
      <w:bookmarkStart w:id="177" w:name="_Toc20722"/>
      <w:bookmarkStart w:id="178" w:name="_Toc13336"/>
      <w:bookmarkStart w:id="179" w:name="_Toc477027621"/>
      <w:bookmarkStart w:id="180" w:name="_Toc10567"/>
      <w:bookmarkStart w:id="181" w:name="_Toc24258"/>
      <w:bookmarkStart w:id="182" w:name="_Toc18063"/>
      <w:bookmarkStart w:id="183" w:name="_Toc21179"/>
    </w:p>
    <w:p w14:paraId="3B8B7109">
      <w:pPr>
        <w:pStyle w:val="37"/>
        <w:ind w:firstLine="480"/>
        <w:rPr>
          <w:rFonts w:hint="eastAsia" w:ascii="宋体" w:hAnsi="宋体" w:eastAsia="宋体" w:cs="宋体"/>
          <w:color w:val="auto"/>
          <w:highlight w:val="none"/>
        </w:rPr>
      </w:pPr>
    </w:p>
    <w:p w14:paraId="4112C39E">
      <w:pPr>
        <w:pStyle w:val="37"/>
        <w:ind w:firstLine="480"/>
        <w:rPr>
          <w:rFonts w:hint="eastAsia" w:ascii="宋体" w:hAnsi="宋体" w:eastAsia="宋体" w:cs="宋体"/>
          <w:color w:val="auto"/>
          <w:highlight w:val="none"/>
        </w:rPr>
      </w:pPr>
    </w:p>
    <w:p w14:paraId="494E6E13">
      <w:pPr>
        <w:pStyle w:val="37"/>
        <w:ind w:firstLine="480"/>
        <w:rPr>
          <w:rFonts w:hint="eastAsia" w:ascii="宋体" w:hAnsi="宋体" w:eastAsia="宋体" w:cs="宋体"/>
          <w:color w:val="auto"/>
          <w:highlight w:val="none"/>
        </w:rPr>
      </w:pPr>
    </w:p>
    <w:p w14:paraId="2108CC84">
      <w:pPr>
        <w:pStyle w:val="37"/>
        <w:ind w:firstLine="480"/>
        <w:rPr>
          <w:rFonts w:hint="eastAsia" w:ascii="宋体" w:hAnsi="宋体" w:eastAsia="宋体" w:cs="宋体"/>
          <w:color w:val="auto"/>
          <w:highlight w:val="none"/>
        </w:rPr>
      </w:pPr>
    </w:p>
    <w:p w14:paraId="6030B419">
      <w:pPr>
        <w:pStyle w:val="37"/>
        <w:ind w:firstLine="480"/>
        <w:rPr>
          <w:rFonts w:hint="eastAsia" w:ascii="宋体" w:hAnsi="宋体" w:eastAsia="宋体" w:cs="宋体"/>
          <w:color w:val="auto"/>
          <w:highlight w:val="none"/>
        </w:rPr>
      </w:pPr>
    </w:p>
    <w:p w14:paraId="612CFAD7">
      <w:pPr>
        <w:pStyle w:val="37"/>
        <w:ind w:firstLine="480"/>
        <w:rPr>
          <w:rFonts w:hint="eastAsia" w:ascii="宋体" w:hAnsi="宋体" w:eastAsia="宋体" w:cs="宋体"/>
          <w:color w:val="auto"/>
          <w:highlight w:val="none"/>
        </w:rPr>
      </w:pPr>
    </w:p>
    <w:p w14:paraId="61E2477E">
      <w:pPr>
        <w:pStyle w:val="37"/>
        <w:ind w:firstLine="480"/>
        <w:rPr>
          <w:rFonts w:hint="eastAsia" w:ascii="宋体" w:hAnsi="宋体" w:eastAsia="宋体" w:cs="宋体"/>
          <w:color w:val="auto"/>
          <w:highlight w:val="none"/>
        </w:rPr>
      </w:pPr>
    </w:p>
    <w:p w14:paraId="0929362A">
      <w:pPr>
        <w:pStyle w:val="37"/>
        <w:ind w:firstLine="480"/>
        <w:rPr>
          <w:rFonts w:hint="eastAsia" w:ascii="宋体" w:hAnsi="宋体" w:eastAsia="宋体" w:cs="宋体"/>
          <w:color w:val="auto"/>
          <w:highlight w:val="none"/>
        </w:rPr>
      </w:pPr>
    </w:p>
    <w:p w14:paraId="71932D72">
      <w:pPr>
        <w:pStyle w:val="37"/>
        <w:ind w:firstLine="480"/>
        <w:rPr>
          <w:rFonts w:hint="eastAsia" w:ascii="宋体" w:hAnsi="宋体" w:eastAsia="宋体" w:cs="宋体"/>
          <w:color w:val="auto"/>
          <w:highlight w:val="none"/>
        </w:rPr>
      </w:pPr>
    </w:p>
    <w:p w14:paraId="3EAB617A">
      <w:pPr>
        <w:pStyle w:val="37"/>
        <w:ind w:firstLine="480"/>
        <w:rPr>
          <w:rFonts w:hint="eastAsia" w:ascii="宋体" w:hAnsi="宋体" w:eastAsia="宋体" w:cs="宋体"/>
          <w:color w:val="auto"/>
          <w:highlight w:val="none"/>
        </w:rPr>
      </w:pPr>
    </w:p>
    <w:p w14:paraId="024CE916">
      <w:pPr>
        <w:pStyle w:val="37"/>
        <w:ind w:firstLine="480"/>
        <w:rPr>
          <w:rFonts w:hint="eastAsia" w:ascii="宋体" w:hAnsi="宋体" w:eastAsia="宋体" w:cs="宋体"/>
          <w:color w:val="auto"/>
          <w:highlight w:val="none"/>
        </w:rPr>
      </w:pPr>
    </w:p>
    <w:p w14:paraId="09BB9D9A">
      <w:pPr>
        <w:pStyle w:val="37"/>
        <w:ind w:firstLine="480"/>
        <w:jc w:val="center"/>
        <w:rPr>
          <w:rFonts w:hint="eastAsia" w:ascii="宋体" w:hAnsi="宋体" w:eastAsia="宋体" w:cs="宋体"/>
          <w:color w:val="auto"/>
          <w:szCs w:val="22"/>
          <w:highlight w:val="none"/>
        </w:rPr>
      </w:pPr>
      <w:bookmarkStart w:id="184" w:name="_Toc12065"/>
      <w:r>
        <w:rPr>
          <w:rFonts w:hint="eastAsia" w:ascii="宋体" w:hAnsi="宋体" w:eastAsia="宋体" w:cs="宋体"/>
          <w:color w:val="auto"/>
          <w:szCs w:val="22"/>
          <w:highlight w:val="none"/>
        </w:rPr>
        <w:t>附件一：供应商信息卡</w:t>
      </w:r>
      <w:bookmarkEnd w:id="172"/>
      <w:bookmarkEnd w:id="173"/>
      <w:bookmarkEnd w:id="174"/>
      <w:bookmarkEnd w:id="175"/>
      <w:bookmarkEnd w:id="176"/>
      <w:bookmarkEnd w:id="177"/>
      <w:bookmarkEnd w:id="178"/>
      <w:bookmarkEnd w:id="179"/>
      <w:bookmarkEnd w:id="180"/>
      <w:bookmarkEnd w:id="181"/>
      <w:bookmarkEnd w:id="182"/>
      <w:bookmarkEnd w:id="183"/>
      <w:bookmarkEnd w:id="184"/>
    </w:p>
    <w:p w14:paraId="6DC97F12">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项目名称（分包）：</w:t>
      </w:r>
    </w:p>
    <w:p w14:paraId="731C923C">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项目号：</w:t>
      </w:r>
    </w:p>
    <w:p w14:paraId="64CF1A95">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供应商名称：</w:t>
      </w:r>
    </w:p>
    <w:p w14:paraId="63D7673D">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法定代表人：</w:t>
      </w:r>
    </w:p>
    <w:p w14:paraId="4F5CF766">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联系电话：</w:t>
      </w:r>
    </w:p>
    <w:p w14:paraId="13310F49">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授权代表：</w:t>
      </w:r>
    </w:p>
    <w:p w14:paraId="64CD4068">
      <w:pPr>
        <w:pStyle w:val="53"/>
        <w:spacing w:line="860" w:lineRule="exact"/>
        <w:ind w:firstLine="720" w:firstLineChars="3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联系电话：</w:t>
      </w:r>
    </w:p>
    <w:p w14:paraId="5FC0A869">
      <w:pPr>
        <w:pStyle w:val="54"/>
        <w:ind w:left="480" w:hanging="480"/>
        <w:jc w:val="both"/>
        <w:rPr>
          <w:rFonts w:hint="eastAsia" w:ascii="宋体" w:hAnsi="宋体" w:eastAsia="宋体" w:cs="宋体"/>
          <w:color w:val="auto"/>
          <w:highlight w:val="none"/>
        </w:rPr>
      </w:pPr>
    </w:p>
    <w:p w14:paraId="4E67524D">
      <w:pPr>
        <w:pStyle w:val="54"/>
        <w:ind w:left="480" w:hanging="480"/>
        <w:jc w:val="both"/>
        <w:rPr>
          <w:rFonts w:hint="eastAsia" w:ascii="宋体" w:hAnsi="宋体" w:eastAsia="宋体" w:cs="宋体"/>
          <w:color w:val="auto"/>
          <w:highlight w:val="none"/>
        </w:rPr>
      </w:pPr>
    </w:p>
    <w:p w14:paraId="28E73095">
      <w:pPr>
        <w:pStyle w:val="54"/>
        <w:ind w:left="480" w:hanging="480"/>
        <w:jc w:val="both"/>
        <w:rPr>
          <w:rFonts w:hint="eastAsia" w:ascii="宋体" w:hAnsi="宋体" w:eastAsia="宋体" w:cs="宋体"/>
          <w:color w:val="auto"/>
          <w:highlight w:val="none"/>
        </w:rPr>
      </w:pPr>
    </w:p>
    <w:p w14:paraId="69864286">
      <w:pPr>
        <w:pStyle w:val="54"/>
        <w:ind w:left="480" w:hanging="480"/>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供应商(公章):</w:t>
      </w:r>
    </w:p>
    <w:p w14:paraId="6B05B5D9">
      <w:pPr>
        <w:pStyle w:val="54"/>
        <w:ind w:left="480" w:hanging="480"/>
        <w:jc w:val="both"/>
        <w:rPr>
          <w:rFonts w:hint="eastAsia" w:ascii="宋体" w:hAnsi="宋体" w:eastAsia="宋体" w:cs="宋体"/>
          <w:color w:val="auto"/>
          <w:highlight w:val="none"/>
        </w:rPr>
      </w:pPr>
      <w:r>
        <w:rPr>
          <w:rFonts w:hint="eastAsia" w:ascii="宋体" w:hAnsi="宋体" w:eastAsia="宋体" w:cs="宋体"/>
          <w:color w:val="auto"/>
          <w:highlight w:val="none"/>
        </w:rPr>
        <w:t xml:space="preserve">                                          日期：    年    月    日</w:t>
      </w:r>
    </w:p>
    <w:p w14:paraId="1A5F7A4E">
      <w:pPr>
        <w:ind w:left="716" w:hanging="716" w:hangingChars="297"/>
        <w:rPr>
          <w:rFonts w:hint="eastAsia" w:ascii="宋体" w:hAnsi="宋体" w:eastAsia="宋体" w:cs="宋体"/>
          <w:b/>
          <w:color w:val="auto"/>
          <w:sz w:val="24"/>
          <w:szCs w:val="24"/>
          <w:highlight w:val="none"/>
        </w:rPr>
      </w:pPr>
    </w:p>
    <w:p w14:paraId="6EB7C77C">
      <w:pPr>
        <w:ind w:left="716" w:hanging="716" w:hangingChars="297"/>
        <w:rPr>
          <w:rFonts w:hint="eastAsia" w:ascii="宋体" w:hAnsi="宋体" w:eastAsia="宋体" w:cs="宋体"/>
          <w:b/>
          <w:color w:val="auto"/>
          <w:sz w:val="24"/>
          <w:szCs w:val="24"/>
          <w:highlight w:val="none"/>
        </w:rPr>
      </w:pPr>
    </w:p>
    <w:p w14:paraId="7A7D3583">
      <w:pPr>
        <w:ind w:firstLine="480"/>
        <w:rPr>
          <w:rFonts w:hint="eastAsia" w:ascii="宋体" w:hAnsi="宋体" w:eastAsia="宋体" w:cs="宋体"/>
          <w:color w:val="auto"/>
          <w:sz w:val="24"/>
          <w:szCs w:val="24"/>
          <w:highlight w:val="none"/>
        </w:rPr>
      </w:pPr>
    </w:p>
    <w:p w14:paraId="125AF0AC">
      <w:pPr>
        <w:ind w:firstLine="480"/>
        <w:rPr>
          <w:rFonts w:hint="eastAsia" w:ascii="宋体" w:hAnsi="宋体" w:eastAsia="宋体" w:cs="宋体"/>
          <w:color w:val="auto"/>
          <w:sz w:val="24"/>
          <w:szCs w:val="24"/>
          <w:highlight w:val="none"/>
        </w:rPr>
      </w:pPr>
    </w:p>
    <w:p w14:paraId="4415AB9E">
      <w:pPr>
        <w:ind w:firstLine="480"/>
        <w:rPr>
          <w:rFonts w:hint="eastAsia" w:ascii="宋体" w:hAnsi="宋体" w:eastAsia="宋体" w:cs="宋体"/>
          <w:color w:val="auto"/>
          <w:sz w:val="24"/>
          <w:szCs w:val="24"/>
          <w:highlight w:val="none"/>
        </w:rPr>
      </w:pPr>
    </w:p>
    <w:p w14:paraId="2D461F03">
      <w:pPr>
        <w:ind w:firstLine="480"/>
        <w:rPr>
          <w:rFonts w:hint="eastAsia" w:ascii="宋体" w:hAnsi="宋体" w:eastAsia="宋体" w:cs="宋体"/>
          <w:color w:val="auto"/>
          <w:sz w:val="24"/>
          <w:szCs w:val="24"/>
          <w:highlight w:val="none"/>
        </w:rPr>
      </w:pPr>
    </w:p>
    <w:p w14:paraId="785A0301">
      <w:pPr>
        <w:ind w:firstLine="480"/>
        <w:rPr>
          <w:rFonts w:hint="eastAsia" w:ascii="宋体" w:hAnsi="宋体" w:eastAsia="宋体" w:cs="宋体"/>
          <w:color w:val="auto"/>
          <w:sz w:val="24"/>
          <w:szCs w:val="24"/>
          <w:highlight w:val="none"/>
        </w:rPr>
      </w:pPr>
    </w:p>
    <w:p w14:paraId="25309084">
      <w:pPr>
        <w:ind w:firstLine="482"/>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注：该“供应商信息卡”由供应商在现场递交（内容填写完整或打印并加盖公章，不得装入密封响应文件内）。</w:t>
      </w:r>
    </w:p>
    <w:p w14:paraId="7D2C7E11">
      <w:pPr>
        <w:pStyle w:val="37"/>
        <w:ind w:firstLine="480"/>
        <w:jc w:val="center"/>
        <w:rPr>
          <w:rFonts w:hint="eastAsia" w:ascii="宋体" w:hAnsi="宋体" w:eastAsia="宋体" w:cs="宋体"/>
          <w:color w:val="auto"/>
          <w:sz w:val="32"/>
          <w:szCs w:val="21"/>
          <w:highlight w:val="none"/>
        </w:rPr>
      </w:pPr>
      <w:r>
        <w:rPr>
          <w:rFonts w:hint="eastAsia" w:ascii="宋体" w:hAnsi="宋体" w:eastAsia="宋体" w:cs="宋体"/>
          <w:color w:val="auto"/>
          <w:sz w:val="24"/>
          <w:szCs w:val="24"/>
          <w:highlight w:val="none"/>
        </w:rPr>
        <w:br w:type="page"/>
      </w:r>
      <w:bookmarkStart w:id="185" w:name="_Toc31598"/>
      <w:bookmarkStart w:id="186" w:name="_Toc31510"/>
      <w:bookmarkStart w:id="187" w:name="_Toc18730"/>
      <w:bookmarkStart w:id="188" w:name="_Toc4759"/>
      <w:bookmarkStart w:id="189" w:name="_Toc4954"/>
      <w:bookmarkStart w:id="190" w:name="_Toc7891"/>
      <w:r>
        <w:rPr>
          <w:rFonts w:hint="eastAsia" w:ascii="宋体" w:hAnsi="宋体" w:eastAsia="宋体" w:cs="宋体"/>
          <w:color w:val="auto"/>
          <w:szCs w:val="22"/>
          <w:highlight w:val="none"/>
        </w:rPr>
        <w:t>附件二：</w:t>
      </w:r>
      <w:bookmarkEnd w:id="185"/>
      <w:bookmarkEnd w:id="186"/>
      <w:bookmarkEnd w:id="187"/>
      <w:bookmarkEnd w:id="188"/>
      <w:bookmarkEnd w:id="189"/>
      <w:bookmarkEnd w:id="190"/>
      <w:r>
        <w:rPr>
          <w:rFonts w:hint="eastAsia" w:ascii="宋体" w:hAnsi="宋体" w:eastAsia="宋体" w:cs="宋体"/>
          <w:color w:val="auto"/>
          <w:szCs w:val="22"/>
          <w:highlight w:val="none"/>
        </w:rPr>
        <w:t>采购文件发售登记表</w:t>
      </w:r>
    </w:p>
    <w:p w14:paraId="1B50B60B">
      <w:pPr>
        <w:ind w:firstLine="480"/>
        <w:jc w:val="center"/>
        <w:outlineLvl w:val="1"/>
        <w:rPr>
          <w:rFonts w:hint="eastAsia" w:ascii="宋体" w:hAnsi="宋体" w:eastAsia="宋体" w:cs="宋体"/>
          <w:b/>
          <w:color w:val="auto"/>
          <w:sz w:val="24"/>
          <w:highlight w:val="none"/>
        </w:rPr>
      </w:pPr>
    </w:p>
    <w:tbl>
      <w:tblPr>
        <w:tblStyle w:val="25"/>
        <w:tblW w:w="925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2396"/>
        <w:gridCol w:w="1053"/>
        <w:gridCol w:w="3974"/>
      </w:tblGrid>
      <w:tr w14:paraId="2E7E28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836" w:type="dxa"/>
            <w:noWrap/>
            <w:vAlign w:val="center"/>
          </w:tcPr>
          <w:p w14:paraId="66B7B1DE">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项目号</w:t>
            </w:r>
          </w:p>
        </w:tc>
        <w:tc>
          <w:tcPr>
            <w:tcW w:w="7423" w:type="dxa"/>
            <w:gridSpan w:val="3"/>
            <w:noWrap/>
            <w:vAlign w:val="center"/>
          </w:tcPr>
          <w:p w14:paraId="0A1297CA">
            <w:pPr>
              <w:jc w:val="center"/>
              <w:rPr>
                <w:rFonts w:hint="eastAsia" w:ascii="宋体" w:hAnsi="宋体" w:eastAsia="宋体" w:cs="宋体"/>
                <w:color w:val="auto"/>
                <w:sz w:val="24"/>
                <w:szCs w:val="24"/>
                <w:highlight w:val="none"/>
              </w:rPr>
            </w:pPr>
          </w:p>
        </w:tc>
      </w:tr>
      <w:tr w14:paraId="136932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836" w:type="dxa"/>
            <w:noWrap/>
            <w:vAlign w:val="center"/>
          </w:tcPr>
          <w:p w14:paraId="3CF15C75">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7423" w:type="dxa"/>
            <w:gridSpan w:val="3"/>
            <w:noWrap/>
            <w:vAlign w:val="center"/>
          </w:tcPr>
          <w:p w14:paraId="4CBB990A">
            <w:pPr>
              <w:jc w:val="center"/>
              <w:rPr>
                <w:rFonts w:hint="eastAsia" w:ascii="宋体" w:hAnsi="宋体" w:eastAsia="宋体" w:cs="宋体"/>
                <w:color w:val="auto"/>
                <w:sz w:val="24"/>
                <w:szCs w:val="24"/>
                <w:highlight w:val="none"/>
              </w:rPr>
            </w:pPr>
          </w:p>
        </w:tc>
      </w:tr>
      <w:tr w14:paraId="18E4944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1836" w:type="dxa"/>
            <w:noWrap/>
            <w:vAlign w:val="center"/>
          </w:tcPr>
          <w:p w14:paraId="19E3D50F">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供应商名称</w:t>
            </w:r>
          </w:p>
        </w:tc>
        <w:tc>
          <w:tcPr>
            <w:tcW w:w="7423" w:type="dxa"/>
            <w:gridSpan w:val="3"/>
            <w:noWrap/>
            <w:vAlign w:val="center"/>
          </w:tcPr>
          <w:p w14:paraId="6575622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（供应商公章）</w:t>
            </w:r>
          </w:p>
        </w:tc>
      </w:tr>
      <w:tr w14:paraId="1E4232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1836" w:type="dxa"/>
            <w:noWrap/>
            <w:vAlign w:val="center"/>
          </w:tcPr>
          <w:p w14:paraId="48C8F68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2396" w:type="dxa"/>
            <w:noWrap/>
            <w:vAlign w:val="center"/>
          </w:tcPr>
          <w:p w14:paraId="5D4DAAC5">
            <w:pPr>
              <w:jc w:val="center"/>
              <w:rPr>
                <w:rFonts w:hint="eastAsia" w:ascii="宋体" w:hAnsi="宋体" w:eastAsia="宋体" w:cs="宋体"/>
                <w:color w:val="auto"/>
                <w:sz w:val="24"/>
                <w:szCs w:val="24"/>
                <w:highlight w:val="none"/>
              </w:rPr>
            </w:pPr>
          </w:p>
        </w:tc>
        <w:tc>
          <w:tcPr>
            <w:tcW w:w="1053" w:type="dxa"/>
            <w:noWrap/>
            <w:vAlign w:val="center"/>
          </w:tcPr>
          <w:p w14:paraId="1645D81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手机</w:t>
            </w:r>
          </w:p>
        </w:tc>
        <w:tc>
          <w:tcPr>
            <w:tcW w:w="3974" w:type="dxa"/>
            <w:noWrap/>
            <w:vAlign w:val="center"/>
          </w:tcPr>
          <w:p w14:paraId="249692CE">
            <w:pPr>
              <w:jc w:val="center"/>
              <w:rPr>
                <w:rFonts w:hint="eastAsia" w:ascii="宋体" w:hAnsi="宋体" w:eastAsia="宋体" w:cs="宋体"/>
                <w:color w:val="auto"/>
                <w:sz w:val="24"/>
                <w:szCs w:val="24"/>
                <w:highlight w:val="none"/>
              </w:rPr>
            </w:pPr>
          </w:p>
        </w:tc>
      </w:tr>
      <w:tr w14:paraId="1844BD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1836" w:type="dxa"/>
            <w:noWrap/>
            <w:vAlign w:val="center"/>
          </w:tcPr>
          <w:p w14:paraId="0705B8D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办公电话</w:t>
            </w:r>
          </w:p>
        </w:tc>
        <w:tc>
          <w:tcPr>
            <w:tcW w:w="2396" w:type="dxa"/>
            <w:noWrap/>
            <w:vAlign w:val="center"/>
          </w:tcPr>
          <w:p w14:paraId="6C7F2483">
            <w:pPr>
              <w:jc w:val="center"/>
              <w:rPr>
                <w:rFonts w:hint="eastAsia" w:ascii="宋体" w:hAnsi="宋体" w:eastAsia="宋体" w:cs="宋体"/>
                <w:color w:val="auto"/>
                <w:sz w:val="24"/>
                <w:szCs w:val="24"/>
                <w:highlight w:val="none"/>
              </w:rPr>
            </w:pPr>
          </w:p>
        </w:tc>
        <w:tc>
          <w:tcPr>
            <w:tcW w:w="1053" w:type="dxa"/>
            <w:noWrap/>
            <w:vAlign w:val="center"/>
          </w:tcPr>
          <w:p w14:paraId="391C655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w:t>
            </w:r>
          </w:p>
        </w:tc>
        <w:tc>
          <w:tcPr>
            <w:tcW w:w="3974" w:type="dxa"/>
            <w:noWrap/>
            <w:vAlign w:val="center"/>
          </w:tcPr>
          <w:p w14:paraId="0BD80323">
            <w:pPr>
              <w:jc w:val="center"/>
              <w:rPr>
                <w:rFonts w:hint="eastAsia" w:ascii="宋体" w:hAnsi="宋体" w:eastAsia="宋体" w:cs="宋体"/>
                <w:color w:val="auto"/>
                <w:sz w:val="24"/>
                <w:szCs w:val="24"/>
                <w:highlight w:val="none"/>
              </w:rPr>
            </w:pPr>
          </w:p>
        </w:tc>
      </w:tr>
      <w:tr w14:paraId="129044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836" w:type="dxa"/>
            <w:noWrap/>
            <w:vAlign w:val="center"/>
          </w:tcPr>
          <w:p w14:paraId="758A5562">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p>
        </w:tc>
        <w:tc>
          <w:tcPr>
            <w:tcW w:w="7423" w:type="dxa"/>
            <w:gridSpan w:val="3"/>
            <w:noWrap/>
            <w:vAlign w:val="center"/>
          </w:tcPr>
          <w:p w14:paraId="449E81EE">
            <w:pPr>
              <w:jc w:val="center"/>
              <w:rPr>
                <w:rFonts w:hint="eastAsia" w:ascii="宋体" w:hAnsi="宋体" w:eastAsia="宋体" w:cs="宋体"/>
                <w:color w:val="auto"/>
                <w:sz w:val="24"/>
                <w:szCs w:val="24"/>
                <w:highlight w:val="none"/>
              </w:rPr>
            </w:pPr>
          </w:p>
        </w:tc>
      </w:tr>
      <w:tr w14:paraId="7F4D12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1836" w:type="dxa"/>
            <w:noWrap/>
            <w:vAlign w:val="center"/>
          </w:tcPr>
          <w:p w14:paraId="41547C6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单位地址</w:t>
            </w:r>
          </w:p>
        </w:tc>
        <w:tc>
          <w:tcPr>
            <w:tcW w:w="7423" w:type="dxa"/>
            <w:gridSpan w:val="3"/>
            <w:noWrap/>
            <w:vAlign w:val="center"/>
          </w:tcPr>
          <w:p w14:paraId="6448A0E0">
            <w:pPr>
              <w:jc w:val="center"/>
              <w:rPr>
                <w:rFonts w:hint="eastAsia" w:ascii="宋体" w:hAnsi="宋体" w:eastAsia="宋体" w:cs="宋体"/>
                <w:color w:val="auto"/>
                <w:sz w:val="24"/>
                <w:szCs w:val="24"/>
                <w:highlight w:val="none"/>
              </w:rPr>
            </w:pPr>
          </w:p>
        </w:tc>
      </w:tr>
    </w:tbl>
    <w:p w14:paraId="0EBD7E37">
      <w:pPr>
        <w:spacing w:line="360"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代理机构：</w:t>
      </w:r>
      <w:r>
        <w:rPr>
          <w:rFonts w:hint="eastAsia" w:ascii="宋体" w:hAnsi="宋体" w:cs="宋体"/>
          <w:color w:val="auto"/>
          <w:sz w:val="24"/>
          <w:szCs w:val="24"/>
          <w:highlight w:val="none"/>
          <w:lang w:eastAsia="zh-CN"/>
        </w:rPr>
        <w:t>重庆智胜达工程管理咨询有限公司</w:t>
      </w:r>
      <w:r>
        <w:rPr>
          <w:rFonts w:hint="eastAsia" w:ascii="宋体" w:hAnsi="宋体" w:eastAsia="宋体" w:cs="宋体"/>
          <w:color w:val="auto"/>
          <w:sz w:val="24"/>
          <w:szCs w:val="24"/>
          <w:highlight w:val="none"/>
        </w:rPr>
        <w:t xml:space="preserve">    </w:t>
      </w:r>
    </w:p>
    <w:p w14:paraId="431467CD">
      <w:pPr>
        <w:spacing w:line="360" w:lineRule="auto"/>
        <w:ind w:firstLine="480"/>
        <w:rPr>
          <w:rFonts w:hint="eastAsia" w:ascii="宋体" w:hAnsi="宋体" w:eastAsia="宋体" w:cs="宋体"/>
          <w:color w:val="auto"/>
          <w:sz w:val="24"/>
          <w:szCs w:val="24"/>
          <w:highlight w:val="none"/>
        </w:rPr>
      </w:pPr>
    </w:p>
    <w:p w14:paraId="0720743C">
      <w:pPr>
        <w:ind w:firstLine="482"/>
        <w:rPr>
          <w:rFonts w:hint="eastAsia" w:ascii="宋体" w:hAnsi="宋体" w:eastAsia="宋体" w:cs="宋体"/>
          <w:b/>
          <w:color w:val="auto"/>
          <w:sz w:val="24"/>
          <w:szCs w:val="24"/>
          <w:highlight w:val="none"/>
        </w:rPr>
      </w:pPr>
    </w:p>
    <w:p w14:paraId="12513165">
      <w:pPr>
        <w:ind w:firstLine="482"/>
        <w:rPr>
          <w:rFonts w:hint="eastAsia" w:ascii="宋体" w:hAnsi="宋体" w:eastAsia="宋体" w:cs="宋体"/>
          <w:b/>
          <w:color w:val="auto"/>
          <w:sz w:val="24"/>
          <w:szCs w:val="24"/>
          <w:highlight w:val="none"/>
        </w:rPr>
      </w:pPr>
    </w:p>
    <w:p w14:paraId="59EAF947">
      <w:pPr>
        <w:ind w:firstLine="482"/>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注：该“采购文件发售登记表”由供应商在现场递交（内容填写完整或打印并加盖公章，不得装入密封响应文件内）。</w:t>
      </w:r>
    </w:p>
    <w:p w14:paraId="19CA9505">
      <w:pPr>
        <w:spacing w:line="360" w:lineRule="auto"/>
        <w:ind w:firstLine="560" w:firstLineChars="200"/>
        <w:jc w:val="center"/>
        <w:rPr>
          <w:rFonts w:hint="eastAsia" w:ascii="宋体" w:hAnsi="宋体" w:eastAsia="宋体" w:cs="宋体"/>
          <w:color w:val="auto"/>
          <w:highlight w:val="none"/>
        </w:rPr>
      </w:pPr>
    </w:p>
    <w:p w14:paraId="525295E9">
      <w:pPr>
        <w:spacing w:line="360" w:lineRule="auto"/>
        <w:ind w:firstLine="4060" w:firstLineChars="1450"/>
        <w:rPr>
          <w:rFonts w:hint="eastAsia" w:ascii="宋体" w:hAnsi="宋体" w:eastAsia="宋体" w:cs="宋体"/>
          <w:color w:val="auto"/>
          <w:highlight w:val="none"/>
        </w:rPr>
      </w:pPr>
    </w:p>
    <w:sectPr>
      <w:headerReference r:id="rId11" w:type="default"/>
      <w:pgSz w:w="11907" w:h="16840"/>
      <w:pgMar w:top="1134" w:right="1191" w:bottom="1134" w:left="1304" w:header="851" w:footer="992" w:gutter="0"/>
      <w:pgBorders>
        <w:top w:val="none" w:sz="0" w:space="0"/>
        <w:left w:val="none" w:sz="0" w:space="0"/>
        <w:bottom w:val="none" w:sz="0" w:space="0"/>
        <w:right w:val="none" w:sz="0" w:space="0"/>
      </w:pgBorders>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7F8A38C-4FCF-4211-9158-91151185B5C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68C02">
    <w:pPr>
      <w:pStyle w:val="15"/>
      <w:framePr w:wrap="around" w:vAnchor="text" w:hAnchor="margin" w:xAlign="center" w:y="1"/>
      <w:jc w:val="center"/>
      <w:rPr>
        <w:rStyle w:val="28"/>
        <w:rFonts w:ascii="宋体"/>
        <w:sz w:val="21"/>
        <w:szCs w:val="21"/>
      </w:rPr>
    </w:pPr>
    <w:r>
      <w:rPr>
        <w:rFonts w:ascii="宋体"/>
        <w:sz w:val="21"/>
        <w:szCs w:val="21"/>
      </w:rPr>
      <w:fldChar w:fldCharType="begin"/>
    </w:r>
    <w:r>
      <w:rPr>
        <w:rStyle w:val="28"/>
        <w:rFonts w:ascii="宋体"/>
        <w:sz w:val="21"/>
        <w:szCs w:val="21"/>
      </w:rPr>
      <w:instrText xml:space="preserve">PAGE  </w:instrText>
    </w:r>
    <w:r>
      <w:rPr>
        <w:rFonts w:ascii="宋体"/>
        <w:sz w:val="21"/>
        <w:szCs w:val="21"/>
      </w:rPr>
      <w:fldChar w:fldCharType="separate"/>
    </w:r>
    <w:r>
      <w:rPr>
        <w:rStyle w:val="28"/>
        <w:rFonts w:ascii="宋体"/>
        <w:sz w:val="21"/>
        <w:szCs w:val="21"/>
      </w:rPr>
      <w:t>- 6 -</w:t>
    </w:r>
    <w:r>
      <w:rPr>
        <w:rFonts w:ascii="宋体"/>
        <w:sz w:val="21"/>
        <w:szCs w:val="21"/>
      </w:rPr>
      <w:fldChar w:fldCharType="end"/>
    </w:r>
  </w:p>
  <w:p w14:paraId="56D030F3">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00BD3">
    <w:pPr>
      <w:pStyle w:val="15"/>
      <w:jc w:val="center"/>
      <w:rPr>
        <w:rFonts w:ascii="宋体" w:hAnsi="宋体"/>
        <w:sz w:val="21"/>
        <w:szCs w:val="21"/>
      </w:rPr>
    </w:pPr>
    <w:r>
      <w:rPr>
        <w:rFonts w:ascii="宋体" w:hAnsi="宋体"/>
        <w:sz w:val="21"/>
        <w:szCs w:val="21"/>
      </w:rPr>
      <w:fldChar w:fldCharType="begin"/>
    </w:r>
    <w:r>
      <w:rPr>
        <w:rStyle w:val="28"/>
        <w:rFonts w:ascii="宋体" w:hAnsi="宋体"/>
        <w:sz w:val="21"/>
        <w:szCs w:val="21"/>
      </w:rPr>
      <w:instrText xml:space="preserve"> PAGE </w:instrText>
    </w:r>
    <w:r>
      <w:rPr>
        <w:rFonts w:ascii="宋体" w:hAnsi="宋体"/>
        <w:sz w:val="21"/>
        <w:szCs w:val="21"/>
      </w:rPr>
      <w:fldChar w:fldCharType="separate"/>
    </w:r>
    <w:r>
      <w:rPr>
        <w:rStyle w:val="28"/>
        <w:rFonts w:ascii="宋体" w:hAnsi="宋体"/>
        <w:sz w:val="21"/>
        <w:szCs w:val="21"/>
      </w:rPr>
      <w:t>- 15 -</w:t>
    </w:r>
    <w:r>
      <w:rPr>
        <w:rFonts w:ascii="宋体" w:hAnsi="宋体"/>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0C4D5">
    <w:pPr>
      <w:pStyle w:val="15"/>
      <w:framePr w:wrap="around" w:vAnchor="text" w:hAnchor="margin" w:xAlign="center" w:y="1"/>
      <w:rPr>
        <w:rStyle w:val="28"/>
      </w:rPr>
    </w:pPr>
    <w:r>
      <w:fldChar w:fldCharType="begin"/>
    </w:r>
    <w:r>
      <w:rPr>
        <w:rStyle w:val="28"/>
      </w:rPr>
      <w:instrText xml:space="preserve">PAGE  </w:instrText>
    </w:r>
    <w:r>
      <w:fldChar w:fldCharType="end"/>
    </w:r>
  </w:p>
  <w:p w14:paraId="3D422F8A">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25A82">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B81AA">
    <w:pPr>
      <w:pStyle w:val="16"/>
      <w:pBdr>
        <w:bottom w:val="none" w:color="auto" w:sz="0" w:space="1"/>
      </w:pBdr>
      <w:jc w:val="both"/>
      <w:rPr>
        <w:rFonts w:hint="eastAsia" w:ascii="宋体" w:hAnsi="宋体" w:eastAsia="宋体" w:cs="宋体"/>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5862">
    <w:pPr>
      <w:pStyle w:val="16"/>
      <w:pBdr>
        <w:bottom w:val="none" w:color="auto" w:sz="0" w:space="1"/>
      </w:pBdr>
      <w:rPr>
        <w:rFonts w:hint="eastAsia"/>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9B281">
    <w:pPr>
      <w:pStyle w:val="16"/>
      <w:pBdr>
        <w:bottom w:val="none" w:color="auto" w:sz="0" w:space="1"/>
      </w:pBdr>
      <w:jc w:val="both"/>
      <w:rPr>
        <w:rFonts w:hint="default" w:ascii="宋体" w:hAnsi="宋体" w:eastAsia="宋体" w:cs="宋体"/>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0C6A2">
    <w:pPr>
      <w:pStyle w:val="16"/>
      <w:pBdr>
        <w:bottom w:val="none" w:color="auto" w:sz="0" w:space="1"/>
      </w:pBdr>
      <w:jc w:val="both"/>
      <w:rPr>
        <w:rFonts w:hint="eastAsia" w:ascii="宋体" w:hAnsi="宋体" w:eastAsia="宋体" w:cs="宋体"/>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7E96C">
    <w:pPr>
      <w:pStyle w:val="16"/>
      <w:pBdr>
        <w:bottom w:val="none" w:color="auto" w:sz="0" w:space="1"/>
      </w:pBdr>
      <w:jc w:val="both"/>
      <w:rPr>
        <w:rFonts w:hint="eastAsia" w:ascii="宋体" w:hAnsi="宋体" w:eastAsia="宋体" w:cs="宋体"/>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874CA"/>
    <w:multiLevelType w:val="singleLevel"/>
    <w:tmpl w:val="828874CA"/>
    <w:lvl w:ilvl="0" w:tentative="0">
      <w:start w:val="3"/>
      <w:numFmt w:val="decimal"/>
      <w:lvlText w:val="%1."/>
      <w:lvlJc w:val="left"/>
      <w:pPr>
        <w:tabs>
          <w:tab w:val="left" w:pos="312"/>
        </w:tabs>
      </w:pPr>
    </w:lvl>
  </w:abstractNum>
  <w:abstractNum w:abstractNumId="1">
    <w:nsid w:val="93D81972"/>
    <w:multiLevelType w:val="singleLevel"/>
    <w:tmpl w:val="93D81972"/>
    <w:lvl w:ilvl="0" w:tentative="0">
      <w:start w:val="1"/>
      <w:numFmt w:val="chineseCounting"/>
      <w:suff w:val="nothing"/>
      <w:lvlText w:val="%1、"/>
      <w:lvlJc w:val="left"/>
      <w:rPr>
        <w:rFonts w:hint="eastAsia"/>
      </w:rPr>
    </w:lvl>
  </w:abstractNum>
  <w:abstractNum w:abstractNumId="2">
    <w:nsid w:val="C9B5FE6B"/>
    <w:multiLevelType w:val="singleLevel"/>
    <w:tmpl w:val="C9B5FE6B"/>
    <w:lvl w:ilvl="0" w:tentative="0">
      <w:start w:val="1"/>
      <w:numFmt w:val="decimal"/>
      <w:suff w:val="nothing"/>
      <w:lvlText w:val="%1、"/>
      <w:lvlJc w:val="left"/>
    </w:lvl>
  </w:abstractNum>
  <w:abstractNum w:abstractNumId="3">
    <w:nsid w:val="11610477"/>
    <w:multiLevelType w:val="singleLevel"/>
    <w:tmpl w:val="11610477"/>
    <w:lvl w:ilvl="0" w:tentative="0">
      <w:start w:val="5"/>
      <w:numFmt w:val="decimal"/>
      <w:lvlText w:val="%1."/>
      <w:lvlJc w:val="left"/>
      <w:pPr>
        <w:tabs>
          <w:tab w:val="left" w:pos="312"/>
        </w:tabs>
      </w:pPr>
    </w:lvl>
  </w:abstractNum>
  <w:abstractNum w:abstractNumId="4">
    <w:nsid w:val="1707F5CD"/>
    <w:multiLevelType w:val="singleLevel"/>
    <w:tmpl w:val="1707F5CD"/>
    <w:lvl w:ilvl="0" w:tentative="0">
      <w:start w:val="2"/>
      <w:numFmt w:val="decimal"/>
      <w:lvlText w:val="%1."/>
      <w:lvlJc w:val="left"/>
      <w:pPr>
        <w:tabs>
          <w:tab w:val="left" w:pos="312"/>
        </w:tabs>
      </w:pPr>
    </w:lvl>
  </w:abstractNum>
  <w:abstractNum w:abstractNumId="5">
    <w:nsid w:val="1D186085"/>
    <w:multiLevelType w:val="singleLevel"/>
    <w:tmpl w:val="1D186085"/>
    <w:lvl w:ilvl="0" w:tentative="0">
      <w:start w:val="4"/>
      <w:numFmt w:val="decimal"/>
      <w:lvlText w:val="%1."/>
      <w:lvlJc w:val="left"/>
      <w:pPr>
        <w:tabs>
          <w:tab w:val="left" w:pos="312"/>
        </w:tabs>
      </w:pPr>
    </w:lvl>
  </w:abstractNum>
  <w:abstractNum w:abstractNumId="6">
    <w:nsid w:val="1DD8D169"/>
    <w:multiLevelType w:val="singleLevel"/>
    <w:tmpl w:val="1DD8D169"/>
    <w:lvl w:ilvl="0" w:tentative="0">
      <w:start w:val="1"/>
      <w:numFmt w:val="decimal"/>
      <w:lvlText w:val="%1."/>
      <w:lvlJc w:val="left"/>
      <w:pPr>
        <w:tabs>
          <w:tab w:val="left" w:pos="312"/>
        </w:tabs>
      </w:pPr>
    </w:lvl>
  </w:abstractNum>
  <w:num w:numId="1">
    <w:abstractNumId w:val="1"/>
  </w:num>
  <w:num w:numId="2">
    <w:abstractNumId w:val="6"/>
  </w:num>
  <w:num w:numId="3">
    <w:abstractNumId w:val="4"/>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MDJmYmQ2OWQwNjc1ZjA0NzI1OTkyNWRlMGU1MGQifQ=="/>
  </w:docVars>
  <w:rsids>
    <w:rsidRoot w:val="71DE5A4F"/>
    <w:rsid w:val="00056CAF"/>
    <w:rsid w:val="000A12ED"/>
    <w:rsid w:val="000B59A9"/>
    <w:rsid w:val="000F2998"/>
    <w:rsid w:val="00233015"/>
    <w:rsid w:val="00246D02"/>
    <w:rsid w:val="0025186B"/>
    <w:rsid w:val="002C36C2"/>
    <w:rsid w:val="003E7050"/>
    <w:rsid w:val="003F4E27"/>
    <w:rsid w:val="00405C04"/>
    <w:rsid w:val="00423086"/>
    <w:rsid w:val="00512F68"/>
    <w:rsid w:val="0057713F"/>
    <w:rsid w:val="00620F50"/>
    <w:rsid w:val="006210B3"/>
    <w:rsid w:val="0064231B"/>
    <w:rsid w:val="00697B1C"/>
    <w:rsid w:val="00713087"/>
    <w:rsid w:val="00797942"/>
    <w:rsid w:val="008E5759"/>
    <w:rsid w:val="009738F9"/>
    <w:rsid w:val="00A035F9"/>
    <w:rsid w:val="00A74CA8"/>
    <w:rsid w:val="00B21A0C"/>
    <w:rsid w:val="00B55687"/>
    <w:rsid w:val="00C32CC6"/>
    <w:rsid w:val="00C86E48"/>
    <w:rsid w:val="00CF5B6D"/>
    <w:rsid w:val="00D27D7B"/>
    <w:rsid w:val="00D51F5A"/>
    <w:rsid w:val="00D67B6B"/>
    <w:rsid w:val="00E253E4"/>
    <w:rsid w:val="00EB6B90"/>
    <w:rsid w:val="02A02634"/>
    <w:rsid w:val="032F69F4"/>
    <w:rsid w:val="0499377A"/>
    <w:rsid w:val="05C173E2"/>
    <w:rsid w:val="060176B0"/>
    <w:rsid w:val="07276548"/>
    <w:rsid w:val="091B3A94"/>
    <w:rsid w:val="0A73362A"/>
    <w:rsid w:val="0CE555B0"/>
    <w:rsid w:val="0CEE08DC"/>
    <w:rsid w:val="0DED3BF7"/>
    <w:rsid w:val="0F184516"/>
    <w:rsid w:val="0F4C3E64"/>
    <w:rsid w:val="100C21FF"/>
    <w:rsid w:val="107A129B"/>
    <w:rsid w:val="117B33F3"/>
    <w:rsid w:val="1265463F"/>
    <w:rsid w:val="1374416E"/>
    <w:rsid w:val="142D31B4"/>
    <w:rsid w:val="15744470"/>
    <w:rsid w:val="157A0C70"/>
    <w:rsid w:val="167D04A9"/>
    <w:rsid w:val="181C56F8"/>
    <w:rsid w:val="18B923A1"/>
    <w:rsid w:val="19616ABA"/>
    <w:rsid w:val="19C13E98"/>
    <w:rsid w:val="19DE5CCF"/>
    <w:rsid w:val="19E806B1"/>
    <w:rsid w:val="1A7F3039"/>
    <w:rsid w:val="1AD82DAC"/>
    <w:rsid w:val="1B60171F"/>
    <w:rsid w:val="1B912121"/>
    <w:rsid w:val="1CED7922"/>
    <w:rsid w:val="1EE91AD6"/>
    <w:rsid w:val="1F0F1705"/>
    <w:rsid w:val="1F5155C5"/>
    <w:rsid w:val="20BE320C"/>
    <w:rsid w:val="21336BF6"/>
    <w:rsid w:val="21857B08"/>
    <w:rsid w:val="2242405A"/>
    <w:rsid w:val="22557E56"/>
    <w:rsid w:val="22AD63A6"/>
    <w:rsid w:val="23F92711"/>
    <w:rsid w:val="25042CED"/>
    <w:rsid w:val="251935EB"/>
    <w:rsid w:val="26317911"/>
    <w:rsid w:val="26962499"/>
    <w:rsid w:val="27206206"/>
    <w:rsid w:val="2B8A1EA0"/>
    <w:rsid w:val="2C076AFC"/>
    <w:rsid w:val="2CB74F17"/>
    <w:rsid w:val="30D74EFB"/>
    <w:rsid w:val="32313075"/>
    <w:rsid w:val="32FC184B"/>
    <w:rsid w:val="331A7FAD"/>
    <w:rsid w:val="33835B53"/>
    <w:rsid w:val="33CB280E"/>
    <w:rsid w:val="34DA3E98"/>
    <w:rsid w:val="351B77A7"/>
    <w:rsid w:val="352E0BC1"/>
    <w:rsid w:val="35F92F02"/>
    <w:rsid w:val="36925CE8"/>
    <w:rsid w:val="3ACE79A6"/>
    <w:rsid w:val="3BF92CA9"/>
    <w:rsid w:val="3D8027BE"/>
    <w:rsid w:val="3E4C3DFE"/>
    <w:rsid w:val="3F5125DF"/>
    <w:rsid w:val="41F84347"/>
    <w:rsid w:val="423C2277"/>
    <w:rsid w:val="425B1E68"/>
    <w:rsid w:val="42C058EA"/>
    <w:rsid w:val="44CB1E10"/>
    <w:rsid w:val="454D3C8A"/>
    <w:rsid w:val="456F4713"/>
    <w:rsid w:val="4662097D"/>
    <w:rsid w:val="46BD0AE0"/>
    <w:rsid w:val="471072A6"/>
    <w:rsid w:val="473E501E"/>
    <w:rsid w:val="483966A4"/>
    <w:rsid w:val="48517E1C"/>
    <w:rsid w:val="48670274"/>
    <w:rsid w:val="48CD5AE8"/>
    <w:rsid w:val="49867369"/>
    <w:rsid w:val="4A0212CA"/>
    <w:rsid w:val="4A4F44D5"/>
    <w:rsid w:val="4A721CC9"/>
    <w:rsid w:val="4AEB502A"/>
    <w:rsid w:val="4AFA3593"/>
    <w:rsid w:val="4BE11211"/>
    <w:rsid w:val="4C6F5832"/>
    <w:rsid w:val="4C976123"/>
    <w:rsid w:val="4D0562E9"/>
    <w:rsid w:val="4D094866"/>
    <w:rsid w:val="4D470587"/>
    <w:rsid w:val="4D7E1C33"/>
    <w:rsid w:val="4DA16EA9"/>
    <w:rsid w:val="4EBE52E7"/>
    <w:rsid w:val="4EF2336C"/>
    <w:rsid w:val="4F245C34"/>
    <w:rsid w:val="4FFD6AF4"/>
    <w:rsid w:val="4FFE08A0"/>
    <w:rsid w:val="512F7091"/>
    <w:rsid w:val="532F225C"/>
    <w:rsid w:val="54414F42"/>
    <w:rsid w:val="55625BAA"/>
    <w:rsid w:val="56FE672C"/>
    <w:rsid w:val="579161E1"/>
    <w:rsid w:val="58492617"/>
    <w:rsid w:val="59BF2CC2"/>
    <w:rsid w:val="5A303D2A"/>
    <w:rsid w:val="5B111B1A"/>
    <w:rsid w:val="5B4D241F"/>
    <w:rsid w:val="5BC50043"/>
    <w:rsid w:val="5C5F50E3"/>
    <w:rsid w:val="5D3A6F64"/>
    <w:rsid w:val="5D6B74D4"/>
    <w:rsid w:val="5D75349F"/>
    <w:rsid w:val="5E8B6B03"/>
    <w:rsid w:val="5EE96902"/>
    <w:rsid w:val="5FF7F31C"/>
    <w:rsid w:val="60343BAD"/>
    <w:rsid w:val="605532C8"/>
    <w:rsid w:val="60FD48E7"/>
    <w:rsid w:val="61C02C3E"/>
    <w:rsid w:val="6299063F"/>
    <w:rsid w:val="641C4FD4"/>
    <w:rsid w:val="643B7C00"/>
    <w:rsid w:val="64805613"/>
    <w:rsid w:val="686E79AA"/>
    <w:rsid w:val="6A7837AD"/>
    <w:rsid w:val="6D2262FD"/>
    <w:rsid w:val="6D2D2720"/>
    <w:rsid w:val="6D795A60"/>
    <w:rsid w:val="6DDE1380"/>
    <w:rsid w:val="6E063995"/>
    <w:rsid w:val="702D2809"/>
    <w:rsid w:val="70EE44BD"/>
    <w:rsid w:val="71DE5A4F"/>
    <w:rsid w:val="723C03B0"/>
    <w:rsid w:val="73E96071"/>
    <w:rsid w:val="750D242D"/>
    <w:rsid w:val="75DF6A90"/>
    <w:rsid w:val="764C614C"/>
    <w:rsid w:val="76DD06A3"/>
    <w:rsid w:val="77002491"/>
    <w:rsid w:val="78CC5AF6"/>
    <w:rsid w:val="79A67B01"/>
    <w:rsid w:val="7A08012D"/>
    <w:rsid w:val="7A582EA9"/>
    <w:rsid w:val="7B9342B1"/>
    <w:rsid w:val="7FC027DC"/>
    <w:rsid w:val="FFDFD3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widowControl w:val="0"/>
      <w:snapToGrid w:val="0"/>
      <w:spacing w:line="360" w:lineRule="atLeast"/>
      <w:jc w:val="both"/>
      <w:outlineLvl w:val="0"/>
    </w:pPr>
    <w:rPr>
      <w:rFonts w:ascii="宋体" w:hAnsi="Times New Roman" w:eastAsia="宋体" w:cs="Times New Roman"/>
      <w:kern w:val="2"/>
      <w:sz w:val="28"/>
      <w:lang w:val="en-US" w:eastAsia="zh-CN" w:bidi="ar-SA"/>
    </w:rPr>
  </w:style>
  <w:style w:type="paragraph" w:styleId="5">
    <w:name w:val="heading 2"/>
    <w:basedOn w:val="1"/>
    <w:next w:val="1"/>
    <w:link w:val="52"/>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link w:val="42"/>
    <w:qFormat/>
    <w:uiPriority w:val="99"/>
    <w:pPr>
      <w:keepNext/>
      <w:keepLines/>
      <w:spacing w:before="260" w:after="260" w:line="415" w:lineRule="auto"/>
      <w:outlineLvl w:val="2"/>
    </w:pPr>
    <w:rPr>
      <w:b/>
      <w:bCs/>
      <w:sz w:val="32"/>
      <w:szCs w:val="32"/>
    </w:rPr>
  </w:style>
  <w:style w:type="paragraph" w:styleId="7">
    <w:name w:val="heading 7"/>
    <w:basedOn w:val="1"/>
    <w:next w:val="1"/>
    <w:link w:val="47"/>
    <w:unhideWhenUsed/>
    <w:qFormat/>
    <w:uiPriority w:val="0"/>
    <w:pPr>
      <w:keepNext/>
      <w:keepLines/>
      <w:spacing w:before="240" w:after="64" w:line="320" w:lineRule="auto"/>
      <w:outlineLvl w:val="6"/>
    </w:pPr>
    <w:rPr>
      <w:b/>
      <w:bCs/>
      <w:sz w:val="24"/>
      <w:szCs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Indent"/>
    <w:basedOn w:val="1"/>
    <w:qFormat/>
    <w:uiPriority w:val="0"/>
    <w:pPr>
      <w:spacing w:line="700" w:lineRule="exact"/>
      <w:ind w:left="960"/>
    </w:pPr>
    <w:rPr>
      <w:sz w:val="44"/>
    </w:rPr>
  </w:style>
  <w:style w:type="paragraph" w:styleId="8">
    <w:name w:val="Normal Indent"/>
    <w:basedOn w:val="1"/>
    <w:qFormat/>
    <w:uiPriority w:val="99"/>
    <w:pPr>
      <w:adjustRightInd w:val="0"/>
      <w:snapToGrid w:val="0"/>
      <w:spacing w:line="360" w:lineRule="auto"/>
      <w:ind w:firstLine="420"/>
    </w:pPr>
    <w:rPr>
      <w:sz w:val="24"/>
    </w:rPr>
  </w:style>
  <w:style w:type="paragraph" w:styleId="9">
    <w:name w:val="annotation text"/>
    <w:basedOn w:val="1"/>
    <w:link w:val="43"/>
    <w:qFormat/>
    <w:uiPriority w:val="0"/>
    <w:pPr>
      <w:jc w:val="left"/>
    </w:pPr>
  </w:style>
  <w:style w:type="paragraph" w:styleId="10">
    <w:name w:val="toc 3"/>
    <w:basedOn w:val="1"/>
    <w:next w:val="1"/>
    <w:qFormat/>
    <w:uiPriority w:val="0"/>
    <w:pPr>
      <w:ind w:left="840" w:leftChars="400"/>
    </w:pPr>
  </w:style>
  <w:style w:type="paragraph" w:styleId="11">
    <w:name w:val="Plain Text"/>
    <w:basedOn w:val="1"/>
    <w:link w:val="38"/>
    <w:qFormat/>
    <w:uiPriority w:val="0"/>
    <w:rPr>
      <w:rFonts w:ascii="宋体" w:hAnsi="Courier New"/>
    </w:rPr>
  </w:style>
  <w:style w:type="paragraph" w:styleId="12">
    <w:name w:val="Date"/>
    <w:basedOn w:val="1"/>
    <w:next w:val="1"/>
    <w:link w:val="46"/>
    <w:qFormat/>
    <w:uiPriority w:val="0"/>
  </w:style>
  <w:style w:type="paragraph" w:styleId="13">
    <w:name w:val="Body Text Indent 2"/>
    <w:basedOn w:val="1"/>
    <w:link w:val="41"/>
    <w:qFormat/>
    <w:uiPriority w:val="0"/>
    <w:pPr>
      <w:snapToGrid w:val="0"/>
      <w:spacing w:line="560" w:lineRule="atLeast"/>
      <w:ind w:firstLine="540"/>
    </w:pPr>
  </w:style>
  <w:style w:type="paragraph" w:styleId="14">
    <w:name w:val="Balloon Text"/>
    <w:basedOn w:val="1"/>
    <w:link w:val="45"/>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link w:val="49"/>
    <w:qFormat/>
    <w:uiPriority w:val="0"/>
    <w:pPr>
      <w:pBdr>
        <w:bottom w:val="single" w:color="auto" w:sz="6" w:space="1"/>
      </w:pBdr>
      <w:tabs>
        <w:tab w:val="center" w:pos="4153"/>
        <w:tab w:val="right" w:pos="8306"/>
      </w:tabs>
      <w:snapToGrid w:val="0"/>
      <w:jc w:val="center"/>
    </w:pPr>
    <w:rPr>
      <w:sz w:val="18"/>
    </w:rPr>
  </w:style>
  <w:style w:type="paragraph" w:styleId="17">
    <w:name w:val="toc 1"/>
    <w:basedOn w:val="1"/>
    <w:next w:val="1"/>
    <w:qFormat/>
    <w:uiPriority w:val="39"/>
    <w:pPr>
      <w:spacing w:line="180" w:lineRule="auto"/>
      <w:jc w:val="center"/>
    </w:pPr>
    <w:rPr>
      <w:sz w:val="30"/>
    </w:rPr>
  </w:style>
  <w:style w:type="paragraph" w:styleId="18">
    <w:name w:val="toc 2"/>
    <w:basedOn w:val="1"/>
    <w:next w:val="1"/>
    <w:qFormat/>
    <w:uiPriority w:val="39"/>
    <w:pPr>
      <w:ind w:left="420" w:leftChars="200"/>
    </w:pPr>
  </w:style>
  <w:style w:type="paragraph" w:styleId="19">
    <w:name w:val="Message Header"/>
    <w:basedOn w:val="1"/>
    <w:next w:val="2"/>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20">
    <w:name w:val="Normal (Web)"/>
    <w:basedOn w:val="1"/>
    <w:qFormat/>
    <w:uiPriority w:val="0"/>
    <w:rPr>
      <w:sz w:val="24"/>
    </w:rPr>
  </w:style>
  <w:style w:type="paragraph" w:styleId="21">
    <w:name w:val="Title"/>
    <w:basedOn w:val="1"/>
    <w:qFormat/>
    <w:uiPriority w:val="0"/>
    <w:pPr>
      <w:widowControl/>
      <w:spacing w:after="240" w:afterLines="0" w:afterAutospacing="0" w:line="360" w:lineRule="auto"/>
      <w:jc w:val="center"/>
    </w:pPr>
    <w:rPr>
      <w:rFonts w:ascii="Arial" w:hAnsi="Arial" w:eastAsia="宋体"/>
      <w:b/>
      <w:smallCaps/>
      <w:kern w:val="28"/>
      <w:sz w:val="36"/>
      <w:lang w:val="en-US" w:eastAsia="en-US"/>
    </w:rPr>
  </w:style>
  <w:style w:type="paragraph" w:styleId="22">
    <w:name w:val="annotation subject"/>
    <w:basedOn w:val="9"/>
    <w:next w:val="9"/>
    <w:link w:val="44"/>
    <w:qFormat/>
    <w:uiPriority w:val="0"/>
    <w:rPr>
      <w:b/>
      <w:bCs/>
    </w:rPr>
  </w:style>
  <w:style w:type="paragraph" w:styleId="23">
    <w:name w:val="Body Text First Indent"/>
    <w:basedOn w:val="2"/>
    <w:next w:val="1"/>
    <w:qFormat/>
    <w:uiPriority w:val="0"/>
    <w:pPr>
      <w:ind w:firstLine="420"/>
    </w:pPr>
  </w:style>
  <w:style w:type="paragraph" w:styleId="24">
    <w:name w:val="Body Text First Indent 2"/>
    <w:next w:val="15"/>
    <w:qFormat/>
    <w:uiPriority w:val="0"/>
    <w:pPr>
      <w:widowControl w:val="0"/>
      <w:spacing w:after="120" w:afterLines="0" w:line="240" w:lineRule="auto"/>
      <w:ind w:left="420" w:leftChars="200" w:firstLine="420" w:firstLineChars="200"/>
      <w:jc w:val="both"/>
    </w:pPr>
    <w:rPr>
      <w:rFonts w:ascii="Calibri" w:hAnsi="Calibri" w:eastAsia="宋体" w:cs="Times New Roman"/>
      <w:kern w:val="2"/>
      <w:sz w:val="44"/>
      <w:lang w:val="en-US" w:eastAsia="zh-CN" w:bidi="ar-SA"/>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qFormat/>
    <w:uiPriority w:val="0"/>
  </w:style>
  <w:style w:type="character" w:styleId="29">
    <w:name w:val="Hyperlink"/>
    <w:qFormat/>
    <w:uiPriority w:val="99"/>
    <w:rPr>
      <w:color w:val="0000FF"/>
      <w:u w:val="single"/>
    </w:rPr>
  </w:style>
  <w:style w:type="character" w:styleId="30">
    <w:name w:val="annotation reference"/>
    <w:basedOn w:val="27"/>
    <w:qFormat/>
    <w:uiPriority w:val="0"/>
    <w:rPr>
      <w:sz w:val="21"/>
      <w:szCs w:val="21"/>
    </w:rPr>
  </w:style>
  <w:style w:type="paragraph" w:customStyle="1" w:styleId="3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2">
    <w:name w:val="BodyText"/>
    <w:basedOn w:val="1"/>
    <w:next w:val="33"/>
    <w:qFormat/>
    <w:uiPriority w:val="0"/>
    <w:pPr>
      <w:textAlignment w:val="baseline"/>
    </w:pPr>
    <w:rPr>
      <w:rFonts w:ascii="仿宋_GB2312" w:eastAsia="仿宋_GB2312"/>
      <w:sz w:val="32"/>
    </w:rPr>
  </w:style>
  <w:style w:type="paragraph" w:customStyle="1" w:styleId="33">
    <w:name w:val="BodyTextIndent"/>
    <w:basedOn w:val="1"/>
    <w:qFormat/>
    <w:uiPriority w:val="0"/>
    <w:pPr>
      <w:spacing w:line="700" w:lineRule="exact"/>
      <w:ind w:left="960"/>
      <w:textAlignment w:val="baseline"/>
    </w:pPr>
    <w:rPr>
      <w:sz w:val="44"/>
    </w:rPr>
  </w:style>
  <w:style w:type="paragraph" w:customStyle="1" w:styleId="34">
    <w:name w:val="明显引用1"/>
    <w:basedOn w:val="1"/>
    <w:next w:val="1"/>
    <w:qFormat/>
    <w:uiPriority w:val="30"/>
    <w:pPr>
      <w:widowControl/>
      <w:pBdr>
        <w:top w:val="single" w:color="404040" w:sz="4" w:space="10"/>
        <w:bottom w:val="single" w:color="404040" w:sz="4" w:space="10"/>
      </w:pBdr>
      <w:spacing w:before="360" w:after="360" w:line="259" w:lineRule="auto"/>
      <w:ind w:left="864" w:right="864"/>
      <w:jc w:val="center"/>
    </w:pPr>
    <w:rPr>
      <w:rFonts w:ascii="Calibri" w:hAnsi="Calibri"/>
      <w:i/>
      <w:iCs/>
      <w:color w:val="404040"/>
      <w:kern w:val="0"/>
      <w:sz w:val="22"/>
      <w:szCs w:val="22"/>
    </w:rPr>
  </w:style>
  <w:style w:type="paragraph" w:customStyle="1" w:styleId="35">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character" w:customStyle="1" w:styleId="36">
    <w:name w:val="标题 2 字符"/>
    <w:qFormat/>
    <w:locked/>
    <w:uiPriority w:val="99"/>
    <w:rPr>
      <w:rFonts w:ascii="Arial" w:hAnsi="Arial" w:eastAsia="黑体"/>
      <w:b/>
      <w:sz w:val="32"/>
    </w:rPr>
  </w:style>
  <w:style w:type="paragraph" w:customStyle="1" w:styleId="37">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character" w:customStyle="1" w:styleId="38">
    <w:name w:val="纯文本 Char"/>
    <w:basedOn w:val="27"/>
    <w:link w:val="11"/>
    <w:qFormat/>
    <w:uiPriority w:val="0"/>
    <w:rPr>
      <w:rFonts w:hint="eastAsia" w:ascii="宋体" w:hAnsi="Courier New" w:eastAsia="宋体" w:cs="Courier New"/>
      <w:kern w:val="2"/>
      <w:sz w:val="21"/>
      <w:szCs w:val="21"/>
    </w:rPr>
  </w:style>
  <w:style w:type="paragraph" w:customStyle="1" w:styleId="39">
    <w:name w:val="1"/>
    <w:basedOn w:val="1"/>
    <w:next w:val="11"/>
    <w:qFormat/>
    <w:uiPriority w:val="0"/>
    <w:rPr>
      <w:rFonts w:hint="eastAsia" w:ascii="宋体" w:hAnsi="Courier New"/>
      <w:sz w:val="21"/>
    </w:rPr>
  </w:style>
  <w:style w:type="character" w:customStyle="1" w:styleId="40">
    <w:name w:val="正文文本缩进 2 Char1"/>
    <w:basedOn w:val="27"/>
    <w:qFormat/>
    <w:uiPriority w:val="0"/>
    <w:rPr>
      <w:kern w:val="2"/>
      <w:sz w:val="28"/>
    </w:rPr>
  </w:style>
  <w:style w:type="character" w:customStyle="1" w:styleId="41">
    <w:name w:val="正文文本缩进 2 Char"/>
    <w:basedOn w:val="27"/>
    <w:link w:val="13"/>
    <w:qFormat/>
    <w:uiPriority w:val="0"/>
    <w:rPr>
      <w:kern w:val="2"/>
      <w:sz w:val="28"/>
    </w:rPr>
  </w:style>
  <w:style w:type="character" w:customStyle="1" w:styleId="42">
    <w:name w:val="标题 3 Char"/>
    <w:basedOn w:val="27"/>
    <w:link w:val="6"/>
    <w:qFormat/>
    <w:uiPriority w:val="0"/>
    <w:rPr>
      <w:b/>
      <w:kern w:val="2"/>
      <w:sz w:val="32"/>
    </w:rPr>
  </w:style>
  <w:style w:type="character" w:customStyle="1" w:styleId="43">
    <w:name w:val="批注文字 Char"/>
    <w:basedOn w:val="27"/>
    <w:link w:val="9"/>
    <w:qFormat/>
    <w:uiPriority w:val="0"/>
    <w:rPr>
      <w:rFonts w:ascii="Times New Roman" w:hAnsi="Times New Roman" w:cs="Times New Roman"/>
      <w:kern w:val="2"/>
      <w:sz w:val="28"/>
    </w:rPr>
  </w:style>
  <w:style w:type="character" w:customStyle="1" w:styleId="44">
    <w:name w:val="批注主题 Char"/>
    <w:basedOn w:val="43"/>
    <w:link w:val="22"/>
    <w:qFormat/>
    <w:uiPriority w:val="0"/>
    <w:rPr>
      <w:rFonts w:ascii="Times New Roman" w:hAnsi="Times New Roman" w:cs="Times New Roman"/>
      <w:b/>
      <w:bCs/>
      <w:kern w:val="2"/>
      <w:sz w:val="28"/>
    </w:rPr>
  </w:style>
  <w:style w:type="character" w:customStyle="1" w:styleId="45">
    <w:name w:val="批注框文本 Char"/>
    <w:basedOn w:val="27"/>
    <w:link w:val="14"/>
    <w:qFormat/>
    <w:uiPriority w:val="0"/>
    <w:rPr>
      <w:rFonts w:ascii="Times New Roman" w:hAnsi="Times New Roman" w:cs="Times New Roman"/>
      <w:kern w:val="2"/>
      <w:sz w:val="18"/>
      <w:szCs w:val="18"/>
    </w:rPr>
  </w:style>
  <w:style w:type="character" w:customStyle="1" w:styleId="46">
    <w:name w:val="日期 Char"/>
    <w:link w:val="12"/>
    <w:qFormat/>
    <w:uiPriority w:val="0"/>
    <w:rPr>
      <w:rFonts w:ascii="Times New Roman" w:hAnsi="Times New Roman" w:cs="Times New Roman"/>
      <w:kern w:val="2"/>
      <w:sz w:val="28"/>
    </w:rPr>
  </w:style>
  <w:style w:type="character" w:customStyle="1" w:styleId="47">
    <w:name w:val="标题 7 Char"/>
    <w:basedOn w:val="27"/>
    <w:link w:val="7"/>
    <w:semiHidden/>
    <w:qFormat/>
    <w:uiPriority w:val="0"/>
    <w:rPr>
      <w:rFonts w:ascii="Times New Roman" w:hAnsi="Times New Roman" w:cs="Times New Roman"/>
      <w:b/>
      <w:bCs/>
      <w:kern w:val="2"/>
      <w:sz w:val="24"/>
      <w:szCs w:val="24"/>
    </w:rPr>
  </w:style>
  <w:style w:type="character" w:customStyle="1" w:styleId="48">
    <w:name w:val="标题 7 字符1"/>
    <w:qFormat/>
    <w:uiPriority w:val="0"/>
    <w:rPr>
      <w:rFonts w:ascii="Arial" w:hAnsi="Arial" w:eastAsia="黑体" w:cs="Times New Roman"/>
      <w:b/>
      <w:kern w:val="2"/>
      <w:sz w:val="24"/>
      <w:lang w:val="en-US" w:eastAsia="zh-CN" w:bidi="ar-SA"/>
    </w:rPr>
  </w:style>
  <w:style w:type="character" w:customStyle="1" w:styleId="49">
    <w:name w:val="页眉 Char"/>
    <w:link w:val="16"/>
    <w:qFormat/>
    <w:uiPriority w:val="0"/>
    <w:rPr>
      <w:rFonts w:ascii="Times New Roman" w:hAnsi="Times New Roman" w:cs="Times New Roman"/>
      <w:kern w:val="2"/>
      <w:sz w:val="18"/>
    </w:rPr>
  </w:style>
  <w:style w:type="paragraph" w:customStyle="1" w:styleId="50">
    <w:name w:val="正文首行缩进两字符"/>
    <w:basedOn w:val="1"/>
    <w:qFormat/>
    <w:uiPriority w:val="0"/>
    <w:pPr>
      <w:spacing w:line="360" w:lineRule="auto"/>
      <w:ind w:firstLine="200" w:firstLineChars="200"/>
    </w:pPr>
  </w:style>
  <w:style w:type="paragraph" w:customStyle="1" w:styleId="51">
    <w:name w:val="段落正文"/>
    <w:basedOn w:val="1"/>
    <w:qFormat/>
    <w:uiPriority w:val="0"/>
    <w:pPr>
      <w:spacing w:beforeLines="50" w:line="360" w:lineRule="auto"/>
      <w:ind w:firstLine="200" w:firstLineChars="200"/>
    </w:pPr>
    <w:rPr>
      <w:spacing w:val="2"/>
      <w:sz w:val="24"/>
    </w:rPr>
  </w:style>
  <w:style w:type="character" w:customStyle="1" w:styleId="52">
    <w:name w:val="标题 2 Char"/>
    <w:basedOn w:val="27"/>
    <w:link w:val="5"/>
    <w:qFormat/>
    <w:uiPriority w:val="0"/>
    <w:rPr>
      <w:rFonts w:hint="default" w:ascii="Arial" w:hAnsi="Arial" w:eastAsia="黑体" w:cs="Arial"/>
      <w:b/>
      <w:kern w:val="2"/>
      <w:sz w:val="32"/>
    </w:rPr>
  </w:style>
  <w:style w:type="paragraph" w:customStyle="1" w:styleId="53">
    <w:name w:val="保证金信息卡行距及首行不空格"/>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54">
    <w:name w:val="授权书和信息卡行距"/>
    <w:semiHidden/>
    <w:qFormat/>
    <w:uiPriority w:val="0"/>
    <w:pPr>
      <w:spacing w:line="560" w:lineRule="exact"/>
      <w:ind w:left="200" w:hanging="200" w:hangingChars="200"/>
    </w:pPr>
    <w:rPr>
      <w:rFonts w:ascii="Times New Roman" w:hAnsi="Times New Roman" w:eastAsia="仿宋_GB2312" w:cs="Times New Roman"/>
      <w:kern w:val="2"/>
      <w:sz w:val="24"/>
      <w:szCs w:val="24"/>
      <w:lang w:val="en-US" w:eastAsia="zh-CN" w:bidi="ar-SA"/>
    </w:rPr>
  </w:style>
  <w:style w:type="paragraph" w:customStyle="1" w:styleId="55">
    <w:name w:val="图例"/>
    <w:basedOn w:val="1"/>
    <w:qFormat/>
    <w:uiPriority w:val="0"/>
    <w:pPr>
      <w:spacing w:before="120" w:beforeLines="0" w:beforeAutospacing="0" w:after="120" w:afterLines="0" w:afterAutospacing="0" w:line="360" w:lineRule="auto"/>
      <w:jc w:val="center"/>
    </w:pPr>
    <w:rPr>
      <w:rFonts w:eastAsia="仿宋_GB2312"/>
      <w:b/>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鸿兴</Manager>
  <Company>鸿兴</Company>
  <Pages>32</Pages>
  <Words>12861</Words>
  <Characters>13433</Characters>
  <Lines>99</Lines>
  <Paragraphs>28</Paragraphs>
  <TotalTime>21</TotalTime>
  <ScaleCrop>false</ScaleCrop>
  <LinksUpToDate>false</LinksUpToDate>
  <CharactersWithSpaces>14476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2023-06-14T07:19:00Z</dcterms:created>
  <dc:creator>鸿兴</dc:creator>
  <cp:lastModifiedBy>Aimee</cp:lastModifiedBy>
  <cp:lastPrinted>2024-05-27T08:16:00Z</cp:lastPrinted>
  <dcterms:modified xsi:type="dcterms:W3CDTF">2025-04-23T09:58:00Z</dcterms:modified>
  <dc:title>重庆市政府采购云平台网上竞采文件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18AD7B9FA9B8440391DABDCD5C7AC79E_13</vt:lpwstr>
  </property>
  <property fmtid="{D5CDD505-2E9C-101B-9397-08002B2CF9AE}" pid="4" name="KSOTemplateDocerSaveRecord">
    <vt:lpwstr>eyJoZGlkIjoiMTg1Nzk4NTM4ZjQ5Y2YyYTg4MDhhNDQxZGRiMjliMTIiLCJ1c2VySWQiOiIxMTUzNjU5NTE1In0=</vt:lpwstr>
  </property>
</Properties>
</file>