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</w:p>
    <w:p>
      <w:pPr>
        <w:pStyle w:val="16"/>
        <w:spacing w:line="50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营业执照复印件（盖鲜章）</w:t>
      </w:r>
    </w:p>
    <w:p>
      <w:pPr>
        <w:pStyle w:val="16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pStyle w:val="16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pStyle w:val="16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pStyle w:val="16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pStyle w:val="16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pStyle w:val="16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pStyle w:val="16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pStyle w:val="16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pStyle w:val="16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pStyle w:val="16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pStyle w:val="16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pStyle w:val="16"/>
        <w:spacing w:line="500" w:lineRule="exact"/>
        <w:jc w:val="left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</w:p>
    <w:p>
      <w:pPr>
        <w:pStyle w:val="16"/>
        <w:spacing w:line="500" w:lineRule="exact"/>
        <w:jc w:val="left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</w:p>
    <w:p>
      <w:pPr>
        <w:pStyle w:val="16"/>
        <w:spacing w:line="500" w:lineRule="exact"/>
        <w:jc w:val="left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</w:p>
    <w:p>
      <w:pPr>
        <w:pStyle w:val="16"/>
        <w:spacing w:line="500" w:lineRule="exact"/>
        <w:jc w:val="left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</w:p>
    <w:p>
      <w:pPr>
        <w:pStyle w:val="16"/>
        <w:spacing w:line="500" w:lineRule="exact"/>
        <w:jc w:val="left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</w:p>
    <w:p>
      <w:pPr>
        <w:pStyle w:val="16"/>
        <w:spacing w:line="500" w:lineRule="exact"/>
        <w:jc w:val="left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</w:p>
    <w:p>
      <w:pPr>
        <w:pStyle w:val="16"/>
        <w:spacing w:line="500" w:lineRule="exact"/>
        <w:jc w:val="left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</w:p>
    <w:p>
      <w:pPr>
        <w:pStyle w:val="16"/>
        <w:spacing w:line="500" w:lineRule="exact"/>
        <w:jc w:val="left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</w:p>
    <w:tbl>
      <w:tblPr>
        <w:tblStyle w:val="11"/>
        <w:tblpPr w:leftFromText="180" w:rightFromText="180" w:vertAnchor="text" w:horzAnchor="page" w:tblpX="1193" w:tblpY="1245"/>
        <w:tblOverlap w:val="never"/>
        <w:tblW w:w="1486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5"/>
        <w:gridCol w:w="2538"/>
        <w:gridCol w:w="1140"/>
        <w:gridCol w:w="1260"/>
        <w:gridCol w:w="1529"/>
        <w:gridCol w:w="1912"/>
        <w:gridCol w:w="4266"/>
        <w:gridCol w:w="14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722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调研信息</w:t>
            </w:r>
          </w:p>
        </w:tc>
        <w:tc>
          <w:tcPr>
            <w:tcW w:w="764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报价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25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24"/>
                <w:szCs w:val="24"/>
              </w:rPr>
              <w:t>名称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时间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预算/万元</w:t>
            </w:r>
          </w:p>
        </w:tc>
        <w:tc>
          <w:tcPr>
            <w:tcW w:w="15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技术要求</w:t>
            </w:r>
          </w:p>
        </w:tc>
        <w:tc>
          <w:tcPr>
            <w:tcW w:w="764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报价/元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6" w:hRule="atLeast"/>
        </w:trPr>
        <w:tc>
          <w:tcPr>
            <w:tcW w:w="7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25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bookmarkStart w:id="0" w:name="_GoBack"/>
            <w:r>
              <w:rPr>
                <w:rFonts w:hint="eastAsia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岗位管理体系优化服务</w:t>
            </w:r>
            <w:bookmarkEnd w:id="0"/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4个月</w:t>
            </w:r>
          </w:p>
        </w:tc>
        <w:tc>
          <w:tcPr>
            <w:tcW w:w="1260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45</w:t>
            </w:r>
          </w:p>
        </w:tc>
        <w:tc>
          <w:tcPr>
            <w:tcW w:w="1529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lang w:val="en-US" w:eastAsia="zh-CN"/>
              </w:rPr>
              <w:t>见下方技术要求</w:t>
            </w:r>
          </w:p>
        </w:tc>
        <w:tc>
          <w:tcPr>
            <w:tcW w:w="764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FF0000"/>
                <w:sz w:val="18"/>
                <w:szCs w:val="18"/>
              </w:rPr>
              <w:t>　</w:t>
            </w:r>
            <w:r>
              <w:rPr>
                <w:rFonts w:hint="eastAsia" w:ascii="Times New Roman" w:hAnsi="Times New Roman" w:eastAsia="方正仿宋_GBK" w:cs="Times New Roman"/>
                <w:color w:val="FF0000"/>
                <w:sz w:val="18"/>
                <w:szCs w:val="18"/>
                <w:lang w:val="en-US" w:eastAsia="zh-CN"/>
              </w:rPr>
              <w:t>填写总价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569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2"/>
                <w:sz w:val="22"/>
                <w:szCs w:val="22"/>
                <w:lang w:val="en-US" w:eastAsia="zh-CN" w:bidi="ar"/>
              </w:rPr>
              <w:t>合计金额：</w:t>
            </w:r>
          </w:p>
        </w:tc>
        <w:tc>
          <w:tcPr>
            <w:tcW w:w="917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人民币（大写）：                                       小写：¥:       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4867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说明：1.本次报价有效期限为30天；2.报价包括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服务费、人工费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、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差旅费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、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管理费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、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保险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、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利润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 xml:space="preserve">、培训、保修等所有其他有关各项的含税费用；其他: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7" w:hRule="atLeast"/>
        </w:trPr>
        <w:tc>
          <w:tcPr>
            <w:tcW w:w="443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报价单位（盖章）：</w:t>
            </w:r>
          </w:p>
        </w:tc>
        <w:tc>
          <w:tcPr>
            <w:tcW w:w="470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联系人：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联系电话：</w:t>
            </w:r>
          </w:p>
        </w:tc>
        <w:tc>
          <w:tcPr>
            <w:tcW w:w="14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</w:tbl>
    <w:p>
      <w:pPr>
        <w:pStyle w:val="16"/>
        <w:spacing w:line="500" w:lineRule="exact"/>
        <w:jc w:val="center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重庆市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巴南区人民医院</w:t>
      </w:r>
    </w:p>
    <w:p>
      <w:pPr>
        <w:pStyle w:val="16"/>
        <w:spacing w:line="500" w:lineRule="exact"/>
        <w:jc w:val="center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市场价格调研报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价表</w:t>
      </w:r>
    </w:p>
    <w:p>
      <w:pPr>
        <w:pStyle w:val="16"/>
        <w:spacing w:line="500" w:lineRule="exact"/>
        <w:ind w:firstLine="9397" w:firstLineChars="3900"/>
        <w:jc w:val="both"/>
        <w:rPr>
          <w:rFonts w:hint="default" w:ascii="Times New Roman" w:hAnsi="Times New Roman" w:eastAsia="宋体" w:cs="Times New Roman"/>
          <w:b/>
          <w:i w:val="0"/>
          <w:color w:val="000000"/>
          <w:sz w:val="24"/>
          <w:szCs w:val="24"/>
          <w:u w:val="none"/>
          <w:lang w:val="en-US" w:eastAsia="zh-CN"/>
        </w:rPr>
        <w:sectPr>
          <w:pgSz w:w="16838" w:h="11906" w:orient="landscape"/>
          <w:pgMar w:top="850" w:right="1440" w:bottom="850" w:left="1134" w:header="851" w:footer="992" w:gutter="0"/>
          <w:cols w:space="425" w:num="1"/>
          <w:docGrid w:type="lines" w:linePitch="312" w:charSpace="0"/>
        </w:sectPr>
      </w:pPr>
      <w:r>
        <w:rPr>
          <w:rFonts w:hint="default" w:ascii="Times New Roman" w:hAnsi="Times New Roman" w:eastAsia="宋体" w:cs="Times New Roman"/>
          <w:b/>
          <w:i w:val="0"/>
          <w:color w:val="000000"/>
          <w:sz w:val="24"/>
          <w:szCs w:val="24"/>
          <w:u w:val="none"/>
          <w:lang w:val="en-US" w:eastAsia="zh-CN"/>
        </w:rPr>
        <w:t xml:space="preserve">报价日期： </w:t>
      </w:r>
      <w:r>
        <w:rPr>
          <w:rFonts w:hint="eastAsia" w:ascii="Times New Roman" w:hAnsi="Times New Roman" w:eastAsia="宋体" w:cs="Times New Roman"/>
          <w:b/>
          <w:i w:val="0"/>
          <w:color w:val="000000"/>
          <w:sz w:val="24"/>
          <w:szCs w:val="24"/>
          <w:u w:val="none"/>
          <w:lang w:val="en-US" w:eastAsia="zh-CN"/>
        </w:rPr>
        <w:t xml:space="preserve">     </w:t>
      </w:r>
      <w:r>
        <w:rPr>
          <w:rFonts w:hint="default" w:ascii="Times New Roman" w:hAnsi="Times New Roman" w:eastAsia="宋体" w:cs="Times New Roman"/>
          <w:b/>
          <w:i w:val="0"/>
          <w:color w:val="000000"/>
          <w:sz w:val="24"/>
          <w:szCs w:val="24"/>
          <w:u w:val="none"/>
          <w:lang w:val="en-US" w:eastAsia="zh-CN"/>
        </w:rPr>
        <w:t xml:space="preserve">          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40" w:lineRule="exact"/>
        <w:ind w:left="0" w:right="0" w:firstLine="3960" w:firstLineChars="900"/>
        <w:jc w:val="both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技术要求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outlineLvl w:val="1"/>
        <w:rPr>
          <w:rFonts w:hint="default" w:ascii="Times New Roman" w:hAnsi="Times New Roman" w:eastAsia="方正仿宋_GBK" w:cs="Times New Roman"/>
          <w:sz w:val="24"/>
          <w:szCs w:val="24"/>
        </w:rPr>
      </w:pPr>
      <w:r>
        <w:rPr>
          <w:rFonts w:hint="default" w:ascii="Times New Roman" w:hAnsi="Times New Roman" w:eastAsia="方正仿宋_GBK" w:cs="Times New Roman"/>
          <w:sz w:val="24"/>
          <w:szCs w:val="24"/>
        </w:rPr>
        <w:t>（一）调研诊断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outlineLvl w:val="2"/>
        <w:rPr>
          <w:rFonts w:hint="default" w:ascii="Times New Roman" w:hAnsi="Times New Roman" w:eastAsia="方正仿宋_GBK" w:cs="Times New Roman"/>
          <w:sz w:val="24"/>
          <w:szCs w:val="24"/>
        </w:rPr>
      </w:pPr>
      <w:r>
        <w:rPr>
          <w:rFonts w:hint="default" w:ascii="Times New Roman" w:hAnsi="Times New Roman" w:eastAsia="方正仿宋_GBK" w:cs="Times New Roman"/>
          <w:sz w:val="24"/>
          <w:szCs w:val="24"/>
        </w:rPr>
        <w:t>1.制定工作计划、准备资料清单；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default" w:ascii="Times New Roman" w:hAnsi="Times New Roman" w:eastAsia="方正仿宋_GBK" w:cs="Times New Roman"/>
          <w:sz w:val="24"/>
          <w:szCs w:val="24"/>
        </w:rPr>
      </w:pPr>
      <w:r>
        <w:rPr>
          <w:rFonts w:hint="default" w:ascii="Times New Roman" w:hAnsi="Times New Roman" w:eastAsia="方正仿宋_GBK" w:cs="Times New Roman"/>
          <w:sz w:val="24"/>
          <w:szCs w:val="24"/>
        </w:rPr>
        <w:t>2.筹备项目启动会，与医院项目组协商启动会形式、流程、讲师、内容等事宜；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default" w:ascii="Times New Roman" w:hAnsi="Times New Roman" w:eastAsia="方正仿宋_GBK" w:cs="Times New Roman"/>
          <w:sz w:val="24"/>
          <w:szCs w:val="24"/>
        </w:rPr>
      </w:pPr>
      <w:r>
        <w:rPr>
          <w:rFonts w:hint="default" w:ascii="Times New Roman" w:hAnsi="Times New Roman" w:eastAsia="方正仿宋_GBK" w:cs="Times New Roman"/>
          <w:sz w:val="24"/>
          <w:szCs w:val="24"/>
        </w:rPr>
        <w:t>3.研读分析人力资源相关资料；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default" w:ascii="Times New Roman" w:hAnsi="Times New Roman" w:eastAsia="方正仿宋_GBK" w:cs="Times New Roman"/>
          <w:sz w:val="24"/>
          <w:szCs w:val="24"/>
        </w:rPr>
      </w:pPr>
      <w:r>
        <w:rPr>
          <w:rFonts w:hint="default" w:ascii="Times New Roman" w:hAnsi="Times New Roman" w:eastAsia="方正仿宋_GBK" w:cs="Times New Roman"/>
          <w:sz w:val="24"/>
          <w:szCs w:val="24"/>
        </w:rPr>
        <w:t>4.沟通调研医院中高层及相关科室负责人；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default" w:ascii="Times New Roman" w:hAnsi="Times New Roman" w:eastAsia="方正仿宋_GBK" w:cs="Times New Roman"/>
          <w:sz w:val="24"/>
          <w:szCs w:val="24"/>
        </w:rPr>
      </w:pPr>
      <w:r>
        <w:rPr>
          <w:rFonts w:hint="default" w:ascii="Times New Roman" w:hAnsi="Times New Roman" w:eastAsia="方正仿宋_GBK" w:cs="Times New Roman"/>
          <w:sz w:val="24"/>
          <w:szCs w:val="24"/>
        </w:rPr>
        <w:t>5.诊断问卷设计、发放、回收和数据分析；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default" w:ascii="Times New Roman" w:hAnsi="Times New Roman" w:eastAsia="方正仿宋_GBK" w:cs="Times New Roman"/>
          <w:sz w:val="24"/>
          <w:szCs w:val="24"/>
        </w:rPr>
      </w:pPr>
      <w:r>
        <w:rPr>
          <w:rFonts w:hint="default" w:ascii="Times New Roman" w:hAnsi="Times New Roman" w:eastAsia="方正仿宋_GBK" w:cs="Times New Roman"/>
          <w:sz w:val="24"/>
          <w:szCs w:val="24"/>
        </w:rPr>
        <w:t>6.确定各模块的优化框架设计。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outlineLvl w:val="1"/>
        <w:rPr>
          <w:rFonts w:hint="default" w:ascii="Times New Roman" w:hAnsi="Times New Roman" w:eastAsia="方正仿宋_GBK" w:cs="Times New Roman"/>
          <w:sz w:val="24"/>
          <w:szCs w:val="24"/>
        </w:rPr>
      </w:pPr>
      <w:r>
        <w:rPr>
          <w:rFonts w:hint="default" w:ascii="Times New Roman" w:hAnsi="Times New Roman" w:eastAsia="方正仿宋_GBK" w:cs="Times New Roman"/>
          <w:sz w:val="24"/>
          <w:szCs w:val="24"/>
        </w:rPr>
        <w:t>（二）定编定岗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default" w:ascii="Times New Roman" w:hAnsi="Times New Roman" w:eastAsia="方正仿宋_GBK" w:cs="Times New Roman"/>
          <w:sz w:val="24"/>
          <w:szCs w:val="24"/>
        </w:rPr>
      </w:pPr>
      <w:r>
        <w:rPr>
          <w:rFonts w:hint="default" w:ascii="Times New Roman" w:hAnsi="Times New Roman" w:eastAsia="方正仿宋_GBK" w:cs="Times New Roman"/>
          <w:sz w:val="24"/>
          <w:szCs w:val="24"/>
        </w:rPr>
        <w:t>1.在查阅资料的基础上，分析测算数据，研讨定编指标并搭建模型；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default" w:ascii="Times New Roman" w:hAnsi="Times New Roman" w:eastAsia="方正仿宋_GBK" w:cs="Times New Roman"/>
          <w:sz w:val="24"/>
          <w:szCs w:val="24"/>
        </w:rPr>
      </w:pPr>
      <w:r>
        <w:rPr>
          <w:rFonts w:hint="default" w:ascii="Times New Roman" w:hAnsi="Times New Roman" w:eastAsia="方正仿宋_GBK" w:cs="Times New Roman"/>
          <w:sz w:val="24"/>
          <w:szCs w:val="24"/>
        </w:rPr>
        <w:t>2.拟定定编方案，撰写定编报告，讨论和确认医院总编制、临床医技科室编制、行政职能科室编制；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default" w:ascii="Times New Roman" w:hAnsi="Times New Roman" w:eastAsia="方正仿宋_GBK" w:cs="Times New Roman"/>
          <w:sz w:val="24"/>
          <w:szCs w:val="24"/>
        </w:rPr>
      </w:pPr>
      <w:r>
        <w:rPr>
          <w:rFonts w:hint="default" w:ascii="Times New Roman" w:hAnsi="Times New Roman" w:eastAsia="方正仿宋_GBK" w:cs="Times New Roman"/>
          <w:sz w:val="24"/>
          <w:szCs w:val="24"/>
        </w:rPr>
        <w:t>3.结合医院战略发展及科室的功能定位，分析梳理科室职责，与各部室研讨确定岗位设置，拟定定岗方案；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default" w:ascii="Times New Roman" w:hAnsi="Times New Roman" w:eastAsia="方正仿宋_GBK" w:cs="Times New Roman"/>
          <w:sz w:val="24"/>
          <w:szCs w:val="24"/>
        </w:rPr>
      </w:pPr>
      <w:r>
        <w:rPr>
          <w:rFonts w:hint="default" w:ascii="Times New Roman" w:hAnsi="Times New Roman" w:eastAsia="方正仿宋_GBK" w:cs="Times New Roman"/>
          <w:sz w:val="24"/>
          <w:szCs w:val="24"/>
        </w:rPr>
        <w:t>4.培训辅导各科室《岗位说明书》的撰写和修改，标准化输出岗位说明书。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outlineLvl w:val="1"/>
        <w:rPr>
          <w:rFonts w:hint="default" w:ascii="Times New Roman" w:hAnsi="Times New Roman" w:eastAsia="方正仿宋_GBK" w:cs="Times New Roman"/>
          <w:sz w:val="24"/>
          <w:szCs w:val="24"/>
        </w:rPr>
      </w:pPr>
      <w:r>
        <w:rPr>
          <w:rFonts w:hint="default" w:ascii="Times New Roman" w:hAnsi="Times New Roman" w:eastAsia="方正仿宋_GBK" w:cs="Times New Roman"/>
          <w:sz w:val="24"/>
          <w:szCs w:val="24"/>
        </w:rPr>
        <w:t>（三）岗位价值评价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default" w:ascii="Times New Roman" w:hAnsi="Times New Roman" w:eastAsia="方正仿宋_GBK" w:cs="Times New Roman"/>
          <w:sz w:val="24"/>
          <w:szCs w:val="24"/>
        </w:rPr>
      </w:pPr>
      <w:r>
        <w:rPr>
          <w:rFonts w:hint="default" w:ascii="Times New Roman" w:hAnsi="Times New Roman" w:eastAsia="方正仿宋_GBK" w:cs="Times New Roman"/>
          <w:sz w:val="24"/>
          <w:szCs w:val="24"/>
        </w:rPr>
        <w:t>1.研讨确认参评岗位，编制《岗位价值评价因素表》；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default" w:ascii="Times New Roman" w:hAnsi="Times New Roman" w:eastAsia="方正仿宋_GBK" w:cs="Times New Roman"/>
          <w:sz w:val="24"/>
          <w:szCs w:val="24"/>
        </w:rPr>
      </w:pPr>
      <w:r>
        <w:rPr>
          <w:rFonts w:hint="default" w:ascii="Times New Roman" w:hAnsi="Times New Roman" w:eastAsia="方正仿宋_GBK" w:cs="Times New Roman"/>
          <w:sz w:val="24"/>
          <w:szCs w:val="24"/>
        </w:rPr>
        <w:t>2.分析因素选择结果并编制《因素定义及分级表》；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default" w:ascii="Times New Roman" w:hAnsi="Times New Roman" w:eastAsia="方正仿宋_GBK" w:cs="Times New Roman"/>
          <w:sz w:val="24"/>
          <w:szCs w:val="24"/>
        </w:rPr>
      </w:pPr>
      <w:r>
        <w:rPr>
          <w:rFonts w:hint="default" w:ascii="Times New Roman" w:hAnsi="Times New Roman" w:eastAsia="方正仿宋_GBK" w:cs="Times New Roman"/>
          <w:sz w:val="24"/>
          <w:szCs w:val="24"/>
        </w:rPr>
        <w:t>3.选择、确认评委；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default" w:ascii="Times New Roman" w:hAnsi="Times New Roman" w:eastAsia="方正仿宋_GBK" w:cs="Times New Roman"/>
          <w:sz w:val="24"/>
          <w:szCs w:val="24"/>
        </w:rPr>
      </w:pPr>
      <w:r>
        <w:rPr>
          <w:rFonts w:hint="default" w:ascii="Times New Roman" w:hAnsi="Times New Roman" w:eastAsia="方正仿宋_GBK" w:cs="Times New Roman"/>
          <w:sz w:val="24"/>
          <w:szCs w:val="24"/>
        </w:rPr>
        <w:t>4.完成岗评系统配置；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default" w:ascii="Times New Roman" w:hAnsi="Times New Roman" w:eastAsia="方正仿宋_GBK" w:cs="Times New Roman"/>
          <w:sz w:val="24"/>
          <w:szCs w:val="24"/>
        </w:rPr>
      </w:pPr>
      <w:r>
        <w:rPr>
          <w:rFonts w:hint="default" w:ascii="Times New Roman" w:hAnsi="Times New Roman" w:eastAsia="方正仿宋_GBK" w:cs="Times New Roman"/>
          <w:sz w:val="24"/>
          <w:szCs w:val="24"/>
        </w:rPr>
        <w:t>5.开展评委培训并组织正式评价；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00" w:lineRule="exact"/>
        <w:ind w:firstLine="48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kern w:val="2"/>
          <w:sz w:val="24"/>
          <w:szCs w:val="24"/>
          <w:u w:val="none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sz w:val="24"/>
          <w:szCs w:val="24"/>
        </w:rPr>
        <w:t>6.在分析及处理数据的基础上，编制医院岗位价值评价结果报告。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outlineLvl w:val="2"/>
        <w:rPr>
          <w:rFonts w:hint="default" w:ascii="Times New Roman" w:hAnsi="Times New Roman" w:eastAsia="方正仿宋_GBK" w:cs="Times New Roman"/>
          <w:sz w:val="24"/>
          <w:szCs w:val="24"/>
        </w:rPr>
      </w:pPr>
      <w:r>
        <w:rPr>
          <w:rFonts w:hint="default" w:ascii="Times New Roman" w:hAnsi="Times New Roman" w:eastAsia="方正仿宋_GBK" w:cs="Times New Roman"/>
          <w:sz w:val="24"/>
          <w:szCs w:val="24"/>
        </w:rPr>
        <w:t>（四）交付成果</w:t>
      </w:r>
      <w:r>
        <w:rPr>
          <w:rFonts w:hint="eastAsia" w:ascii="Times New Roman" w:hAnsi="Times New Roman" w:eastAsia="方正仿宋_GBK" w:cs="Times New Roman"/>
          <w:sz w:val="24"/>
          <w:szCs w:val="24"/>
          <w:lang w:val="en-US" w:eastAsia="zh-CN"/>
        </w:rPr>
        <w:t>及内容</w:t>
      </w:r>
      <w:r>
        <w:rPr>
          <w:rFonts w:hint="default" w:ascii="Times New Roman" w:hAnsi="Times New Roman" w:eastAsia="方正仿宋_GBK" w:cs="Times New Roman"/>
          <w:sz w:val="24"/>
          <w:szCs w:val="24"/>
        </w:rPr>
        <w:t>：</w:t>
      </w:r>
    </w:p>
    <w:tbl>
      <w:tblPr>
        <w:tblStyle w:val="11"/>
        <w:tblW w:w="94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576"/>
        <w:gridCol w:w="1619"/>
        <w:gridCol w:w="54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807" w:type="dxa"/>
            <w:shd w:val="clear" w:color="auto" w:fill="F1F1F1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576" w:type="dxa"/>
            <w:shd w:val="clear" w:color="auto" w:fill="F1F1F1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kern w:val="0"/>
                <w:sz w:val="24"/>
                <w:szCs w:val="24"/>
              </w:rPr>
              <w:t>项目模块</w:t>
            </w:r>
          </w:p>
        </w:tc>
        <w:tc>
          <w:tcPr>
            <w:tcW w:w="1619" w:type="dxa"/>
            <w:shd w:val="clear" w:color="auto" w:fill="F1F1F1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kern w:val="0"/>
                <w:sz w:val="24"/>
                <w:szCs w:val="24"/>
              </w:rPr>
              <w:t>项目阶段</w:t>
            </w:r>
          </w:p>
        </w:tc>
        <w:tc>
          <w:tcPr>
            <w:tcW w:w="5484" w:type="dxa"/>
            <w:shd w:val="clear" w:color="auto" w:fill="F1F1F1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kern w:val="0"/>
                <w:sz w:val="24"/>
                <w:szCs w:val="24"/>
              </w:rPr>
              <w:t>预期成果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2" w:hRule="atLeast"/>
        </w:trPr>
        <w:tc>
          <w:tcPr>
            <w:tcW w:w="8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57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  <w:t>岗位管理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  <w:t>咨询服务</w:t>
            </w:r>
          </w:p>
        </w:tc>
        <w:tc>
          <w:tcPr>
            <w:tcW w:w="16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  <w:t>定编</w:t>
            </w:r>
          </w:p>
        </w:tc>
        <w:tc>
          <w:tcPr>
            <w:tcW w:w="54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Chars="0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  <w:t>《医院总编制定编报告》（含医院总编制、医生总编制、护理总编制测算）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Chars="0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  <w:t>《临床医技科室定编报告》（含临床/医技各科室医生、护理、技师、药学等人员编制测算）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Chars="0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  <w:t>《行政职能科室定编报告》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157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</w:tc>
        <w:tc>
          <w:tcPr>
            <w:tcW w:w="16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  <w:t>定岗</w:t>
            </w:r>
          </w:p>
        </w:tc>
        <w:tc>
          <w:tcPr>
            <w:tcW w:w="54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Chars="0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  <w:t>《医院各科室工作职责》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Chars="0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  <w:t>《医院各科室岗位优化设置清单》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Chars="0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  <w:t>《医院各科室岗位说明书》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Chars="0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  <w:t>《医院各科室工作职责及岗位说明书汇编》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157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</w:tc>
        <w:tc>
          <w:tcPr>
            <w:tcW w:w="16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  <w:t>定价</w:t>
            </w:r>
          </w:p>
        </w:tc>
        <w:tc>
          <w:tcPr>
            <w:tcW w:w="54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Chars="0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  <w:t>《全院岗位价值系数地图》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Chars="0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  <w:t>《全院岗位价值分析报告》（含应用建议）</w:t>
            </w:r>
          </w:p>
        </w:tc>
      </w:tr>
    </w:tbl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kern w:val="2"/>
          <w:sz w:val="24"/>
          <w:szCs w:val="24"/>
          <w:u w:val="none"/>
          <w:lang w:val="en-US" w:eastAsia="zh-CN" w:bidi="ar-SA"/>
        </w:rPr>
      </w:pP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kern w:val="2"/>
          <w:sz w:val="24"/>
          <w:szCs w:val="24"/>
          <w:u w:val="none"/>
          <w:lang w:val="en-US" w:eastAsia="zh-CN" w:bidi="ar-SA"/>
        </w:rPr>
      </w:pP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kern w:val="2"/>
          <w:sz w:val="24"/>
          <w:szCs w:val="24"/>
          <w:u w:val="none"/>
          <w:lang w:val="en-US" w:eastAsia="zh-CN" w:bidi="ar-SA"/>
        </w:rPr>
      </w:pP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kern w:val="2"/>
          <w:sz w:val="24"/>
          <w:szCs w:val="24"/>
          <w:u w:val="none"/>
          <w:lang w:val="en-US" w:eastAsia="zh-CN" w:bidi="ar-SA"/>
        </w:rPr>
      </w:pP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kern w:val="2"/>
          <w:sz w:val="24"/>
          <w:szCs w:val="24"/>
          <w:u w:val="none"/>
          <w:lang w:val="en-US" w:eastAsia="zh-CN" w:bidi="ar-SA"/>
        </w:rPr>
      </w:pP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kern w:val="2"/>
          <w:sz w:val="24"/>
          <w:szCs w:val="24"/>
          <w:u w:val="none"/>
          <w:lang w:val="en-US" w:eastAsia="zh-CN" w:bidi="ar-SA"/>
        </w:rPr>
      </w:pP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kern w:val="2"/>
          <w:sz w:val="24"/>
          <w:szCs w:val="24"/>
          <w:u w:val="none"/>
          <w:lang w:val="en-US" w:eastAsia="zh-CN" w:bidi="ar-SA"/>
        </w:rPr>
      </w:pP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kern w:val="2"/>
          <w:sz w:val="24"/>
          <w:szCs w:val="24"/>
          <w:u w:val="none"/>
          <w:lang w:val="en-US" w:eastAsia="zh-CN" w:bidi="ar-SA"/>
        </w:rPr>
      </w:pP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kern w:val="2"/>
          <w:sz w:val="24"/>
          <w:szCs w:val="24"/>
          <w:u w:val="none"/>
          <w:lang w:val="en-US" w:eastAsia="zh-CN" w:bidi="ar-SA"/>
        </w:rPr>
      </w:pP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kern w:val="2"/>
          <w:sz w:val="24"/>
          <w:szCs w:val="24"/>
          <w:u w:val="none"/>
          <w:lang w:val="en-US" w:eastAsia="zh-CN" w:bidi="ar-SA"/>
        </w:rPr>
      </w:pP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kern w:val="2"/>
          <w:sz w:val="24"/>
          <w:szCs w:val="24"/>
          <w:u w:val="none"/>
          <w:lang w:val="en-US" w:eastAsia="zh-CN" w:bidi="ar-SA"/>
        </w:rPr>
      </w:pP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kern w:val="2"/>
          <w:sz w:val="24"/>
          <w:szCs w:val="24"/>
          <w:u w:val="none"/>
          <w:lang w:val="en-US" w:eastAsia="zh-CN" w:bidi="ar-SA"/>
        </w:rPr>
      </w:pP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kern w:val="2"/>
          <w:sz w:val="24"/>
          <w:szCs w:val="24"/>
          <w:u w:val="none"/>
          <w:lang w:val="en-US" w:eastAsia="zh-CN" w:bidi="ar-SA"/>
        </w:rPr>
      </w:pP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kern w:val="2"/>
          <w:sz w:val="24"/>
          <w:szCs w:val="24"/>
          <w:u w:val="none"/>
          <w:lang w:val="en-US" w:eastAsia="zh-CN" w:bidi="ar-SA"/>
        </w:rPr>
      </w:pP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kern w:val="2"/>
          <w:sz w:val="24"/>
          <w:szCs w:val="24"/>
          <w:u w:val="none"/>
          <w:lang w:val="en-US" w:eastAsia="zh-CN" w:bidi="ar-SA"/>
        </w:rPr>
      </w:pPr>
    </w:p>
    <w:sectPr>
      <w:footerReference r:id="rId3" w:type="default"/>
      <w:pgSz w:w="11906" w:h="16838"/>
      <w:pgMar w:top="1440" w:right="850" w:bottom="1134" w:left="85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238125" cy="1397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38125" cy="1397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- 34 -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1pt;width:18.7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Ay2mZn0QAAAAMBAAAPAAAAAAAAAAEAIAAAACIAAABk&#10;cnMvZG93bnJldi54bWxQSwECFAAUAAAACACHTuJAs3BWfdQBAACiAwAADgAAAAAAAAABACAAAAAg&#10;AQAAZHJzL2Uyb0RvYy54bWxQSwUGAAAAAAYABgBZAQAAZ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- 34 -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FhZDU3Nzk3ZjBlNmM5YjgzOGE0MGM5N2M0YWZhZTQifQ=="/>
  </w:docVars>
  <w:rsids>
    <w:rsidRoot w:val="00000000"/>
    <w:rsid w:val="04014EA8"/>
    <w:rsid w:val="06A27213"/>
    <w:rsid w:val="08E41D65"/>
    <w:rsid w:val="101C207C"/>
    <w:rsid w:val="11440A7A"/>
    <w:rsid w:val="17D631C0"/>
    <w:rsid w:val="1CCE7662"/>
    <w:rsid w:val="1DD4581A"/>
    <w:rsid w:val="1E982F7E"/>
    <w:rsid w:val="20C523EA"/>
    <w:rsid w:val="2B2325A1"/>
    <w:rsid w:val="3404570C"/>
    <w:rsid w:val="34E91EF7"/>
    <w:rsid w:val="37606A12"/>
    <w:rsid w:val="3B8F6BAF"/>
    <w:rsid w:val="46BD5E16"/>
    <w:rsid w:val="478A52AA"/>
    <w:rsid w:val="47E348A8"/>
    <w:rsid w:val="4EE0160D"/>
    <w:rsid w:val="4F6B48F6"/>
    <w:rsid w:val="52A15B9E"/>
    <w:rsid w:val="53A744A9"/>
    <w:rsid w:val="57DE1D05"/>
    <w:rsid w:val="594011E2"/>
    <w:rsid w:val="5CBC553B"/>
    <w:rsid w:val="5EA44A4C"/>
    <w:rsid w:val="5EB85C10"/>
    <w:rsid w:val="6AF15601"/>
    <w:rsid w:val="6D9F540A"/>
    <w:rsid w:val="6EF415C9"/>
    <w:rsid w:val="709315D5"/>
    <w:rsid w:val="75F776FF"/>
    <w:rsid w:val="78360D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iPriority="99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tabs>
        <w:tab w:val="left" w:pos="3360"/>
      </w:tabs>
      <w:snapToGrid w:val="0"/>
      <w:spacing w:beforeLines="50" w:afterLines="50" w:line="800" w:lineRule="atLeast"/>
      <w:jc w:val="center"/>
      <w:outlineLvl w:val="0"/>
    </w:pPr>
    <w:rPr>
      <w:rFonts w:eastAsia="方正小标宋简体"/>
      <w:sz w:val="44"/>
    </w:rPr>
  </w:style>
  <w:style w:type="character" w:default="1" w:styleId="12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autoRedefine/>
    <w:unhideWhenUsed/>
    <w:qFormat/>
    <w:uiPriority w:val="99"/>
    <w:pPr>
      <w:spacing w:after="120"/>
    </w:pPr>
  </w:style>
  <w:style w:type="paragraph" w:styleId="4">
    <w:name w:val="Body Text Indent"/>
    <w:basedOn w:val="1"/>
    <w:next w:val="1"/>
    <w:autoRedefine/>
    <w:unhideWhenUsed/>
    <w:qFormat/>
    <w:uiPriority w:val="99"/>
    <w:pPr>
      <w:spacing w:after="120"/>
      <w:ind w:left="420" w:leftChars="200"/>
    </w:pPr>
  </w:style>
  <w:style w:type="paragraph" w:styleId="5">
    <w:name w:val="Balloon Text"/>
    <w:basedOn w:val="1"/>
    <w:autoRedefine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toc 1"/>
    <w:basedOn w:val="1"/>
    <w:next w:val="1"/>
    <w:autoRedefine/>
    <w:qFormat/>
    <w:uiPriority w:val="0"/>
  </w:style>
  <w:style w:type="paragraph" w:styleId="8">
    <w:name w:val="Body Text First Indent"/>
    <w:basedOn w:val="3"/>
    <w:autoRedefine/>
    <w:qFormat/>
    <w:uiPriority w:val="0"/>
    <w:pPr>
      <w:spacing w:line="360" w:lineRule="auto"/>
      <w:ind w:firstLine="420"/>
    </w:pPr>
    <w:rPr>
      <w:rFonts w:ascii="宋体" w:hAnsi="宋体"/>
      <w:sz w:val="24"/>
    </w:rPr>
  </w:style>
  <w:style w:type="paragraph" w:styleId="9">
    <w:name w:val="Body Text First Indent 2"/>
    <w:basedOn w:val="4"/>
    <w:next w:val="1"/>
    <w:autoRedefine/>
    <w:unhideWhenUsed/>
    <w:qFormat/>
    <w:uiPriority w:val="99"/>
    <w:pPr>
      <w:ind w:left="0" w:leftChars="0"/>
    </w:pPr>
    <w:rPr>
      <w:rFonts w:ascii="宋体" w:hAnsi="宋体"/>
    </w:rPr>
  </w:style>
  <w:style w:type="table" w:styleId="11">
    <w:name w:val="Table Grid"/>
    <w:basedOn w:val="10"/>
    <w:autoRedefine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autoRedefine/>
    <w:qFormat/>
    <w:uiPriority w:val="0"/>
    <w:rPr>
      <w:b/>
      <w:bCs/>
    </w:rPr>
  </w:style>
  <w:style w:type="character" w:styleId="14">
    <w:name w:val="page number"/>
    <w:basedOn w:val="12"/>
    <w:autoRedefine/>
    <w:qFormat/>
    <w:uiPriority w:val="0"/>
  </w:style>
  <w:style w:type="character" w:styleId="15">
    <w:name w:val="Hyperlink"/>
    <w:basedOn w:val="12"/>
    <w:autoRedefine/>
    <w:semiHidden/>
    <w:unhideWhenUsed/>
    <w:qFormat/>
    <w:uiPriority w:val="99"/>
    <w:rPr>
      <w:color w:val="0000FF"/>
      <w:u w:val="single"/>
    </w:rPr>
  </w:style>
  <w:style w:type="paragraph" w:customStyle="1" w:styleId="16">
    <w:name w:val="Default"/>
    <w:autoRedefine/>
    <w:qFormat/>
    <w:uiPriority w:val="99"/>
    <w:pPr>
      <w:widowControl w:val="0"/>
      <w:autoSpaceDE w:val="0"/>
      <w:autoSpaceDN w:val="0"/>
      <w:adjustRightInd w:val="0"/>
    </w:pPr>
    <w:rPr>
      <w:rFonts w:ascii="宋体" w:hAnsi="Times New Roman" w:eastAsia="宋体" w:cs="Times New Roman"/>
      <w:color w:val="000000"/>
      <w:sz w:val="24"/>
      <w:lang w:val="en-US" w:eastAsia="zh-CN" w:bidi="ar-SA"/>
    </w:rPr>
  </w:style>
  <w:style w:type="paragraph" w:styleId="17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8">
    <w:name w:val="font31"/>
    <w:basedOn w:val="12"/>
    <w:autoRedefine/>
    <w:qFormat/>
    <w:uiPriority w:val="0"/>
    <w:rPr>
      <w:rFonts w:hint="eastAsia" w:ascii="宋体" w:hAnsi="宋体" w:eastAsia="宋体" w:cs="宋体"/>
      <w:color w:val="000000"/>
      <w:sz w:val="16"/>
      <w:szCs w:val="16"/>
      <w:u w:val="none"/>
    </w:rPr>
  </w:style>
  <w:style w:type="character" w:customStyle="1" w:styleId="19">
    <w:name w:val="font21"/>
    <w:basedOn w:val="12"/>
    <w:autoRedefine/>
    <w:qFormat/>
    <w:uiPriority w:val="0"/>
    <w:rPr>
      <w:rFonts w:hint="eastAsia" w:ascii="宋体" w:hAnsi="宋体" w:eastAsia="宋体" w:cs="宋体"/>
      <w:color w:val="FF0000"/>
      <w:sz w:val="16"/>
      <w:szCs w:val="16"/>
      <w:u w:val="none"/>
    </w:rPr>
  </w:style>
  <w:style w:type="character" w:customStyle="1" w:styleId="20">
    <w:name w:val="font11"/>
    <w:basedOn w:val="12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1">
    <w:name w:val="font51"/>
    <w:basedOn w:val="12"/>
    <w:autoRedefine/>
    <w:qFormat/>
    <w:uiPriority w:val="0"/>
    <w:rPr>
      <w:rFonts w:hint="default" w:ascii="Times New Roman" w:hAnsi="Times New Roman" w:cs="Times New Roman"/>
      <w:color w:val="000000"/>
      <w:sz w:val="16"/>
      <w:szCs w:val="16"/>
      <w:u w:val="none"/>
    </w:rPr>
  </w:style>
  <w:style w:type="character" w:customStyle="1" w:styleId="22">
    <w:name w:val="font61"/>
    <w:basedOn w:val="12"/>
    <w:autoRedefine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2024-03-08T00:46:00Z</dcterms:created>
  <dc:creator>Administrator</dc:creator>
  <cp:lastModifiedBy>张桂萍</cp:lastModifiedBy>
  <cp:lastPrinted>2025-10-29T07:55:00Z</cp:lastPrinted>
  <dcterms:modified xsi:type="dcterms:W3CDTF">2025-11-05T00:52:31Z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A5B020410D1F4E9CB0249C1009F5A760_13</vt:lpwstr>
  </property>
</Properties>
</file>