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6CED6">
      <w:pPr>
        <w:pStyle w:val="14"/>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方正小标宋_GBK" w:cs="Times New Roman"/>
          <w:b/>
          <w:bCs/>
          <w:sz w:val="36"/>
          <w:szCs w:val="36"/>
          <w:lang w:val="en-US" w:eastAsia="zh-CN"/>
        </w:rPr>
      </w:pPr>
      <w:r>
        <w:rPr>
          <w:rFonts w:hint="eastAsia" w:ascii="Times New Roman" w:hAnsi="Times New Roman" w:eastAsia="方正小标宋_GBK" w:cs="Times New Roman"/>
          <w:b/>
          <w:bCs/>
          <w:sz w:val="36"/>
          <w:szCs w:val="36"/>
          <w:lang w:val="en-US" w:eastAsia="zh-CN"/>
        </w:rPr>
        <w:t>重庆大学附属仁济医院（重庆市第五人民医院）</w:t>
      </w:r>
    </w:p>
    <w:p w14:paraId="1C456F7A">
      <w:pPr>
        <w:pStyle w:val="14"/>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b w:val="0"/>
          <w:bCs w:val="0"/>
          <w:color w:val="000000" w:themeColor="text1"/>
          <w:sz w:val="36"/>
          <w:szCs w:val="36"/>
          <w14:textFill>
            <w14:solidFill>
              <w14:schemeClr w14:val="tx1"/>
            </w14:solidFill>
          </w14:textFill>
        </w:rPr>
      </w:pPr>
      <w:r>
        <w:rPr>
          <w:rFonts w:hint="eastAsia" w:ascii="Times New Roman" w:hAnsi="Times New Roman" w:eastAsia="方正小标宋_GBK" w:cs="Times New Roman"/>
          <w:b/>
          <w:bCs/>
          <w:sz w:val="36"/>
          <w:szCs w:val="36"/>
          <w:lang w:val="en-US" w:eastAsia="zh-CN"/>
        </w:rPr>
        <w:t>康复治疗信息系统</w:t>
      </w:r>
      <w:r>
        <w:rPr>
          <w:rFonts w:hint="default" w:ascii="Times New Roman" w:hAnsi="Times New Roman" w:eastAsia="方正小标宋_GBK" w:cs="Times New Roman"/>
          <w:b/>
          <w:bCs/>
          <w:color w:val="000000" w:themeColor="text1"/>
          <w:sz w:val="36"/>
          <w:szCs w:val="36"/>
          <w14:textFill>
            <w14:solidFill>
              <w14:schemeClr w14:val="tx1"/>
            </w14:solidFill>
          </w14:textFill>
        </w:rPr>
        <w:t>需求调查公告</w:t>
      </w:r>
    </w:p>
    <w:p w14:paraId="511F49FC">
      <w:pPr>
        <w:pStyle w:val="14"/>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eastAsia="宋体" w:cs="Times New Roman"/>
          <w:b w:val="0"/>
          <w:bCs w:val="0"/>
          <w:color w:val="000000" w:themeColor="text1"/>
          <w:sz w:val="24"/>
          <w:szCs w:val="24"/>
          <w14:textFill>
            <w14:solidFill>
              <w14:schemeClr w14:val="tx1"/>
            </w14:solidFill>
          </w14:textFill>
        </w:rPr>
      </w:pPr>
      <w:r>
        <w:rPr>
          <w:rFonts w:hint="default" w:ascii="Times New Roman" w:hAnsi="Times New Roman" w:eastAsia="宋体" w:cs="Times New Roman"/>
          <w:b w:val="0"/>
          <w:bCs w:val="0"/>
          <w:color w:val="000000" w:themeColor="text1"/>
          <w:sz w:val="24"/>
          <w:szCs w:val="24"/>
          <w14:textFill>
            <w14:solidFill>
              <w14:schemeClr w14:val="tx1"/>
            </w14:solidFill>
          </w14:textFill>
        </w:rPr>
        <w:t>我院拟于近期采购</w:t>
      </w:r>
      <w:r>
        <w:rPr>
          <w:rFonts w:hint="eastAsia" w:ascii="Times New Roman" w:hAnsi="Times New Roman" w:cs="Times New Roman"/>
          <w:b w:val="0"/>
          <w:bCs w:val="0"/>
          <w:color w:val="auto"/>
          <w:sz w:val="24"/>
          <w:szCs w:val="24"/>
          <w:lang w:val="en-US" w:eastAsia="zh-CN"/>
        </w:rPr>
        <w:t>康复治疗信息系统项目</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于采购前参考。</w:t>
      </w:r>
    </w:p>
    <w:p w14:paraId="520BA92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一、项目名称</w:t>
      </w:r>
    </w:p>
    <w:p w14:paraId="27D1708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val="0"/>
          <w:bCs w:val="0"/>
          <w:color w:val="FF0000"/>
          <w:kern w:val="2"/>
          <w:sz w:val="24"/>
          <w:szCs w:val="24"/>
          <w:u w:val="none"/>
          <w:lang w:val="en-US" w:eastAsia="zh-CN" w:bidi="ar-SA"/>
        </w:rPr>
      </w:pPr>
      <w:r>
        <w:rPr>
          <w:rFonts w:hint="eastAsia" w:ascii="Times New Roman" w:hAnsi="Times New Roman" w:cs="Times New Roman"/>
          <w:b w:val="0"/>
          <w:bCs w:val="0"/>
          <w:color w:val="000000" w:themeColor="text1"/>
          <w:kern w:val="2"/>
          <w:sz w:val="24"/>
          <w:szCs w:val="24"/>
          <w:u w:val="none"/>
          <w:lang w:val="en-US" w:eastAsia="zh-CN" w:bidi="ar-SA"/>
          <w14:textFill>
            <w14:solidFill>
              <w14:schemeClr w14:val="tx1"/>
            </w14:solidFill>
          </w14:textFill>
        </w:rPr>
        <w:t>康复治疗信息系统</w:t>
      </w:r>
    </w:p>
    <w:p w14:paraId="517D368E">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二、需求调查基本情况</w:t>
      </w:r>
    </w:p>
    <w:p w14:paraId="35245CA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（一）需求调查方式：咨询（项目推介）。</w:t>
      </w:r>
    </w:p>
    <w:p w14:paraId="5485ED5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（二）需求调查对象：</w:t>
      </w:r>
      <w:bookmarkStart w:id="0" w:name="_Hlk114039197"/>
      <w:r>
        <w:rPr>
          <w:rFonts w:hint="default" w:ascii="Times New Roman" w:hAnsi="Times New Roman" w:eastAsia="宋体" w:cs="Times New Roman"/>
          <w:color w:val="000000" w:themeColor="text1"/>
          <w:sz w:val="24"/>
          <w:szCs w:val="24"/>
          <w14:textFill>
            <w14:solidFill>
              <w14:schemeClr w14:val="tx1"/>
            </w14:solidFill>
          </w14:textFill>
        </w:rPr>
        <w:t>符合条件的潜在供应商</w:t>
      </w:r>
      <w:bookmarkEnd w:id="0"/>
      <w:r>
        <w:rPr>
          <w:rFonts w:hint="default" w:ascii="Times New Roman" w:hAnsi="Times New Roman" w:eastAsia="宋体" w:cs="Times New Roman"/>
          <w:color w:val="000000" w:themeColor="text1"/>
          <w:sz w:val="24"/>
          <w:szCs w:val="24"/>
          <w14:textFill>
            <w14:solidFill>
              <w14:schemeClr w14:val="tx1"/>
            </w14:solidFill>
          </w14:textFill>
        </w:rPr>
        <w:t>。</w:t>
      </w:r>
    </w:p>
    <w:p w14:paraId="3EAA6D5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三、项目需求概况</w:t>
      </w:r>
    </w:p>
    <w:p w14:paraId="0E3E8A8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（一）项目概况：为提高本院康复业务效率，实现康复治疗全流程信息管理与共享，规范康复治疗和通用治疗流程，改善医疗质量，提高工作效率，拟采购以患者为中心的康复治疗信息系统。</w:t>
      </w:r>
    </w:p>
    <w:p w14:paraId="0871EAA0">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w:t>
      </w:r>
      <w:r>
        <w:rPr>
          <w:rFonts w:hint="default"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预</w:t>
      </w:r>
      <w:r>
        <w:rPr>
          <w:rFonts w:hint="default" w:ascii="Times New Roman" w:hAnsi="Times New Roman" w:eastAsia="宋体" w:cs="Times New Roman"/>
          <w:color w:val="000000" w:themeColor="text1"/>
          <w:sz w:val="24"/>
          <w:szCs w:val="24"/>
          <w14:textFill>
            <w14:solidFill>
              <w14:schemeClr w14:val="tx1"/>
            </w14:solidFill>
          </w14:textFill>
        </w:rPr>
        <w:t>（概）算：</w:t>
      </w:r>
      <w:r>
        <w:rPr>
          <w:rFonts w:hint="eastAsia" w:ascii="Times New Roman" w:hAnsi="Times New Roman" w:cs="Times New Roman"/>
          <w:color w:val="000000" w:themeColor="text1"/>
          <w:sz w:val="24"/>
          <w:szCs w:val="24"/>
          <w:lang w:val="en-US" w:eastAsia="zh-CN"/>
          <w14:textFill>
            <w14:solidFill>
              <w14:schemeClr w14:val="tx1"/>
            </w14:solidFill>
          </w14:textFill>
        </w:rPr>
        <w:t>35万</w:t>
      </w:r>
      <w:r>
        <w:rPr>
          <w:rFonts w:hint="eastAsia" w:ascii="宋体" w:hAnsi="宋体" w:eastAsia="宋体" w:cs="宋体"/>
          <w:b w:val="0"/>
          <w:bCs/>
          <w:color w:val="000000" w:themeColor="text1"/>
          <w:sz w:val="24"/>
          <w:szCs w:val="24"/>
          <w:lang w:val="en-US" w:eastAsia="zh-CN"/>
          <w14:textFill>
            <w14:solidFill>
              <w14:schemeClr w14:val="tx1"/>
            </w14:solidFill>
          </w14:textFill>
        </w:rPr>
        <w:t>元。</w:t>
      </w:r>
    </w:p>
    <w:p w14:paraId="45280AA9">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采购标的汇总表</w:t>
      </w:r>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2077"/>
        <w:gridCol w:w="1522"/>
        <w:gridCol w:w="1028"/>
        <w:gridCol w:w="1591"/>
        <w:gridCol w:w="1463"/>
        <w:gridCol w:w="1197"/>
      </w:tblGrid>
      <w:tr w14:paraId="2B861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491" w:type="pct"/>
            <w:vAlign w:val="center"/>
          </w:tcPr>
          <w:p w14:paraId="0D2C6C9F">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序号</w:t>
            </w:r>
          </w:p>
        </w:tc>
        <w:tc>
          <w:tcPr>
            <w:tcW w:w="1055" w:type="pct"/>
            <w:vAlign w:val="center"/>
          </w:tcPr>
          <w:p w14:paraId="5B308DED">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标的</w:t>
            </w:r>
          </w:p>
          <w:p w14:paraId="5532E416">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名称</w:t>
            </w:r>
          </w:p>
        </w:tc>
        <w:tc>
          <w:tcPr>
            <w:tcW w:w="773" w:type="pct"/>
            <w:vAlign w:val="center"/>
          </w:tcPr>
          <w:p w14:paraId="41C170DB">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计量</w:t>
            </w:r>
          </w:p>
          <w:p w14:paraId="33CA4939">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单位</w:t>
            </w:r>
          </w:p>
        </w:tc>
        <w:tc>
          <w:tcPr>
            <w:tcW w:w="522" w:type="pct"/>
            <w:vAlign w:val="center"/>
          </w:tcPr>
          <w:p w14:paraId="249767C8">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数量</w:t>
            </w:r>
          </w:p>
        </w:tc>
        <w:tc>
          <w:tcPr>
            <w:tcW w:w="808" w:type="pct"/>
            <w:vAlign w:val="center"/>
          </w:tcPr>
          <w:p w14:paraId="5D121DDC">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单价</w:t>
            </w:r>
          </w:p>
          <w:p w14:paraId="0F84A297">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（万元</w:t>
            </w:r>
            <w:r>
              <w:rPr>
                <w:rFonts w:hint="eastAsia" w:ascii="宋体" w:hAnsi="宋体" w:cs="宋体"/>
                <w:b/>
                <w:sz w:val="24"/>
                <w:szCs w:val="24"/>
                <w:lang w:val="en-US" w:eastAsia="zh-CN"/>
              </w:rPr>
              <w:t>/套</w:t>
            </w:r>
            <w:r>
              <w:rPr>
                <w:rFonts w:hint="eastAsia" w:ascii="宋体" w:hAnsi="宋体" w:eastAsia="宋体" w:cs="宋体"/>
                <w:b/>
                <w:sz w:val="24"/>
                <w:szCs w:val="24"/>
              </w:rPr>
              <w:t>）</w:t>
            </w:r>
          </w:p>
        </w:tc>
        <w:tc>
          <w:tcPr>
            <w:tcW w:w="743" w:type="pct"/>
            <w:vAlign w:val="center"/>
          </w:tcPr>
          <w:p w14:paraId="2677ADDE">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总价</w:t>
            </w:r>
          </w:p>
          <w:p w14:paraId="02F33F19">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（万元）</w:t>
            </w:r>
          </w:p>
        </w:tc>
        <w:tc>
          <w:tcPr>
            <w:tcW w:w="604" w:type="pct"/>
            <w:vAlign w:val="center"/>
          </w:tcPr>
          <w:p w14:paraId="3205C5E8">
            <w:pPr>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备注</w:t>
            </w:r>
          </w:p>
        </w:tc>
      </w:tr>
      <w:tr w14:paraId="7A03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491" w:type="pct"/>
            <w:vAlign w:val="center"/>
          </w:tcPr>
          <w:p w14:paraId="1DF745AA">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055" w:type="pct"/>
            <w:vAlign w:val="center"/>
          </w:tcPr>
          <w:p w14:paraId="4DECC355">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rPr>
              <w:t>康复治疗</w:t>
            </w:r>
          </w:p>
          <w:p w14:paraId="5363AE9B">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b/>
                <w:sz w:val="24"/>
                <w:szCs w:val="24"/>
                <w:lang w:val="en-US" w:eastAsia="zh-CN"/>
              </w:rPr>
            </w:pPr>
            <w:r>
              <w:rPr>
                <w:rFonts w:hint="eastAsia" w:ascii="宋体" w:hAnsi="宋体" w:eastAsia="宋体" w:cs="宋体"/>
                <w:bCs/>
                <w:sz w:val="24"/>
                <w:szCs w:val="24"/>
              </w:rPr>
              <w:t>信息系统</w:t>
            </w:r>
          </w:p>
        </w:tc>
        <w:tc>
          <w:tcPr>
            <w:tcW w:w="773" w:type="pct"/>
            <w:vAlign w:val="center"/>
          </w:tcPr>
          <w:p w14:paraId="4E110A2B">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套</w:t>
            </w:r>
          </w:p>
        </w:tc>
        <w:tc>
          <w:tcPr>
            <w:tcW w:w="522" w:type="pct"/>
            <w:vAlign w:val="center"/>
          </w:tcPr>
          <w:p w14:paraId="2D1F8A4A">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1</w:t>
            </w:r>
          </w:p>
        </w:tc>
        <w:tc>
          <w:tcPr>
            <w:tcW w:w="808" w:type="pct"/>
            <w:vAlign w:val="center"/>
          </w:tcPr>
          <w:p w14:paraId="580E9445">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35</w:t>
            </w:r>
          </w:p>
        </w:tc>
        <w:tc>
          <w:tcPr>
            <w:tcW w:w="743" w:type="pct"/>
            <w:vAlign w:val="center"/>
          </w:tcPr>
          <w:p w14:paraId="655EA84F">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35</w:t>
            </w:r>
          </w:p>
        </w:tc>
        <w:tc>
          <w:tcPr>
            <w:tcW w:w="604" w:type="pct"/>
            <w:vAlign w:val="center"/>
          </w:tcPr>
          <w:p w14:paraId="4E88B881">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宋体" w:hAnsi="宋体" w:eastAsia="宋体" w:cs="宋体"/>
                <w:sz w:val="24"/>
                <w:szCs w:val="24"/>
                <w:lang w:val="en-US" w:eastAsia="zh-CN"/>
              </w:rPr>
            </w:pPr>
          </w:p>
        </w:tc>
      </w:tr>
      <w:tr w14:paraId="7FB17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000" w:type="pct"/>
            <w:gridSpan w:val="7"/>
            <w:vAlign w:val="center"/>
          </w:tcPr>
          <w:p w14:paraId="687CE827">
            <w:pPr>
              <w:keepNext w:val="0"/>
              <w:keepLines w:val="0"/>
              <w:pageBreakBefore w:val="0"/>
              <w:widowControl w:val="0"/>
              <w:tabs>
                <w:tab w:val="left" w:pos="7368"/>
              </w:tabs>
              <w:kinsoku/>
              <w:wordWrap/>
              <w:overflowPunct/>
              <w:topLinePunct w:val="0"/>
              <w:autoSpaceDE/>
              <w:autoSpaceDN/>
              <w:bidi w:val="0"/>
              <w:adjustRightInd w:val="0"/>
              <w:snapToGrid w:val="0"/>
              <w:spacing w:line="480" w:lineRule="exact"/>
              <w:jc w:val="left"/>
              <w:textAlignment w:val="auto"/>
              <w:rPr>
                <w:rFonts w:hint="eastAsia" w:ascii="宋体" w:hAnsi="宋体" w:eastAsia="宋体" w:cs="宋体"/>
                <w:sz w:val="24"/>
                <w:szCs w:val="24"/>
                <w:lang w:eastAsia="zh-CN"/>
              </w:rPr>
            </w:pPr>
            <w:r>
              <w:rPr>
                <w:rFonts w:hint="eastAsia" w:ascii="宋体" w:hAnsi="宋体" w:eastAsia="宋体" w:cs="宋体"/>
                <w:sz w:val="24"/>
                <w:szCs w:val="24"/>
              </w:rPr>
              <w:t>合计：大写：</w:t>
            </w:r>
            <w:r>
              <w:rPr>
                <w:rFonts w:hint="eastAsia" w:ascii="宋体" w:hAnsi="宋体" w:cs="宋体"/>
                <w:sz w:val="24"/>
                <w:szCs w:val="24"/>
                <w:lang w:val="en-US" w:eastAsia="zh-CN"/>
              </w:rPr>
              <w:t>叁拾伍万元</w:t>
            </w:r>
            <w:r>
              <w:rPr>
                <w:rFonts w:hint="eastAsia" w:ascii="宋体" w:hAnsi="宋体" w:eastAsia="宋体" w:cs="宋体"/>
                <w:sz w:val="24"/>
                <w:szCs w:val="24"/>
              </w:rPr>
              <w:t>整（¥</w:t>
            </w:r>
            <w:r>
              <w:rPr>
                <w:rFonts w:hint="eastAsia" w:ascii="宋体" w:hAnsi="宋体" w:cs="宋体"/>
                <w:sz w:val="24"/>
                <w:szCs w:val="24"/>
                <w:lang w:val="en-US" w:eastAsia="zh-CN"/>
              </w:rPr>
              <w:t>350000.00</w:t>
            </w:r>
            <w:r>
              <w:rPr>
                <w:rFonts w:hint="eastAsia" w:ascii="宋体" w:hAnsi="宋体" w:eastAsia="宋体" w:cs="宋体"/>
                <w:sz w:val="24"/>
                <w:szCs w:val="24"/>
              </w:rPr>
              <w:t>）</w:t>
            </w:r>
            <w:r>
              <w:rPr>
                <w:rFonts w:hint="eastAsia" w:ascii="宋体" w:hAnsi="宋体" w:eastAsia="宋体" w:cs="宋体"/>
                <w:sz w:val="24"/>
                <w:szCs w:val="24"/>
                <w:lang w:eastAsia="zh-CN"/>
              </w:rPr>
              <w:tab/>
            </w:r>
          </w:p>
        </w:tc>
      </w:tr>
    </w:tbl>
    <w:p w14:paraId="6DFAE66D">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482" w:firstLineChars="200"/>
        <w:textAlignment w:val="auto"/>
        <w:rPr>
          <w:rFonts w:hint="eastAsia" w:asciiTheme="minorEastAsia" w:hAnsiTheme="minorEastAsia" w:eastAsiaTheme="minorEastAsia" w:cstheme="minorEastAsia"/>
          <w:b/>
          <w:sz w:val="24"/>
          <w:szCs w:val="24"/>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基础技术规格</w:t>
      </w:r>
    </w:p>
    <w:p w14:paraId="02A5899B">
      <w:pPr>
        <w:keepNext w:val="0"/>
        <w:keepLines w:val="0"/>
        <w:pageBreakBefore w:val="0"/>
        <w:widowControl w:val="0"/>
        <w:kinsoku/>
        <w:wordWrap/>
        <w:overflowPunct/>
        <w:topLinePunct w:val="0"/>
        <w:autoSpaceDE/>
        <w:autoSpaceDN/>
        <w:bidi w:val="0"/>
        <w:adjustRightInd/>
        <w:snapToGrid/>
        <w:spacing w:line="430" w:lineRule="exact"/>
        <w:ind w:firstLine="482" w:firstLineChars="200"/>
        <w:jc w:val="left"/>
        <w:textAlignment w:val="auto"/>
        <w:rPr>
          <w:rFonts w:hint="eastAsia" w:ascii="宋体" w:hAnsi="宋体" w:eastAsia="宋体" w:cs="宋体"/>
          <w:b/>
          <w:color w:val="auto"/>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一</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门诊医生工作站</w:t>
      </w:r>
    </w:p>
    <w:p w14:paraId="20F6C4A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门诊康复专科病历</w:t>
      </w:r>
    </w:p>
    <w:p w14:paraId="3F006A0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2.提供</w:t>
      </w:r>
      <w:r>
        <w:rPr>
          <w:rFonts w:hint="eastAsia" w:ascii="宋体" w:hAnsi="宋体" w:eastAsia="宋体" w:cs="宋体"/>
          <w:bCs/>
          <w:color w:val="auto"/>
          <w:sz w:val="24"/>
          <w:szCs w:val="24"/>
        </w:rPr>
        <w:t>诊断分型模块。</w:t>
      </w:r>
    </w:p>
    <w:p w14:paraId="3B97F29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3提供</w:t>
      </w:r>
      <w:r>
        <w:rPr>
          <w:rFonts w:hint="eastAsia" w:ascii="宋体" w:hAnsi="宋体" w:eastAsia="宋体" w:cs="宋体"/>
          <w:bCs/>
          <w:color w:val="auto"/>
          <w:sz w:val="24"/>
          <w:szCs w:val="24"/>
        </w:rPr>
        <w:t>流转去向模块。</w:t>
      </w:r>
    </w:p>
    <w:p w14:paraId="3971AD6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4.提供</w:t>
      </w:r>
      <w:r>
        <w:rPr>
          <w:rFonts w:hint="eastAsia" w:ascii="宋体" w:hAnsi="宋体" w:eastAsia="宋体" w:cs="宋体"/>
          <w:bCs/>
          <w:color w:val="auto"/>
          <w:sz w:val="24"/>
          <w:szCs w:val="24"/>
        </w:rPr>
        <w:t>知情同意书模块。</w:t>
      </w:r>
    </w:p>
    <w:p w14:paraId="45BD77B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门诊治疗提交功能。</w:t>
      </w:r>
    </w:p>
    <w:p w14:paraId="4DA0A40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5.提供</w:t>
      </w:r>
      <w:r>
        <w:rPr>
          <w:rFonts w:hint="eastAsia" w:ascii="宋体" w:hAnsi="宋体" w:eastAsia="宋体" w:cs="宋体"/>
          <w:bCs/>
          <w:color w:val="auto"/>
          <w:sz w:val="24"/>
          <w:szCs w:val="24"/>
        </w:rPr>
        <w:t>门诊评估量表不少于150个。</w:t>
      </w:r>
    </w:p>
    <w:p w14:paraId="0312E8D7">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7.</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治疗预约。</w:t>
      </w:r>
    </w:p>
    <w:p w14:paraId="0D01309C">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8.提供</w:t>
      </w:r>
      <w:r>
        <w:rPr>
          <w:rFonts w:hint="eastAsia" w:ascii="宋体" w:hAnsi="宋体" w:eastAsia="宋体" w:cs="宋体"/>
          <w:bCs/>
          <w:color w:val="auto"/>
          <w:sz w:val="24"/>
          <w:szCs w:val="24"/>
        </w:rPr>
        <w:t>门诊治疗绩效管理功能。</w:t>
      </w:r>
    </w:p>
    <w:p w14:paraId="4BFC2D27">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9.提供</w:t>
      </w:r>
      <w:r>
        <w:rPr>
          <w:rFonts w:hint="eastAsia" w:ascii="宋体" w:hAnsi="宋体" w:eastAsia="宋体" w:cs="宋体"/>
          <w:bCs/>
          <w:color w:val="auto"/>
          <w:sz w:val="24"/>
          <w:szCs w:val="24"/>
        </w:rPr>
        <w:t>门诊治疗医嘱管理功能。</w:t>
      </w:r>
    </w:p>
    <w:p w14:paraId="099700B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10.</w:t>
      </w:r>
      <w:r>
        <w:rPr>
          <w:rFonts w:hint="eastAsia" w:ascii="宋体" w:hAnsi="宋体" w:eastAsia="宋体" w:cs="宋体"/>
          <w:bCs/>
          <w:color w:val="auto"/>
          <w:sz w:val="24"/>
          <w:szCs w:val="24"/>
        </w:rPr>
        <w:t>通过360视图查看患者的各种康复信息。</w:t>
      </w:r>
    </w:p>
    <w:p w14:paraId="468A7B2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11.</w:t>
      </w:r>
      <w:r>
        <w:rPr>
          <w:rFonts w:hint="eastAsia" w:ascii="宋体" w:hAnsi="宋体" w:eastAsia="宋体" w:cs="宋体"/>
          <w:bCs/>
          <w:color w:val="auto"/>
          <w:sz w:val="24"/>
          <w:szCs w:val="24"/>
        </w:rPr>
        <w:t>可对患者通过颜色设定各种</w:t>
      </w:r>
      <w:r>
        <w:rPr>
          <w:rFonts w:hint="eastAsia" w:ascii="宋体" w:hAnsi="宋体" w:eastAsia="宋体" w:cs="宋体"/>
          <w:bCs/>
          <w:color w:val="auto"/>
          <w:sz w:val="24"/>
          <w:szCs w:val="24"/>
          <w:lang w:val="en-US" w:eastAsia="zh-CN"/>
        </w:rPr>
        <w:t>自定义</w:t>
      </w:r>
      <w:r>
        <w:rPr>
          <w:rFonts w:hint="eastAsia" w:ascii="宋体" w:hAnsi="宋体" w:eastAsia="宋体" w:cs="宋体"/>
          <w:bCs/>
          <w:color w:val="auto"/>
          <w:sz w:val="24"/>
          <w:szCs w:val="24"/>
        </w:rPr>
        <w:t>标签。</w:t>
      </w:r>
    </w:p>
    <w:p w14:paraId="1CBD369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12.提供</w:t>
      </w:r>
      <w:r>
        <w:rPr>
          <w:rFonts w:hint="eastAsia" w:ascii="宋体" w:hAnsi="宋体" w:eastAsia="宋体" w:cs="宋体"/>
          <w:bCs/>
          <w:color w:val="auto"/>
          <w:sz w:val="24"/>
          <w:szCs w:val="24"/>
        </w:rPr>
        <w:t>代理提交功能。</w:t>
      </w:r>
    </w:p>
    <w:p w14:paraId="78DD1170">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lang w:eastAsia="zh-CN"/>
        </w:rPr>
        <w:t>（</w:t>
      </w: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lang w:eastAsia="zh-CN"/>
        </w:rPr>
        <w:t>）</w:t>
      </w:r>
      <w:r>
        <w:rPr>
          <w:rFonts w:hint="eastAsia" w:ascii="宋体" w:hAnsi="宋体" w:eastAsia="宋体" w:cs="宋体"/>
          <w:b/>
          <w:color w:val="auto"/>
          <w:sz w:val="24"/>
          <w:szCs w:val="24"/>
        </w:rPr>
        <w:t>住院医生工作站</w:t>
      </w:r>
    </w:p>
    <w:p w14:paraId="7D2D4DB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出院患者治疗、评定信息查看、打印。</w:t>
      </w:r>
    </w:p>
    <w:p w14:paraId="4B90470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根据病种</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预设方案、历史治疗方案、推荐方案。</w:t>
      </w:r>
    </w:p>
    <w:p w14:paraId="0307201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床边移动评估。</w:t>
      </w:r>
    </w:p>
    <w:p w14:paraId="20F6061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图形化评估对比分析。</w:t>
      </w:r>
    </w:p>
    <w:p w14:paraId="49410AAE">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通过360视图查看患者的各种康复信息。</w:t>
      </w:r>
    </w:p>
    <w:p w14:paraId="14F505D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可对患者通过颜色设定各种</w:t>
      </w:r>
      <w:r>
        <w:rPr>
          <w:rFonts w:hint="eastAsia" w:ascii="宋体" w:hAnsi="宋体" w:eastAsia="宋体" w:cs="宋体"/>
          <w:bCs/>
          <w:color w:val="auto"/>
          <w:sz w:val="24"/>
          <w:szCs w:val="24"/>
          <w:lang w:val="en-US" w:eastAsia="zh-CN"/>
        </w:rPr>
        <w:t>自定义</w:t>
      </w:r>
      <w:r>
        <w:rPr>
          <w:rFonts w:hint="eastAsia" w:ascii="宋体" w:hAnsi="宋体" w:eastAsia="宋体" w:cs="宋体"/>
          <w:bCs/>
          <w:color w:val="auto"/>
          <w:sz w:val="24"/>
          <w:szCs w:val="24"/>
        </w:rPr>
        <w:t>标签。</w:t>
      </w:r>
    </w:p>
    <w:p w14:paraId="7F1CBC8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7.对</w:t>
      </w:r>
      <w:r>
        <w:rPr>
          <w:rFonts w:hint="eastAsia" w:ascii="宋体" w:hAnsi="宋体" w:eastAsia="宋体" w:cs="宋体"/>
          <w:bCs/>
          <w:color w:val="auto"/>
          <w:sz w:val="24"/>
          <w:szCs w:val="24"/>
        </w:rPr>
        <w:t>治疗任务</w:t>
      </w:r>
      <w:r>
        <w:rPr>
          <w:rFonts w:hint="eastAsia" w:ascii="宋体" w:hAnsi="宋体" w:eastAsia="宋体" w:cs="宋体"/>
          <w:bCs/>
          <w:color w:val="auto"/>
          <w:sz w:val="24"/>
          <w:szCs w:val="24"/>
          <w:lang w:val="en-US" w:eastAsia="zh-CN"/>
        </w:rPr>
        <w:t>提供</w:t>
      </w:r>
      <w:r>
        <w:rPr>
          <w:rFonts w:hint="eastAsia" w:ascii="宋体" w:hAnsi="宋体" w:eastAsia="宋体" w:cs="宋体"/>
          <w:bCs/>
          <w:color w:val="auto"/>
          <w:sz w:val="24"/>
          <w:szCs w:val="24"/>
        </w:rPr>
        <w:t>智能指派及手动指派。</w:t>
      </w:r>
    </w:p>
    <w:p w14:paraId="2D8D7A9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8.</w:t>
      </w:r>
      <w:r>
        <w:rPr>
          <w:rFonts w:hint="eastAsia" w:ascii="宋体" w:hAnsi="宋体" w:eastAsia="宋体" w:cs="宋体"/>
          <w:bCs/>
          <w:color w:val="auto"/>
          <w:sz w:val="24"/>
          <w:szCs w:val="24"/>
          <w:lang w:eastAsia="zh-CN"/>
        </w:rPr>
        <w:t>提供</w:t>
      </w:r>
      <w:r>
        <w:rPr>
          <w:rFonts w:hint="eastAsia" w:ascii="宋体" w:hAnsi="宋体" w:eastAsia="宋体" w:cs="宋体"/>
          <w:bCs/>
          <w:color w:val="auto"/>
          <w:sz w:val="24"/>
          <w:szCs w:val="24"/>
        </w:rPr>
        <w:t>录入医保费用限额，以控制治疗次数。</w:t>
      </w:r>
    </w:p>
    <w:p w14:paraId="70F211BF">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sz w:val="24"/>
          <w:szCs w:val="24"/>
          <w:lang w:eastAsia="zh-CN"/>
        </w:rPr>
        <w:t>（</w:t>
      </w:r>
      <w:r>
        <w:rPr>
          <w:rFonts w:hint="eastAsia" w:ascii="宋体" w:hAnsi="宋体" w:eastAsia="宋体" w:cs="宋体"/>
          <w:b/>
          <w:color w:val="auto"/>
          <w:sz w:val="24"/>
          <w:szCs w:val="24"/>
          <w:lang w:val="en-US" w:eastAsia="zh-CN"/>
        </w:rPr>
        <w:t>三</w:t>
      </w:r>
      <w:r>
        <w:rPr>
          <w:rFonts w:hint="eastAsia" w:ascii="宋体" w:hAnsi="宋体" w:eastAsia="宋体" w:cs="宋体"/>
          <w:b/>
          <w:color w:val="auto"/>
          <w:sz w:val="24"/>
          <w:szCs w:val="24"/>
          <w:lang w:eastAsia="zh-CN"/>
        </w:rPr>
        <w:t>）</w:t>
      </w:r>
      <w:r>
        <w:rPr>
          <w:rFonts w:hint="eastAsia" w:ascii="宋体" w:hAnsi="宋体" w:eastAsia="宋体" w:cs="宋体"/>
          <w:b/>
          <w:color w:val="auto"/>
          <w:kern w:val="0"/>
          <w:sz w:val="24"/>
          <w:szCs w:val="24"/>
        </w:rPr>
        <w:t>评价会工作站</w:t>
      </w:r>
    </w:p>
    <w:p w14:paraId="56F448B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创建初期、中期、末期评价会。</w:t>
      </w:r>
    </w:p>
    <w:p w14:paraId="4001B947">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评价会任务自动推送和提醒功能。</w:t>
      </w:r>
    </w:p>
    <w:p w14:paraId="631018B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评价会各个成员有独立操作界面和独立权限。</w:t>
      </w:r>
    </w:p>
    <w:p w14:paraId="2876869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评价会结果汇总、修改、审核、提交功能。</w:t>
      </w:r>
    </w:p>
    <w:p w14:paraId="57C9A7F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评价会开始时间和结束时间自定义功能。</w:t>
      </w:r>
    </w:p>
    <w:p w14:paraId="501D72C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6.</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参与评价会成员自定义功能。</w:t>
      </w:r>
    </w:p>
    <w:p w14:paraId="6041163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每次评价会名称修改功能。</w:t>
      </w:r>
    </w:p>
    <w:p w14:paraId="373EC41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评价会进度信息提醒功能。</w:t>
      </w:r>
    </w:p>
    <w:p w14:paraId="7D1D267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下次评价会预约与自动提醒功能。</w:t>
      </w:r>
    </w:p>
    <w:p w14:paraId="47E9283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10.</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评价会结果可复制功能。</w:t>
      </w:r>
    </w:p>
    <w:p w14:paraId="39AE983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评估结果自动归并病历夹功能。</w:t>
      </w:r>
    </w:p>
    <w:p w14:paraId="52C053FB">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四</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康复评定工作站</w:t>
      </w:r>
    </w:p>
    <w:p w14:paraId="5C14E11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rPr>
        <w:t>评估量表：</w:t>
      </w:r>
    </w:p>
    <w:p w14:paraId="624E049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eastAsia="zh-CN"/>
        </w:rPr>
      </w:pP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提供</w:t>
      </w:r>
      <w:r>
        <w:rPr>
          <w:rFonts w:hint="eastAsia" w:ascii="宋体" w:hAnsi="宋体" w:eastAsia="宋体" w:cs="宋体"/>
          <w:bCs/>
          <w:color w:val="auto"/>
          <w:kern w:val="0"/>
          <w:sz w:val="24"/>
          <w:szCs w:val="24"/>
        </w:rPr>
        <w:t>成人评估量表不少于200个，</w:t>
      </w:r>
      <w:r>
        <w:rPr>
          <w:rFonts w:hint="eastAsia" w:ascii="宋体" w:hAnsi="宋体" w:eastAsia="宋体" w:cs="宋体"/>
          <w:bCs/>
          <w:color w:val="auto"/>
          <w:kern w:val="0"/>
          <w:sz w:val="24"/>
          <w:szCs w:val="24"/>
          <w:lang w:val="en-US" w:eastAsia="zh-CN"/>
        </w:rPr>
        <w:t>包含</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躯体功能评定、心理功能评定、语言功能评定、吞咽困难评定、日常生活活动能力评定、生活质量评定6大部分全方位量表</w:t>
      </w:r>
      <w:r>
        <w:rPr>
          <w:rFonts w:hint="eastAsia" w:ascii="宋体" w:hAnsi="宋体" w:eastAsia="宋体" w:cs="宋体"/>
          <w:bCs/>
          <w:color w:val="auto"/>
          <w:kern w:val="0"/>
          <w:sz w:val="24"/>
          <w:szCs w:val="24"/>
          <w:lang w:eastAsia="zh-CN"/>
        </w:rPr>
        <w:t>；</w:t>
      </w:r>
    </w:p>
    <w:p w14:paraId="27401F8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提供</w:t>
      </w:r>
      <w:r>
        <w:rPr>
          <w:rFonts w:hint="eastAsia" w:ascii="宋体" w:hAnsi="宋体" w:eastAsia="宋体" w:cs="宋体"/>
          <w:bCs/>
          <w:color w:val="auto"/>
          <w:kern w:val="0"/>
          <w:sz w:val="24"/>
          <w:szCs w:val="24"/>
        </w:rPr>
        <w:t>儿童评估量表少于100个</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包含但不限于</w:t>
      </w:r>
      <w:r>
        <w:rPr>
          <w:rFonts w:hint="eastAsia" w:ascii="宋体" w:hAnsi="宋体" w:eastAsia="宋体" w:cs="宋体"/>
          <w:bCs/>
          <w:color w:val="auto"/>
          <w:kern w:val="0"/>
          <w:sz w:val="24"/>
          <w:szCs w:val="24"/>
        </w:rPr>
        <w:t>以下常用量表：GMFM264粗大运动功能测试</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FMFM精细运动能力测试</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Peabody运动发育评估</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象征性游戏测定</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蕾妮氏语言理解测试</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Gesell发育诊断量表</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韦氏4-6.5岁智力测试评估</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韦氏6-16岁智力测试评估</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拐杖训练测评</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手持式电子肌力测定</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儿童感觉统合能力发展评定量表</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构音能力评价</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贝利婴幼儿发展量表(BSID)</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0-6岁儿童智能发育筛查测验(DST)</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丹佛发育筛查筛查测验</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语言发育迟缓检查法（S-S）</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早期语言发育进程量表(EIMS)</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孤独症行为量表（ABC）</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自闭症诊断量表（DSM-IV）</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自闭症谱系障碍及儿童教育心理量表（PEP-3）</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图片词汇测试（PPVT）</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儿童berg平衡量表(PBS)</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儿童残疾评定量表（PEDI）</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关节活动度测定（ROM）</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痉挛评定（改良Ashworth法）</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神经肌肉疾病运动功能评估量表（MFM）</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婴儿-初中学生社会生活能力量表（S-M）</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脑瘫患者粗大运动功能问卷（CP-GMFQ）</w:t>
      </w:r>
      <w:r>
        <w:rPr>
          <w:rFonts w:hint="eastAsia" w:ascii="宋体" w:hAnsi="宋体" w:eastAsia="宋体" w:cs="宋体"/>
          <w:bCs/>
          <w:color w:val="auto"/>
          <w:kern w:val="0"/>
          <w:sz w:val="24"/>
          <w:szCs w:val="24"/>
          <w:lang w:val="en-US" w:eastAsia="zh-CN"/>
        </w:rPr>
        <w:t>等</w:t>
      </w:r>
      <w:r>
        <w:rPr>
          <w:rFonts w:hint="eastAsia" w:ascii="宋体" w:hAnsi="宋体" w:eastAsia="宋体" w:cs="宋体"/>
          <w:bCs/>
          <w:color w:val="auto"/>
          <w:kern w:val="0"/>
          <w:sz w:val="24"/>
          <w:szCs w:val="24"/>
        </w:rPr>
        <w:t>。</w:t>
      </w:r>
    </w:p>
    <w:p w14:paraId="7427762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评估过程中实时查看医嘱、检验检查、病历、治疗记录等信息。</w:t>
      </w:r>
    </w:p>
    <w:p w14:paraId="0D889E4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eastAsia="zh-CN"/>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自动推荐方案功能，主要包含模板方案、历史方案和专家方案</w:t>
      </w:r>
      <w:r>
        <w:rPr>
          <w:rFonts w:hint="eastAsia" w:ascii="宋体" w:hAnsi="宋体" w:eastAsia="宋体" w:cs="宋体"/>
          <w:bCs/>
          <w:color w:val="auto"/>
          <w:kern w:val="0"/>
          <w:sz w:val="24"/>
          <w:szCs w:val="24"/>
          <w:lang w:eastAsia="zh-CN"/>
        </w:rPr>
        <w:t>。</w:t>
      </w:r>
    </w:p>
    <w:p w14:paraId="75814FA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rPr>
        <w:t>评估报告打印</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个性化设置。</w:t>
      </w:r>
    </w:p>
    <w:p w14:paraId="6B8167B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rPr>
        <w:t>评估过程</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视频采集和回访、对比。</w:t>
      </w:r>
    </w:p>
    <w:p w14:paraId="33A5C2C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6.提供</w:t>
      </w:r>
      <w:r>
        <w:rPr>
          <w:rFonts w:hint="eastAsia" w:ascii="宋体" w:hAnsi="宋体" w:eastAsia="宋体" w:cs="宋体"/>
          <w:bCs/>
          <w:color w:val="auto"/>
          <w:kern w:val="0"/>
          <w:sz w:val="24"/>
          <w:szCs w:val="24"/>
        </w:rPr>
        <w:t>评估结果对比分析，至少包括数值对比、图线对比、视频对比三种对比方式。</w:t>
      </w:r>
    </w:p>
    <w:p w14:paraId="3F72A9F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7.</w:t>
      </w:r>
      <w:r>
        <w:rPr>
          <w:rFonts w:hint="eastAsia" w:ascii="宋体" w:hAnsi="宋体" w:eastAsia="宋体" w:cs="宋体"/>
          <w:bCs/>
          <w:color w:val="auto"/>
          <w:kern w:val="0"/>
          <w:sz w:val="24"/>
          <w:szCs w:val="24"/>
        </w:rPr>
        <w:t>peabody评估量表同时</w:t>
      </w:r>
      <w:r>
        <w:rPr>
          <w:rFonts w:hint="eastAsia" w:ascii="宋体" w:hAnsi="宋体" w:eastAsia="宋体" w:cs="宋体"/>
          <w:bCs/>
          <w:color w:val="auto"/>
          <w:kern w:val="0"/>
          <w:sz w:val="24"/>
          <w:szCs w:val="24"/>
          <w:lang w:val="en-US" w:eastAsia="zh-CN"/>
        </w:rPr>
        <w:t>提供</w:t>
      </w:r>
      <w:r>
        <w:rPr>
          <w:rFonts w:hint="eastAsia" w:ascii="宋体" w:hAnsi="宋体" w:eastAsia="宋体" w:cs="宋体"/>
          <w:bCs/>
          <w:color w:val="auto"/>
          <w:kern w:val="0"/>
          <w:sz w:val="24"/>
          <w:szCs w:val="24"/>
        </w:rPr>
        <w:t>常模</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且</w:t>
      </w:r>
      <w:r>
        <w:rPr>
          <w:rFonts w:hint="eastAsia" w:ascii="宋体" w:hAnsi="宋体" w:eastAsia="宋体" w:cs="宋体"/>
          <w:bCs/>
          <w:color w:val="auto"/>
          <w:kern w:val="0"/>
          <w:sz w:val="24"/>
          <w:szCs w:val="24"/>
        </w:rPr>
        <w:t>不少于310个评估指导图片和不少于200个干预</w:t>
      </w:r>
      <w:r>
        <w:rPr>
          <w:rFonts w:hint="eastAsia" w:ascii="宋体" w:hAnsi="宋体" w:eastAsia="宋体" w:cs="宋体"/>
          <w:bCs/>
          <w:color w:val="auto"/>
          <w:kern w:val="0"/>
          <w:sz w:val="24"/>
          <w:szCs w:val="24"/>
          <w:lang w:val="en-US" w:eastAsia="zh-CN"/>
        </w:rPr>
        <w:t>计划</w:t>
      </w:r>
      <w:r>
        <w:rPr>
          <w:rFonts w:hint="eastAsia" w:ascii="宋体" w:hAnsi="宋体" w:eastAsia="宋体" w:cs="宋体"/>
          <w:bCs/>
          <w:color w:val="auto"/>
          <w:kern w:val="0"/>
          <w:sz w:val="24"/>
          <w:szCs w:val="24"/>
        </w:rPr>
        <w:t>，其中每个干预</w:t>
      </w:r>
      <w:r>
        <w:rPr>
          <w:rFonts w:hint="eastAsia" w:ascii="宋体" w:hAnsi="宋体" w:eastAsia="宋体" w:cs="宋体"/>
          <w:bCs/>
          <w:color w:val="auto"/>
          <w:kern w:val="0"/>
          <w:sz w:val="24"/>
          <w:szCs w:val="24"/>
          <w:lang w:val="en-US" w:eastAsia="zh-CN"/>
        </w:rPr>
        <w:t>计划</w:t>
      </w:r>
      <w:r>
        <w:rPr>
          <w:rFonts w:hint="eastAsia" w:ascii="宋体" w:hAnsi="宋体" w:eastAsia="宋体" w:cs="宋体"/>
          <w:bCs/>
          <w:color w:val="auto"/>
          <w:kern w:val="0"/>
          <w:sz w:val="24"/>
          <w:szCs w:val="24"/>
        </w:rPr>
        <w:t>都包含训练目标和训练方法详细说明（需提供产品现场演示）</w:t>
      </w:r>
    </w:p>
    <w:p w14:paraId="7270245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治疗师建议医嘱自动推送主管医生。</w:t>
      </w:r>
    </w:p>
    <w:p w14:paraId="7836490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评估结果查询功能。</w:t>
      </w:r>
    </w:p>
    <w:p w14:paraId="6455065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10.</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评估模板自定义功能。</w:t>
      </w:r>
    </w:p>
    <w:p w14:paraId="78CDFE1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综合评估报告自定义功能。</w:t>
      </w:r>
    </w:p>
    <w:p w14:paraId="21089C9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音视频与医生评定医嘱绑定，形成闭环管理。</w:t>
      </w:r>
    </w:p>
    <w:p w14:paraId="6A3204F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对评估完成时间质量控制管理功能。</w:t>
      </w:r>
    </w:p>
    <w:p w14:paraId="55810D4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14.提供</w:t>
      </w:r>
      <w:r>
        <w:rPr>
          <w:rFonts w:hint="eastAsia" w:ascii="宋体" w:hAnsi="宋体" w:eastAsia="宋体" w:cs="宋体"/>
          <w:bCs/>
          <w:color w:val="auto"/>
          <w:kern w:val="0"/>
          <w:sz w:val="24"/>
          <w:szCs w:val="24"/>
        </w:rPr>
        <w:t>每个量表的每个题目和评估选项与ICF-CY建立对应关系，（以GMFM-88量表为例提供证明文件）。</w:t>
      </w:r>
    </w:p>
    <w:p w14:paraId="4C33F06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15.</w:t>
      </w:r>
      <w:r>
        <w:rPr>
          <w:rFonts w:hint="eastAsia" w:ascii="宋体" w:hAnsi="宋体" w:eastAsia="宋体" w:cs="宋体"/>
          <w:bCs/>
          <w:color w:val="auto"/>
          <w:kern w:val="0"/>
          <w:sz w:val="24"/>
          <w:szCs w:val="24"/>
        </w:rPr>
        <w:t>Griffiths精神发育量表</w:t>
      </w:r>
      <w:r>
        <w:rPr>
          <w:rFonts w:hint="eastAsia" w:ascii="宋体" w:hAnsi="宋体" w:eastAsia="宋体" w:cs="宋体"/>
          <w:bCs/>
          <w:color w:val="auto"/>
          <w:kern w:val="0"/>
          <w:sz w:val="24"/>
          <w:szCs w:val="24"/>
          <w:lang w:val="en-US" w:eastAsia="zh-CN"/>
        </w:rPr>
        <w:t>提供</w:t>
      </w:r>
      <w:r>
        <w:rPr>
          <w:rFonts w:hint="eastAsia" w:ascii="宋体" w:hAnsi="宋体" w:eastAsia="宋体" w:cs="宋体"/>
          <w:bCs/>
          <w:color w:val="auto"/>
          <w:kern w:val="0"/>
          <w:sz w:val="24"/>
          <w:szCs w:val="24"/>
        </w:rPr>
        <w:t>自带常模，生成评估报告（需提供产品现场演示）。</w:t>
      </w:r>
    </w:p>
    <w:p w14:paraId="11AD0A31">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16.</w:t>
      </w:r>
      <w:r>
        <w:rPr>
          <w:rFonts w:hint="eastAsia" w:ascii="宋体" w:hAnsi="宋体" w:eastAsia="宋体" w:cs="宋体"/>
          <w:bCs/>
          <w:color w:val="auto"/>
          <w:kern w:val="0"/>
          <w:sz w:val="24"/>
          <w:szCs w:val="24"/>
        </w:rPr>
        <w:t>提供的量表需有版权使用权，如发生版权使用权纠纷，由投标方承担相应责任。</w:t>
      </w:r>
    </w:p>
    <w:p w14:paraId="1139E5C3">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根据评定结果自动生成评定报告。</w:t>
      </w:r>
    </w:p>
    <w:p w14:paraId="43D120EF">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五</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治疗工作站</w:t>
      </w:r>
    </w:p>
    <w:p w14:paraId="163F754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rPr>
        <w:t>可自动同步HIS康复治疗医嘱。</w:t>
      </w:r>
    </w:p>
    <w:p w14:paraId="30FC55B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2.提供</w:t>
      </w:r>
      <w:r>
        <w:rPr>
          <w:rFonts w:hint="eastAsia" w:ascii="宋体" w:hAnsi="宋体" w:eastAsia="宋体" w:cs="宋体"/>
          <w:bCs/>
          <w:color w:val="auto"/>
          <w:kern w:val="0"/>
          <w:sz w:val="24"/>
          <w:szCs w:val="24"/>
        </w:rPr>
        <w:t>模板干预模式：每种干预手段都要求提供详细的干预模板；请以认知训练为例，提供截图展示。</w:t>
      </w:r>
    </w:p>
    <w:p w14:paraId="544F231E">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3.提供</w:t>
      </w:r>
      <w:r>
        <w:rPr>
          <w:rFonts w:hint="eastAsia" w:ascii="宋体" w:hAnsi="宋体" w:eastAsia="宋体" w:cs="宋体"/>
          <w:bCs/>
          <w:color w:val="auto"/>
          <w:kern w:val="0"/>
          <w:sz w:val="24"/>
          <w:szCs w:val="24"/>
        </w:rPr>
        <w:t>自动干预模式：内置大数据分析，部分量表可以根据评估结果自动生成干预计划（包括分解动作名称、动作目标、动作要领、注意事项等内容，请以FMFM为例，提供不少于60个自动干预模式，现场演示）。</w:t>
      </w:r>
    </w:p>
    <w:p w14:paraId="00D0B1F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治疗医嘱自动分配功能。</w:t>
      </w:r>
    </w:p>
    <w:p w14:paraId="4FC50CE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治疗医嘱扣费结果与HIS自动同步功能。</w:t>
      </w:r>
    </w:p>
    <w:p w14:paraId="1ACD93D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6.</w:t>
      </w:r>
      <w:r>
        <w:rPr>
          <w:rFonts w:hint="eastAsia" w:ascii="宋体" w:hAnsi="宋体" w:eastAsia="宋体" w:cs="宋体"/>
          <w:bCs/>
          <w:color w:val="auto"/>
          <w:kern w:val="0"/>
          <w:sz w:val="24"/>
          <w:szCs w:val="24"/>
        </w:rPr>
        <w:t>自动生成患者治疗执行结果，并以时间轴方式展示。</w:t>
      </w:r>
    </w:p>
    <w:p w14:paraId="37316BB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显示治疗项目的部位数或组数，</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用图片标记治疗部位。</w:t>
      </w:r>
    </w:p>
    <w:p w14:paraId="2B49E6D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在治疗执行可见剂量、方案名、设备名、嘱托信息。</w:t>
      </w:r>
    </w:p>
    <w:p w14:paraId="28D9209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执行时根据实际执行数量进行执行、执行结果与HIS同步。</w:t>
      </w:r>
    </w:p>
    <w:p w14:paraId="15C09E01">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10.</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未执行完成的部位数可以继续执行、执行结果与HIS同步。</w:t>
      </w:r>
    </w:p>
    <w:p w14:paraId="2796FF5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治疗未做备注</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自动记录在该患者留言板。</w:t>
      </w:r>
    </w:p>
    <w:p w14:paraId="4693E94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治疗未执行</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自动反馈和统计。</w:t>
      </w:r>
    </w:p>
    <w:p w14:paraId="2626B813">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补计费功能。</w:t>
      </w:r>
    </w:p>
    <w:p w14:paraId="0DDF1AD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退费功能。</w:t>
      </w:r>
    </w:p>
    <w:p w14:paraId="0969B0B3">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代理执行治疗项目收费功能。</w:t>
      </w:r>
    </w:p>
    <w:p w14:paraId="5A16F17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16.</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治疗师只能执行自己所在治疗区的项目模式，根据权限设置可执行任意治疗区项目。</w:t>
      </w:r>
    </w:p>
    <w:p w14:paraId="317DFEC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各个治疗区的可执行治疗项目可自定义功能。</w:t>
      </w:r>
    </w:p>
    <w:p w14:paraId="5899052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治疗师名、床号、患者名、项目名称快速搜索执行项目功能。</w:t>
      </w:r>
    </w:p>
    <w:p w14:paraId="7429FBA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治疗执行时自动生成治疗记录，并可修改。</w:t>
      </w:r>
    </w:p>
    <w:p w14:paraId="142191D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20.</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治疗执行撤销功能。</w:t>
      </w:r>
    </w:p>
    <w:p w14:paraId="67FB439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收费、取消收费对应状态标记。</w:t>
      </w:r>
    </w:p>
    <w:p w14:paraId="6A7D1C3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治疗任务自动接收、查看功能。</w:t>
      </w:r>
    </w:p>
    <w:p w14:paraId="1BBE2FF1">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治疗执行时可填写治疗结论、治疗量、不良反应等信息，</w:t>
      </w:r>
      <w:r>
        <w:rPr>
          <w:rFonts w:hint="eastAsia" w:ascii="宋体" w:hAnsi="宋体" w:eastAsia="宋体" w:cs="宋体"/>
          <w:bCs/>
          <w:color w:val="auto"/>
          <w:kern w:val="0"/>
          <w:sz w:val="24"/>
          <w:szCs w:val="24"/>
          <w:lang w:val="en-US" w:eastAsia="zh-CN"/>
        </w:rPr>
        <w:t>并</w:t>
      </w:r>
      <w:r>
        <w:rPr>
          <w:rFonts w:hint="eastAsia" w:ascii="宋体" w:hAnsi="宋体" w:eastAsia="宋体" w:cs="宋体"/>
          <w:bCs/>
          <w:color w:val="auto"/>
          <w:kern w:val="0"/>
          <w:sz w:val="24"/>
          <w:szCs w:val="24"/>
        </w:rPr>
        <w:t>生成治疗记录单打印出来。</w:t>
      </w:r>
    </w:p>
    <w:p w14:paraId="6EF93198">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六</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康复电子文书系统</w:t>
      </w:r>
    </w:p>
    <w:p w14:paraId="5D335F6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首次治疗记录、阶段治疗记录、治疗师查房记录、评估报告、交班记录等结构化编写功能。</w:t>
      </w:r>
    </w:p>
    <w:p w14:paraId="4912380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治疗记录模板自定义，治疗师</w:t>
      </w:r>
      <w:r>
        <w:rPr>
          <w:rFonts w:hint="eastAsia" w:ascii="宋体" w:hAnsi="宋体" w:eastAsia="宋体" w:cs="宋体"/>
          <w:bCs/>
          <w:color w:val="auto"/>
          <w:kern w:val="0"/>
          <w:sz w:val="24"/>
          <w:szCs w:val="24"/>
          <w:lang w:val="en-US" w:eastAsia="zh-CN"/>
        </w:rPr>
        <w:t>可</w:t>
      </w:r>
      <w:r>
        <w:rPr>
          <w:rFonts w:hint="eastAsia" w:ascii="宋体" w:hAnsi="宋体" w:eastAsia="宋体" w:cs="宋体"/>
          <w:bCs/>
          <w:color w:val="auto"/>
          <w:kern w:val="0"/>
          <w:sz w:val="24"/>
          <w:szCs w:val="24"/>
        </w:rPr>
        <w:t>快速录入。</w:t>
      </w:r>
    </w:p>
    <w:p w14:paraId="3CAC62C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治疗文书时间质控管理。</w:t>
      </w:r>
    </w:p>
    <w:p w14:paraId="6089EA4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治疗记录文书质量审核功能。</w:t>
      </w:r>
    </w:p>
    <w:p w14:paraId="78C981E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评估文书质量等级评分功能。</w:t>
      </w:r>
    </w:p>
    <w:p w14:paraId="571A6727">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6.</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通过时间轴的方式展示患者治疗全过程。</w:t>
      </w:r>
    </w:p>
    <w:p w14:paraId="4BCB67F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360视图，即:医嘱信息、护理信息、康复记录、评估结果信息在一个页面全可查阅。</w:t>
      </w:r>
    </w:p>
    <w:p w14:paraId="5BAD61A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康复标签自定义功能。</w:t>
      </w:r>
    </w:p>
    <w:p w14:paraId="2CF5D9B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医治护留言提醒功能。</w:t>
      </w:r>
    </w:p>
    <w:p w14:paraId="74F32B0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10.</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康复文书可上传集成到HIS。</w:t>
      </w:r>
    </w:p>
    <w:p w14:paraId="712CCA47">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七</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排班工作站</w:t>
      </w:r>
    </w:p>
    <w:p w14:paraId="5B697957">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根据治疗师、治疗设备、治疗区、治疗时间、患者多维度情况进行智能合理的排班安排。</w:t>
      </w:r>
    </w:p>
    <w:p w14:paraId="1B41B48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机动排班。</w:t>
      </w:r>
    </w:p>
    <w:p w14:paraId="1B02DAF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只有同步过来的医嘱才可排班模式，并</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大屏幕显示。</w:t>
      </w:r>
    </w:p>
    <w:p w14:paraId="56228C3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自定义治疗项目也可排班的模式，并</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大屏幕显示。</w:t>
      </w:r>
    </w:p>
    <w:p w14:paraId="17EF490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二维码或腕带等介质进行患者识别进行排队管理。</w:t>
      </w:r>
    </w:p>
    <w:p w14:paraId="41BA470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6.</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取消排队记录。</w:t>
      </w:r>
    </w:p>
    <w:p w14:paraId="4748E23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治疗师只能操作自己所辖的队列模式</w:t>
      </w:r>
    </w:p>
    <w:p w14:paraId="5740B95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治疗师能对所辖治疗区所有项目排班操作模式。</w:t>
      </w:r>
    </w:p>
    <w:p w14:paraId="6795A21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治疗排队管理功能。</w:t>
      </w:r>
    </w:p>
    <w:p w14:paraId="1ECCA07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10.</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排队信息大屏展示</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并兼容医院现有排队叫号显示屏</w:t>
      </w:r>
      <w:r>
        <w:rPr>
          <w:rFonts w:hint="eastAsia" w:ascii="宋体" w:hAnsi="宋体" w:eastAsia="宋体" w:cs="宋体"/>
          <w:bCs/>
          <w:color w:val="auto"/>
          <w:kern w:val="0"/>
          <w:sz w:val="24"/>
          <w:szCs w:val="24"/>
        </w:rPr>
        <w:t>。</w:t>
      </w:r>
    </w:p>
    <w:p w14:paraId="4CC563C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智能算法排班功能，并</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微调。</w:t>
      </w:r>
    </w:p>
    <w:p w14:paraId="103F2BE0">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八</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决策</w:t>
      </w:r>
      <w:r>
        <w:rPr>
          <w:rFonts w:hint="eastAsia" w:ascii="宋体" w:hAnsi="宋体" w:eastAsia="宋体" w:cs="宋体"/>
          <w:b/>
          <w:color w:val="auto"/>
          <w:kern w:val="0"/>
          <w:sz w:val="24"/>
          <w:szCs w:val="24"/>
          <w:lang w:eastAsia="zh-CN"/>
        </w:rPr>
        <w:t>提供</w:t>
      </w:r>
      <w:r>
        <w:rPr>
          <w:rFonts w:hint="eastAsia" w:ascii="宋体" w:hAnsi="宋体" w:eastAsia="宋体" w:cs="宋体"/>
          <w:b/>
          <w:color w:val="auto"/>
          <w:kern w:val="0"/>
          <w:sz w:val="24"/>
          <w:szCs w:val="24"/>
        </w:rPr>
        <w:t>工作站</w:t>
      </w:r>
    </w:p>
    <w:p w14:paraId="2799A6B1">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1.提供</w:t>
      </w:r>
      <w:r>
        <w:rPr>
          <w:rFonts w:hint="eastAsia" w:ascii="宋体" w:hAnsi="宋体" w:eastAsia="宋体" w:cs="宋体"/>
          <w:bCs/>
          <w:color w:val="auto"/>
          <w:kern w:val="0"/>
          <w:sz w:val="24"/>
          <w:szCs w:val="24"/>
        </w:rPr>
        <w:t>智能推荐评估方案，并允许调整。</w:t>
      </w:r>
    </w:p>
    <w:p w14:paraId="42FF7C4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2.提供</w:t>
      </w:r>
      <w:r>
        <w:rPr>
          <w:rFonts w:hint="eastAsia" w:ascii="宋体" w:hAnsi="宋体" w:eastAsia="宋体" w:cs="宋体"/>
          <w:bCs/>
          <w:color w:val="auto"/>
          <w:kern w:val="0"/>
          <w:sz w:val="24"/>
          <w:szCs w:val="24"/>
        </w:rPr>
        <w:t>智能推荐治疗方案，并允许调整。</w:t>
      </w:r>
    </w:p>
    <w:p w14:paraId="55D0567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3.提供</w:t>
      </w:r>
      <w:r>
        <w:rPr>
          <w:rFonts w:hint="eastAsia" w:ascii="宋体" w:hAnsi="宋体" w:eastAsia="宋体" w:cs="宋体"/>
          <w:bCs/>
          <w:color w:val="auto"/>
          <w:kern w:val="0"/>
          <w:sz w:val="24"/>
          <w:szCs w:val="24"/>
        </w:rPr>
        <w:t>自动干预模式，即可根据评估结果自动生成干预方案，每个干预方案包括方法名、目的、起始位置、训练动作、使用器材、注意事项，自带自动干预方案不少于80个（以GMFM-88量表为例提供产品现场演示）。</w:t>
      </w:r>
    </w:p>
    <w:p w14:paraId="79A2B851">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九</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家庭康复工作站</w:t>
      </w:r>
    </w:p>
    <w:p w14:paraId="4DBFAFC8">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rPr>
        <w:t>制定家庭训练方案。</w:t>
      </w:r>
    </w:p>
    <w:p w14:paraId="4D86BC0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rPr>
        <w:t>打印家庭训练方案。</w:t>
      </w:r>
    </w:p>
    <w:p w14:paraId="112FDA8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训练方案和随访绑定。</w:t>
      </w:r>
    </w:p>
    <w:p w14:paraId="0B0F28EE">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康复随访系统</w:t>
      </w:r>
    </w:p>
    <w:p w14:paraId="67E6D41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随访表单制定。</w:t>
      </w:r>
    </w:p>
    <w:p w14:paraId="124CE19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随访提醒通知。</w:t>
      </w:r>
    </w:p>
    <w:p w14:paraId="6E78954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设定下次随访时间。</w:t>
      </w:r>
    </w:p>
    <w:p w14:paraId="75636A4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随访内容模板制定。</w:t>
      </w:r>
    </w:p>
    <w:p w14:paraId="7CFE5518">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十一</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查询统计工作站</w:t>
      </w:r>
    </w:p>
    <w:p w14:paraId="3CCD8DE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1.提供</w:t>
      </w:r>
      <w:r>
        <w:rPr>
          <w:rFonts w:hint="eastAsia" w:ascii="宋体" w:hAnsi="宋体" w:eastAsia="宋体" w:cs="宋体"/>
          <w:bCs/>
          <w:color w:val="auto"/>
          <w:kern w:val="0"/>
          <w:sz w:val="24"/>
          <w:szCs w:val="24"/>
        </w:rPr>
        <w:t>科室的所有项目，</w:t>
      </w:r>
      <w:r>
        <w:rPr>
          <w:rFonts w:hint="eastAsia" w:ascii="宋体" w:hAnsi="宋体" w:eastAsia="宋体" w:cs="宋体"/>
          <w:bCs/>
          <w:color w:val="auto"/>
          <w:kern w:val="0"/>
          <w:sz w:val="24"/>
          <w:szCs w:val="24"/>
          <w:lang w:val="en-US" w:eastAsia="zh-CN"/>
        </w:rPr>
        <w:t>包含但不限于</w:t>
      </w:r>
      <w:r>
        <w:rPr>
          <w:rFonts w:hint="eastAsia" w:ascii="宋体" w:hAnsi="宋体" w:eastAsia="宋体" w:cs="宋体"/>
          <w:bCs/>
          <w:color w:val="auto"/>
          <w:kern w:val="0"/>
          <w:sz w:val="24"/>
          <w:szCs w:val="24"/>
        </w:rPr>
        <w:t>设备使用率、治疗人次、治疗费用、工作量统计、量表统计、绩效统计、患者治疗情况统计、以及患者请假与终止治疗情况统计。</w:t>
      </w:r>
    </w:p>
    <w:p w14:paraId="556F131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生成日报、周报、月报等。</w:t>
      </w:r>
    </w:p>
    <w:p w14:paraId="3212900F">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3.提供</w:t>
      </w:r>
      <w:r>
        <w:rPr>
          <w:rFonts w:hint="eastAsia" w:ascii="宋体" w:hAnsi="宋体" w:eastAsia="宋体" w:cs="宋体"/>
          <w:bCs/>
          <w:color w:val="auto"/>
          <w:kern w:val="0"/>
          <w:sz w:val="24"/>
          <w:szCs w:val="24"/>
        </w:rPr>
        <w:t>康复评定率、住院患者评估完成情况、住院患者评估超时完成情况等质控分析统计，并</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以图文形式展现。</w:t>
      </w:r>
    </w:p>
    <w:p w14:paraId="37408836">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十二</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专家知识库</w:t>
      </w:r>
    </w:p>
    <w:p w14:paraId="7EB7072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康复电子图书馆功能。</w:t>
      </w:r>
    </w:p>
    <w:p w14:paraId="2C84FCD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专家知识库文章阅读。</w:t>
      </w:r>
    </w:p>
    <w:p w14:paraId="29CDBBD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rPr>
        <w:t>通过评定结果查询治疗方案。</w:t>
      </w:r>
    </w:p>
    <w:p w14:paraId="670F37F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rPr>
        <w:t>提供康复相关技术教学视频。</w:t>
      </w:r>
    </w:p>
    <w:p w14:paraId="40A72991">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十三</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病例检索</w:t>
      </w:r>
    </w:p>
    <w:p w14:paraId="38D9E71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rPr>
        <w:t>根据患者提供快速的历次病历、评定量表、康复文书等资料检索。</w:t>
      </w:r>
    </w:p>
    <w:p w14:paraId="441939D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rPr>
        <w:t>根据病种</w:t>
      </w:r>
      <w:r>
        <w:rPr>
          <w:rFonts w:hint="eastAsia" w:ascii="宋体" w:hAnsi="宋体" w:eastAsia="宋体" w:cs="宋体"/>
          <w:bCs/>
          <w:color w:val="auto"/>
          <w:kern w:val="0"/>
          <w:sz w:val="24"/>
          <w:szCs w:val="24"/>
          <w:lang w:val="en-US" w:eastAsia="zh-CN"/>
        </w:rPr>
        <w:t>提供</w:t>
      </w:r>
      <w:r>
        <w:rPr>
          <w:rFonts w:hint="eastAsia" w:ascii="宋体" w:hAnsi="宋体" w:eastAsia="宋体" w:cs="宋体"/>
          <w:bCs/>
          <w:color w:val="auto"/>
          <w:kern w:val="0"/>
          <w:sz w:val="24"/>
          <w:szCs w:val="24"/>
        </w:rPr>
        <w:t>相关病历、治疗文书、评定量表检索及查询。</w:t>
      </w:r>
    </w:p>
    <w:p w14:paraId="504D49D5">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rPr>
        <w:t>根据评定量表</w:t>
      </w:r>
      <w:r>
        <w:rPr>
          <w:rFonts w:hint="eastAsia" w:ascii="宋体" w:hAnsi="宋体" w:eastAsia="宋体" w:cs="宋体"/>
          <w:bCs/>
          <w:color w:val="auto"/>
          <w:kern w:val="0"/>
          <w:sz w:val="24"/>
          <w:szCs w:val="24"/>
          <w:lang w:val="en-US" w:eastAsia="zh-CN"/>
        </w:rPr>
        <w:t>提供</w:t>
      </w:r>
      <w:r>
        <w:rPr>
          <w:rFonts w:hint="eastAsia" w:ascii="宋体" w:hAnsi="宋体" w:eastAsia="宋体" w:cs="宋体"/>
          <w:bCs/>
          <w:color w:val="auto"/>
          <w:kern w:val="0"/>
          <w:sz w:val="24"/>
          <w:szCs w:val="24"/>
        </w:rPr>
        <w:t>独立检索量表相关的使用记录。</w:t>
      </w:r>
    </w:p>
    <w:p w14:paraId="55971B9C">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不同患者同一量表进行对比；</w:t>
      </w:r>
    </w:p>
    <w:p w14:paraId="375254B9">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十四</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病历夹管理系统</w:t>
      </w:r>
    </w:p>
    <w:p w14:paraId="7C29BC4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治疗师对病人的治疗全过程管理和了解。</w:t>
      </w:r>
    </w:p>
    <w:p w14:paraId="04586B4E">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通过时间轴的方式展示患者治疗全过程。</w:t>
      </w:r>
    </w:p>
    <w:p w14:paraId="683E86FC">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十五</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康复看板系统</w:t>
      </w:r>
    </w:p>
    <w:p w14:paraId="0781047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通过看板了解患者的医嘱信息、护理信息、康复治疗信息。</w:t>
      </w:r>
    </w:p>
    <w:p w14:paraId="7330DC92">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根据患者情况增删康复标签。</w:t>
      </w:r>
    </w:p>
    <w:p w14:paraId="5DE3832C">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医治护留言功能，并能按时间顺序展示。</w:t>
      </w:r>
    </w:p>
    <w:p w14:paraId="63E4548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调取患者的评定量表及报告进行查阅。</w:t>
      </w:r>
    </w:p>
    <w:p w14:paraId="25A576B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eastAsia="zh-CN"/>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需要隔离或接触注意等患者，医、技、护三方即时有红色提醒</w:t>
      </w:r>
      <w:r>
        <w:rPr>
          <w:rFonts w:hint="eastAsia" w:ascii="宋体" w:hAnsi="宋体" w:eastAsia="宋体" w:cs="宋体"/>
          <w:bCs/>
          <w:color w:val="auto"/>
          <w:kern w:val="0"/>
          <w:sz w:val="24"/>
          <w:szCs w:val="24"/>
          <w:lang w:eastAsia="zh-CN"/>
        </w:rPr>
        <w:t>。</w:t>
      </w:r>
    </w:p>
    <w:p w14:paraId="21FC16A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eastAsia="zh-CN"/>
        </w:rPr>
      </w:pPr>
      <w:r>
        <w:rPr>
          <w:rFonts w:hint="eastAsia" w:ascii="宋体" w:hAnsi="宋体" w:eastAsia="宋体" w:cs="宋体"/>
          <w:bCs/>
          <w:color w:val="auto"/>
          <w:kern w:val="0"/>
          <w:sz w:val="24"/>
          <w:szCs w:val="24"/>
          <w:lang w:val="en-US" w:eastAsia="zh-CN"/>
        </w:rPr>
        <w:t>6.</w:t>
      </w:r>
      <w:r>
        <w:rPr>
          <w:rFonts w:hint="eastAsia" w:ascii="宋体" w:hAnsi="宋体" w:eastAsia="宋体" w:cs="宋体"/>
          <w:bCs/>
          <w:color w:val="auto"/>
          <w:kern w:val="0"/>
          <w:sz w:val="24"/>
          <w:szCs w:val="24"/>
        </w:rPr>
        <w:t>针对医护治的每日工作任务，提供待办任务提示及执行功能</w:t>
      </w:r>
      <w:r>
        <w:rPr>
          <w:rFonts w:hint="eastAsia" w:ascii="宋体" w:hAnsi="宋体" w:eastAsia="宋体" w:cs="宋体"/>
          <w:bCs/>
          <w:color w:val="auto"/>
          <w:kern w:val="0"/>
          <w:sz w:val="24"/>
          <w:szCs w:val="24"/>
          <w:lang w:eastAsia="zh-CN"/>
        </w:rPr>
        <w:t>。</w:t>
      </w:r>
    </w:p>
    <w:p w14:paraId="53E982FB">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7.</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查看治疗师每日排班情况</w:t>
      </w:r>
      <w:r>
        <w:rPr>
          <w:rFonts w:hint="eastAsia" w:ascii="宋体" w:hAnsi="宋体" w:eastAsia="宋体" w:cs="宋体"/>
          <w:bCs/>
          <w:color w:val="auto"/>
          <w:kern w:val="0"/>
          <w:sz w:val="24"/>
          <w:szCs w:val="24"/>
          <w:lang w:val="en-US" w:eastAsia="zh-CN"/>
        </w:rPr>
        <w:t>及</w:t>
      </w:r>
      <w:r>
        <w:rPr>
          <w:rFonts w:hint="eastAsia" w:ascii="宋体" w:hAnsi="宋体" w:eastAsia="宋体" w:cs="宋体"/>
          <w:bCs/>
          <w:color w:val="auto"/>
          <w:kern w:val="0"/>
          <w:sz w:val="24"/>
          <w:szCs w:val="24"/>
        </w:rPr>
        <w:t>当日的工作统计。</w:t>
      </w:r>
    </w:p>
    <w:p w14:paraId="0BC85450">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8.</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查看患者基本信息。</w:t>
      </w:r>
    </w:p>
    <w:p w14:paraId="5EEEE85E">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9.</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精确记录开始治疗时间、结束治疗的时间；</w:t>
      </w:r>
    </w:p>
    <w:p w14:paraId="403FC321">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十六</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康复OA系统</w:t>
      </w:r>
    </w:p>
    <w:p w14:paraId="7CC0A806">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1.</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医生、治疗师等医务人员实时沟通。</w:t>
      </w:r>
    </w:p>
    <w:p w14:paraId="0226DD6C">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2.</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自动生成团队会议参会成员的群组会话。</w:t>
      </w:r>
    </w:p>
    <w:p w14:paraId="6E54208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留言分紧急发送和一般发送。</w:t>
      </w:r>
    </w:p>
    <w:p w14:paraId="09536EF4">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4.</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电脑端和移动端消息互通。</w:t>
      </w:r>
    </w:p>
    <w:p w14:paraId="26AEDD9E">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lang w:val="en-US" w:eastAsia="zh-CN"/>
        </w:rPr>
        <w:t>5.</w:t>
      </w:r>
      <w:r>
        <w:rPr>
          <w:rFonts w:hint="eastAsia" w:ascii="宋体" w:hAnsi="宋体" w:eastAsia="宋体" w:cs="宋体"/>
          <w:bCs/>
          <w:color w:val="auto"/>
          <w:kern w:val="0"/>
          <w:sz w:val="24"/>
          <w:szCs w:val="24"/>
          <w:lang w:eastAsia="zh-CN"/>
        </w:rPr>
        <w:t>提供</w:t>
      </w:r>
      <w:r>
        <w:rPr>
          <w:rFonts w:hint="eastAsia" w:ascii="宋体" w:hAnsi="宋体" w:eastAsia="宋体" w:cs="宋体"/>
          <w:bCs/>
          <w:color w:val="auto"/>
          <w:kern w:val="0"/>
          <w:sz w:val="24"/>
          <w:szCs w:val="24"/>
        </w:rPr>
        <w:t>根据病种推荐预设方案、历史治疗方案、推荐方案。</w:t>
      </w:r>
    </w:p>
    <w:p w14:paraId="42E57016">
      <w:pPr>
        <w:keepNext w:val="0"/>
        <w:keepLines w:val="0"/>
        <w:pageBreakBefore w:val="0"/>
        <w:widowControl w:val="0"/>
        <w:kinsoku/>
        <w:wordWrap/>
        <w:overflowPunct/>
        <w:topLinePunct w:val="0"/>
        <w:autoSpaceDE/>
        <w:autoSpaceDN/>
        <w:bidi w:val="0"/>
        <w:adjustRightInd/>
        <w:snapToGrid/>
        <w:spacing w:line="430" w:lineRule="exact"/>
        <w:ind w:firstLine="482" w:firstLineChars="200"/>
        <w:textAlignment w:val="auto"/>
        <w:rPr>
          <w:rFonts w:hint="default" w:ascii="宋体" w:hAnsi="宋体" w:eastAsia="宋体" w:cs="宋体"/>
          <w:b/>
          <w:color w:val="auto"/>
          <w:kern w:val="0"/>
          <w:sz w:val="24"/>
          <w:szCs w:val="24"/>
          <w:lang w:val="en-US" w:eastAsia="zh-CN"/>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十七</w:t>
      </w: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lang w:val="en-US" w:eastAsia="zh-CN"/>
        </w:rPr>
        <w:t>接口对接</w:t>
      </w:r>
    </w:p>
    <w:p w14:paraId="6539773D">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val="en-US" w:eastAsia="zh-CN"/>
        </w:rPr>
      </w:pPr>
      <w:r>
        <w:rPr>
          <w:rFonts w:hint="eastAsia" w:ascii="宋体" w:hAnsi="宋体" w:eastAsia="宋体" w:cs="宋体"/>
          <w:bCs/>
          <w:color w:val="auto"/>
          <w:kern w:val="0"/>
          <w:sz w:val="24"/>
          <w:szCs w:val="24"/>
          <w:lang w:val="en-US" w:eastAsia="zh-CN"/>
        </w:rPr>
        <w:t>1.与医院HIS系统进行接口对接，通过医院集成平台与院内HIS系统对接。</w:t>
      </w:r>
    </w:p>
    <w:p w14:paraId="62732D9A">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val="en-US" w:eastAsia="zh-CN"/>
        </w:rPr>
      </w:pPr>
      <w:r>
        <w:rPr>
          <w:rFonts w:hint="eastAsia" w:ascii="宋体" w:hAnsi="宋体" w:eastAsia="宋体" w:cs="宋体"/>
          <w:bCs/>
          <w:color w:val="auto"/>
          <w:kern w:val="0"/>
          <w:sz w:val="24"/>
          <w:szCs w:val="24"/>
          <w:lang w:val="en-US" w:eastAsia="zh-CN"/>
        </w:rPr>
        <w:t>2.文书进行CA数字签名，对接医院的归档系统管理系统。</w:t>
      </w:r>
    </w:p>
    <w:p w14:paraId="29A24589">
      <w:pPr>
        <w:keepNext w:val="0"/>
        <w:keepLines w:val="0"/>
        <w:pageBreakBefore w:val="0"/>
        <w:widowControl w:val="0"/>
        <w:kinsoku/>
        <w:wordWrap/>
        <w:overflowPunct/>
        <w:topLinePunct w:val="0"/>
        <w:autoSpaceDE/>
        <w:autoSpaceDN/>
        <w:bidi w:val="0"/>
        <w:adjustRightInd/>
        <w:snapToGrid/>
        <w:spacing w:line="430" w:lineRule="exact"/>
        <w:ind w:firstLine="480" w:firstLineChars="200"/>
        <w:textAlignment w:val="auto"/>
        <w:rPr>
          <w:rFonts w:hint="eastAsia" w:ascii="宋体" w:hAnsi="宋体" w:eastAsia="宋体" w:cs="宋体"/>
          <w:bCs/>
          <w:color w:val="auto"/>
          <w:kern w:val="0"/>
          <w:sz w:val="24"/>
          <w:szCs w:val="24"/>
          <w:lang w:val="en-US" w:eastAsia="zh-CN"/>
        </w:rPr>
      </w:pPr>
      <w:r>
        <w:rPr>
          <w:rFonts w:hint="eastAsia" w:ascii="宋体" w:hAnsi="宋体" w:eastAsia="宋体" w:cs="宋体"/>
          <w:bCs/>
          <w:color w:val="auto"/>
          <w:kern w:val="0"/>
          <w:sz w:val="24"/>
          <w:szCs w:val="24"/>
          <w:lang w:val="en-US" w:eastAsia="zh-CN"/>
        </w:rPr>
        <w:t>3.连接单点登录系统。</w:t>
      </w:r>
    </w:p>
    <w:p w14:paraId="7D9C5DB0">
      <w:pPr>
        <w:pStyle w:val="12"/>
        <w:keepNext w:val="0"/>
        <w:keepLines w:val="0"/>
        <w:pageBreakBefore w:val="0"/>
        <w:tabs>
          <w:tab w:val="right" w:leader="dot" w:pos="9117"/>
        </w:tabs>
        <w:kinsoku/>
        <w:wordWrap/>
        <w:overflowPunct/>
        <w:topLinePunct w:val="0"/>
        <w:autoSpaceDE/>
        <w:autoSpaceDN/>
        <w:bidi w:val="0"/>
        <w:adjustRightInd/>
        <w:snapToGrid/>
        <w:spacing w:line="480" w:lineRule="exact"/>
        <w:ind w:firstLine="482" w:firstLineChars="200"/>
        <w:textAlignment w:val="auto"/>
        <w:rPr>
          <w:rFonts w:hint="eastAsia" w:ascii="宋体" w:hAnsi="宋体" w:cs="宋体"/>
          <w:color w:val="auto"/>
          <w:sz w:val="24"/>
          <w:szCs w:val="24"/>
        </w:rPr>
      </w:pPr>
      <w:r>
        <w:rPr>
          <w:rStyle w:val="21"/>
          <w:rFonts w:hint="eastAsia" w:ascii="宋体" w:hAnsi="宋体" w:cs="宋体"/>
          <w:color w:val="000000" w:themeColor="text1"/>
          <w:sz w:val="24"/>
          <w:szCs w:val="24"/>
          <w:lang w:val="en-US" w:eastAsia="zh-CN"/>
          <w14:textFill>
            <w14:solidFill>
              <w14:schemeClr w14:val="tx1"/>
            </w14:solidFill>
          </w14:textFill>
        </w:rPr>
        <w:t>五</w:t>
      </w:r>
      <w:r>
        <w:rPr>
          <w:rStyle w:val="21"/>
          <w:rFonts w:hint="default" w:ascii="宋体" w:hAnsi="宋体" w:cs="宋体"/>
          <w:color w:val="000000" w:themeColor="text1"/>
          <w:sz w:val="24"/>
          <w:szCs w:val="24"/>
          <w14:textFill>
            <w14:solidFill>
              <w14:schemeClr w14:val="tx1"/>
            </w14:solidFill>
          </w14:textFill>
        </w:rPr>
        <w:t>、商务要求</w:t>
      </w:r>
    </w:p>
    <w:p w14:paraId="2C9F6E3C">
      <w:pPr>
        <w:pStyle w:val="12"/>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rPr>
        <w:t>（一）</w:t>
      </w:r>
      <w:r>
        <w:rPr>
          <w:rFonts w:hint="eastAsia" w:ascii="宋体" w:hAnsi="宋体" w:cs="宋体"/>
          <w:color w:val="auto"/>
          <w:sz w:val="24"/>
          <w:szCs w:val="24"/>
          <w:lang w:val="en-US" w:eastAsia="zh-CN"/>
        </w:rPr>
        <w:t>报价要求</w:t>
      </w:r>
    </w:p>
    <w:p w14:paraId="4D6618DD">
      <w:pPr>
        <w:pStyle w:val="12"/>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1.本项目为人民币报价，响应供应商须一次报出不得更改的价格。</w:t>
      </w:r>
    </w:p>
    <w:p w14:paraId="66072989">
      <w:pPr>
        <w:pStyle w:val="12"/>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 xml:space="preserve">2.报价为综合包干价，包含但不限于服务费、人工费、税费、售后服务费以及虽未载明但为完成本项目所必须的全部工作所有费用的总和，因成交供应商自身原因造成漏报、少报皆由其自行承担责任，采购人不再补偿。 </w:t>
      </w:r>
    </w:p>
    <w:p w14:paraId="499E07F3">
      <w:pPr>
        <w:pStyle w:val="12"/>
        <w:keepNext w:val="0"/>
        <w:keepLines w:val="0"/>
        <w:pageBreakBefore w:val="0"/>
        <w:tabs>
          <w:tab w:val="right" w:leader="dot" w:pos="9117"/>
        </w:tabs>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3.报价包含必须包含与HIS系统、智慧医院系统等系统产生需支付给第三方公司的对接费用，采购人不再支付额外费用。</w:t>
      </w:r>
    </w:p>
    <w:p w14:paraId="10410DE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（二）实施地点、时间、验收方式及验收标准</w:t>
      </w:r>
    </w:p>
    <w:p w14:paraId="36CB1634">
      <w:pPr>
        <w:pStyle w:val="7"/>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1.实施</w:t>
      </w:r>
      <w:r>
        <w:rPr>
          <w:rFonts w:hint="eastAsia" w:ascii="宋体" w:hAnsi="宋体" w:eastAsia="宋体" w:cs="宋体"/>
          <w:color w:val="auto"/>
          <w:sz w:val="24"/>
          <w:szCs w:val="24"/>
        </w:rPr>
        <w:t>地点：采购人指定地点。</w:t>
      </w:r>
    </w:p>
    <w:p w14:paraId="228B00D3">
      <w:pPr>
        <w:pStyle w:val="7"/>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实施时间：合同签订后</w:t>
      </w:r>
      <w:r>
        <w:rPr>
          <w:rFonts w:hint="eastAsia" w:ascii="宋体" w:hAnsi="宋体" w:eastAsia="宋体" w:cs="宋体"/>
          <w:b/>
          <w:bCs/>
          <w:color w:val="auto"/>
          <w:sz w:val="24"/>
          <w:szCs w:val="24"/>
          <w:highlight w:val="none"/>
          <w:u w:val="single"/>
          <w:lang w:val="en-US" w:eastAsia="zh-CN"/>
        </w:rPr>
        <w:t xml:space="preserve">3个 </w:t>
      </w:r>
      <w:r>
        <w:rPr>
          <w:rFonts w:hint="eastAsia" w:ascii="宋体" w:hAnsi="宋体" w:eastAsia="宋体" w:cs="宋体"/>
          <w:color w:val="auto"/>
          <w:sz w:val="24"/>
          <w:szCs w:val="24"/>
          <w:highlight w:val="none"/>
        </w:rPr>
        <w:t>工作日内提供入场服务</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u w:val="single"/>
          <w:lang w:val="en-US" w:eastAsia="zh-CN"/>
        </w:rPr>
        <w:t>90个</w:t>
      </w:r>
      <w:r>
        <w:rPr>
          <w:rFonts w:hint="eastAsia" w:ascii="宋体" w:hAnsi="宋体" w:eastAsia="宋体" w:cs="宋体"/>
          <w:color w:val="auto"/>
          <w:sz w:val="24"/>
          <w:szCs w:val="24"/>
          <w:highlight w:val="none"/>
          <w:lang w:val="en-US" w:eastAsia="zh-CN"/>
        </w:rPr>
        <w:t>日历</w:t>
      </w:r>
      <w:r>
        <w:rPr>
          <w:rFonts w:hint="eastAsia" w:ascii="宋体" w:hAnsi="宋体" w:eastAsia="宋体" w:cs="宋体"/>
          <w:color w:val="auto"/>
          <w:sz w:val="24"/>
          <w:szCs w:val="24"/>
          <w:lang w:val="en-US" w:eastAsia="zh-CN"/>
        </w:rPr>
        <w:t>日</w:t>
      </w:r>
      <w:r>
        <w:rPr>
          <w:rFonts w:hint="eastAsia" w:ascii="宋体" w:hAnsi="宋体" w:eastAsia="宋体" w:cs="宋体"/>
          <w:color w:val="auto"/>
          <w:sz w:val="24"/>
          <w:szCs w:val="24"/>
        </w:rPr>
        <w:t>内</w:t>
      </w:r>
      <w:r>
        <w:rPr>
          <w:rFonts w:hint="eastAsia" w:ascii="宋体" w:hAnsi="宋体" w:eastAsia="宋体" w:cs="宋体"/>
          <w:color w:val="auto"/>
          <w:sz w:val="24"/>
          <w:szCs w:val="24"/>
          <w:lang w:val="en-US" w:eastAsia="zh-CN"/>
        </w:rPr>
        <w:t>完成系统上线</w:t>
      </w:r>
      <w:r>
        <w:rPr>
          <w:rFonts w:hint="eastAsia" w:ascii="宋体" w:hAnsi="宋体" w:eastAsia="宋体" w:cs="宋体"/>
          <w:color w:val="auto"/>
          <w:sz w:val="24"/>
          <w:szCs w:val="24"/>
        </w:rPr>
        <w:t>。</w:t>
      </w:r>
    </w:p>
    <w:p w14:paraId="1051C543">
      <w:pPr>
        <w:pStyle w:val="7"/>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验收标准：</w:t>
      </w:r>
    </w:p>
    <w:p w14:paraId="79484E54">
      <w:pPr>
        <w:pStyle w:val="1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（1）上线试运行</w:t>
      </w:r>
    </w:p>
    <w:p w14:paraId="577AA345">
      <w:pPr>
        <w:pStyle w:val="16"/>
        <w:keepNext w:val="0"/>
        <w:keepLines w:val="0"/>
        <w:pageBreakBefore w:val="0"/>
        <w:widowControl w:val="0"/>
        <w:kinsoku/>
        <w:wordWrap/>
        <w:overflowPunct/>
        <w:topLinePunct w:val="0"/>
        <w:autoSpaceDE/>
        <w:autoSpaceDN/>
        <w:bidi w:val="0"/>
        <w:spacing w:line="40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SA"/>
        </w:rPr>
        <w:t>当满足月以下条件时，采购人才向成交供应商签发上线是运行合格通知书：</w:t>
      </w:r>
    </w:p>
    <w:p w14:paraId="34420190">
      <w:pPr>
        <w:pStyle w:val="1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1）成交供应商在接到成交通知后3个工作日内，向采购人提供系统部署需求；</w:t>
      </w:r>
    </w:p>
    <w:p w14:paraId="168E7817">
      <w:pPr>
        <w:pStyle w:val="1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2）成交供应商应在合同签订后，正式入场实施，进行系统部署、调试，并达到响应文件所应答状态；</w:t>
      </w:r>
    </w:p>
    <w:p w14:paraId="3EA9AF52">
      <w:pPr>
        <w:pStyle w:val="16"/>
        <w:keepNext w:val="0"/>
        <w:keepLines w:val="0"/>
        <w:pageBreakBefore w:val="0"/>
        <w:widowControl w:val="0"/>
        <w:kinsoku/>
        <w:wordWrap/>
        <w:overflowPunct/>
        <w:topLinePunct w:val="0"/>
        <w:autoSpaceDE/>
        <w:autoSpaceDN/>
        <w:bidi w:val="0"/>
        <w:spacing w:line="40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3）成交供应商按照采购合同中规定的技术要求完成系统的安装调试工作，经采购人使用部门测试合格，使用培训完毕后。系统开始正常试运行，签署上线试运行合格通知书。</w:t>
      </w:r>
    </w:p>
    <w:p w14:paraId="331193EB">
      <w:pPr>
        <w:pStyle w:val="16"/>
        <w:keepNext w:val="0"/>
        <w:keepLines w:val="0"/>
        <w:pageBreakBefore w:val="0"/>
        <w:widowControl w:val="0"/>
        <w:kinsoku/>
        <w:wordWrap/>
        <w:overflowPunct/>
        <w:topLinePunct w:val="0"/>
        <w:autoSpaceDE/>
        <w:autoSpaceDN/>
        <w:bidi w:val="0"/>
        <w:spacing w:line="40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（2）最终验收</w:t>
      </w:r>
    </w:p>
    <w:p w14:paraId="76559541">
      <w:pPr>
        <w:pStyle w:val="16"/>
        <w:keepNext w:val="0"/>
        <w:keepLines w:val="0"/>
        <w:pageBreakBefore w:val="0"/>
        <w:widowControl w:val="0"/>
        <w:kinsoku/>
        <w:wordWrap/>
        <w:overflowPunct/>
        <w:topLinePunct w:val="0"/>
        <w:autoSpaceDE/>
        <w:autoSpaceDN/>
        <w:bidi w:val="0"/>
        <w:spacing w:line="40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w:t>
      </w:r>
      <w:r>
        <w:rPr>
          <w:rFonts w:hint="eastAsia" w:ascii="宋体" w:hAnsi="宋体" w:eastAsia="宋体" w:cs="宋体"/>
          <w:b/>
          <w:bCs/>
          <w:color w:val="auto"/>
          <w:kern w:val="2"/>
          <w:sz w:val="24"/>
          <w:szCs w:val="24"/>
          <w:lang w:val="en-US" w:eastAsia="zh-CN" w:bidi="ar-SA"/>
        </w:rPr>
        <w:t>系统正常试运行3个月后</w:t>
      </w:r>
      <w:r>
        <w:rPr>
          <w:rFonts w:hint="eastAsia" w:ascii="宋体" w:hAnsi="宋体" w:eastAsia="宋体" w:cs="宋体"/>
          <w:color w:val="auto"/>
          <w:kern w:val="2"/>
          <w:sz w:val="24"/>
          <w:szCs w:val="24"/>
          <w:lang w:val="en-US" w:eastAsia="zh-CN" w:bidi="ar-SA"/>
        </w:rPr>
        <w:t>，成交供应商向采购人提出项目终验申请，经采购人</w:t>
      </w:r>
      <w:r>
        <w:rPr>
          <w:rFonts w:hint="eastAsia" w:ascii="Times New Roman" w:hAnsi="Times New Roman" w:eastAsia="宋体" w:cs="Times New Roman"/>
          <w:kern w:val="2"/>
          <w:sz w:val="24"/>
          <w:szCs w:val="24"/>
          <w:lang w:val="en-US" w:eastAsia="zh-CN" w:bidi="ar-SA"/>
        </w:rPr>
        <w:t>考评</w:t>
      </w:r>
      <w:r>
        <w:rPr>
          <w:rFonts w:hint="eastAsia" w:ascii="宋体" w:hAnsi="宋体" w:eastAsia="宋体" w:cs="宋体"/>
          <w:color w:val="auto"/>
          <w:kern w:val="2"/>
          <w:sz w:val="24"/>
          <w:szCs w:val="24"/>
          <w:lang w:val="en-US" w:eastAsia="zh-CN" w:bidi="ar-SA"/>
        </w:rPr>
        <w:t>验收合格后，向成交供应商签发最终验收报告，软件产品进入质保期；</w:t>
      </w:r>
    </w:p>
    <w:p w14:paraId="3730A3FE">
      <w:pPr>
        <w:pStyle w:val="15"/>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2）成交供应商在终验前，应提供系统安装部署和操作说明；</w:t>
      </w:r>
    </w:p>
    <w:p w14:paraId="5155597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eastAsia="宋体" w:cs="宋体"/>
          <w:color w:val="auto"/>
          <w:kern w:val="2"/>
          <w:sz w:val="24"/>
          <w:szCs w:val="24"/>
          <w:lang w:val="en-US" w:eastAsia="zh-CN" w:bidi="ar-SA"/>
        </w:rPr>
        <w:t>3）成交供应商提供的系统未达到招标文件规定要求，且对采购人造成损失的，由成交供应商承担一切责任，并赔偿所造成的损失；采购人发现所提供的系统与招标文件要求内容（包括功能模块、技术参数等）不相符，采购人可无条件退货并追究成交供应商违约责任。</w:t>
      </w:r>
    </w:p>
    <w:p w14:paraId="7646768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（三）质保期、安装测试及售后服务要求</w:t>
      </w:r>
    </w:p>
    <w:p w14:paraId="6CA27F14">
      <w:pPr>
        <w:pStyle w:val="7"/>
        <w:keepNext w:val="0"/>
        <w:keepLines w:val="0"/>
        <w:pageBreakBefore w:val="0"/>
        <w:widowControl w:val="0"/>
        <w:kinsoku/>
        <w:wordWrap/>
        <w:overflowPunct/>
        <w:topLinePunct w:val="0"/>
        <w:autoSpaceDE/>
        <w:autoSpaceDN/>
        <w:bidi w:val="0"/>
        <w:adjustRightInd/>
        <w:spacing w:line="400" w:lineRule="exact"/>
        <w:ind w:firstLine="482" w:firstLineChars="2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1.质保</w:t>
      </w:r>
      <w:r>
        <w:rPr>
          <w:rFonts w:hint="eastAsia" w:ascii="宋体" w:hAnsi="宋体" w:eastAsia="宋体" w:cs="宋体"/>
          <w:b/>
          <w:bCs/>
          <w:color w:val="auto"/>
          <w:sz w:val="24"/>
          <w:szCs w:val="24"/>
        </w:rPr>
        <w:t>期</w:t>
      </w:r>
    </w:p>
    <w:p w14:paraId="3A2466A8">
      <w:pPr>
        <w:pStyle w:val="7"/>
        <w:keepNext w:val="0"/>
        <w:keepLines w:val="0"/>
        <w:pageBreakBefore w:val="0"/>
        <w:widowControl w:val="0"/>
        <w:kinsoku/>
        <w:wordWrap/>
        <w:overflowPunct/>
        <w:topLinePunct w:val="0"/>
        <w:autoSpaceDE/>
        <w:autoSpaceDN/>
        <w:bidi w:val="0"/>
        <w:adjustRightInd/>
        <w:spacing w:line="400" w:lineRule="exact"/>
        <w:ind w:firstLine="480" w:firstLineChars="200"/>
        <w:jc w:val="both"/>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自</w:t>
      </w:r>
      <w:r>
        <w:rPr>
          <w:rFonts w:hint="eastAsia" w:ascii="宋体" w:hAnsi="宋体" w:eastAsia="宋体" w:cs="宋体"/>
          <w:color w:val="auto"/>
          <w:sz w:val="24"/>
          <w:szCs w:val="24"/>
          <w:lang w:val="en-US" w:eastAsia="zh-CN"/>
        </w:rPr>
        <w:t>项目最终验收</w:t>
      </w:r>
      <w:r>
        <w:rPr>
          <w:rFonts w:hint="eastAsia" w:ascii="宋体" w:hAnsi="宋体" w:eastAsia="宋体" w:cs="宋体"/>
          <w:color w:val="auto"/>
          <w:sz w:val="24"/>
          <w:szCs w:val="24"/>
        </w:rPr>
        <w:t>之日起</w:t>
      </w:r>
      <w:r>
        <w:rPr>
          <w:rFonts w:hint="eastAsia" w:ascii="宋体" w:hAnsi="宋体" w:eastAsia="宋体" w:cs="宋体"/>
          <w:b/>
          <w:bCs w:val="0"/>
          <w:color w:val="auto"/>
          <w:sz w:val="24"/>
          <w:szCs w:val="24"/>
          <w:highlight w:val="none"/>
          <w:u w:val="single"/>
          <w:lang w:val="en-US" w:eastAsia="zh-CN"/>
        </w:rPr>
        <w:t xml:space="preserve"> 三 </w:t>
      </w:r>
      <w:r>
        <w:rPr>
          <w:rFonts w:hint="eastAsia" w:ascii="宋体" w:hAnsi="宋体" w:eastAsia="宋体" w:cs="宋体"/>
          <w:b/>
          <w:bCs w:val="0"/>
          <w:color w:val="auto"/>
          <w:sz w:val="24"/>
          <w:szCs w:val="24"/>
          <w:highlight w:val="none"/>
          <w:u w:val="none"/>
          <w:lang w:val="en-US" w:eastAsia="zh-CN"/>
        </w:rPr>
        <w:t xml:space="preserve"> 年</w:t>
      </w:r>
      <w:r>
        <w:rPr>
          <w:rFonts w:hint="eastAsia" w:ascii="宋体" w:hAnsi="宋体" w:eastAsia="宋体" w:cs="宋体"/>
          <w:color w:val="auto"/>
          <w:sz w:val="24"/>
          <w:szCs w:val="24"/>
          <w:u w:val="none"/>
          <w:lang w:eastAsia="zh-CN"/>
        </w:rPr>
        <w:t>。</w:t>
      </w:r>
    </w:p>
    <w:p w14:paraId="6AC12FE8">
      <w:pPr>
        <w:pStyle w:val="7"/>
        <w:keepNext w:val="0"/>
        <w:keepLines w:val="0"/>
        <w:pageBreakBefore w:val="0"/>
        <w:widowControl w:val="0"/>
        <w:numPr>
          <w:ilvl w:val="0"/>
          <w:numId w:val="0"/>
        </w:numPr>
        <w:kinsoku/>
        <w:wordWrap/>
        <w:overflowPunct/>
        <w:topLinePunct w:val="0"/>
        <w:autoSpaceDE/>
        <w:autoSpaceDN/>
        <w:bidi w:val="0"/>
        <w:adjustRightInd/>
        <w:spacing w:line="400" w:lineRule="exact"/>
        <w:ind w:firstLine="482"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2.安装测试要求</w:t>
      </w:r>
    </w:p>
    <w:p w14:paraId="0EFBA560">
      <w:pPr>
        <w:pStyle w:val="7"/>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（1）成交供应商应派遣有经验的技术人员组成的工作小组到现场实施技术服务，包括软件安装、测试等技术服务、培训服务。</w:t>
      </w:r>
    </w:p>
    <w:p w14:paraId="283F4C5C">
      <w:pPr>
        <w:pStyle w:val="7"/>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（2）在安装之前，应先进行培训，开始安装时，须让有关人员参与安装、检测和排除故障。</w:t>
      </w:r>
    </w:p>
    <w:p w14:paraId="4C44D030">
      <w:pPr>
        <w:pStyle w:val="7"/>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（3）调试工作完成后，成交供应商应提供咨询与技术支持工作，及时将其所发现并掌握的软件的操作、故障检测、故障排除方法通知。</w:t>
      </w:r>
    </w:p>
    <w:p w14:paraId="4D46A837">
      <w:pPr>
        <w:pStyle w:val="7"/>
        <w:keepNext w:val="0"/>
        <w:keepLines w:val="0"/>
        <w:pageBreakBefore w:val="0"/>
        <w:widowControl w:val="0"/>
        <w:numPr>
          <w:ilvl w:val="0"/>
          <w:numId w:val="0"/>
        </w:numPr>
        <w:kinsoku/>
        <w:wordWrap/>
        <w:overflowPunct/>
        <w:topLinePunct w:val="0"/>
        <w:autoSpaceDE/>
        <w:autoSpaceDN/>
        <w:bidi w:val="0"/>
        <w:adjustRightInd/>
        <w:spacing w:line="400" w:lineRule="exact"/>
        <w:ind w:firstLine="482" w:firstLineChars="200"/>
        <w:jc w:val="both"/>
        <w:textAlignment w:val="auto"/>
        <w:rPr>
          <w:rFonts w:hint="eastAsia" w:ascii="宋体" w:hAnsi="宋体" w:eastAsia="宋体" w:cs="宋体"/>
          <w:b/>
          <w:bCs/>
          <w:color w:val="auto"/>
          <w:sz w:val="24"/>
          <w:szCs w:val="24"/>
        </w:rPr>
      </w:pPr>
      <w:r>
        <w:rPr>
          <w:rFonts w:hint="eastAsia" w:ascii="宋体" w:hAnsi="宋体" w:eastAsia="宋体" w:cs="宋体"/>
          <w:b/>
          <w:bCs/>
          <w:color w:val="auto"/>
          <w:kern w:val="2"/>
          <w:sz w:val="24"/>
          <w:szCs w:val="24"/>
          <w:lang w:val="en-US" w:eastAsia="zh-CN" w:bidi="ar-SA"/>
        </w:rPr>
        <w:t>3.</w:t>
      </w:r>
      <w:r>
        <w:rPr>
          <w:rFonts w:hint="eastAsia" w:ascii="宋体" w:hAnsi="宋体" w:eastAsia="宋体" w:cs="宋体"/>
          <w:b/>
          <w:bCs/>
          <w:color w:val="auto"/>
          <w:sz w:val="24"/>
          <w:szCs w:val="24"/>
        </w:rPr>
        <w:t>售后服务要求</w:t>
      </w:r>
    </w:p>
    <w:p w14:paraId="4BD02AEB">
      <w:pPr>
        <w:keepNext w:val="0"/>
        <w:keepLines w:val="0"/>
        <w:pageBreakBefore w:val="0"/>
        <w:widowControl w:val="0"/>
        <w:numPr>
          <w:ilvl w:val="0"/>
          <w:numId w:val="0"/>
        </w:numPr>
        <w:kinsoku/>
        <w:wordWrap/>
        <w:overflowPunct/>
        <w:topLinePunct w:val="0"/>
        <w:autoSpaceDE/>
        <w:autoSpaceDN/>
        <w:bidi w:val="0"/>
        <w:adjustRightInd/>
        <w:spacing w:line="400" w:lineRule="exact"/>
        <w:ind w:leftChars="0"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（1）质保期内，</w:t>
      </w:r>
      <w:r>
        <w:rPr>
          <w:rFonts w:hint="eastAsia" w:ascii="宋体" w:hAnsi="宋体" w:eastAsia="宋体" w:cs="宋体"/>
          <w:bCs/>
          <w:color w:val="auto"/>
          <w:kern w:val="0"/>
          <w:sz w:val="24"/>
          <w:szCs w:val="24"/>
        </w:rPr>
        <w:t>投标人</w:t>
      </w:r>
      <w:r>
        <w:rPr>
          <w:rFonts w:hint="eastAsia" w:ascii="宋体" w:hAnsi="宋体" w:eastAsia="宋体" w:cs="宋体"/>
          <w:bCs/>
          <w:color w:val="auto"/>
          <w:sz w:val="24"/>
          <w:szCs w:val="24"/>
          <w:lang w:val="en-US" w:eastAsia="zh-CN"/>
        </w:rPr>
        <w:t>提供</w:t>
      </w:r>
      <w:r>
        <w:rPr>
          <w:rFonts w:hint="eastAsia" w:ascii="宋体" w:hAnsi="宋体" w:eastAsia="宋体" w:cs="宋体"/>
          <w:bCs/>
          <w:color w:val="auto"/>
          <w:kern w:val="0"/>
          <w:sz w:val="24"/>
          <w:szCs w:val="24"/>
        </w:rPr>
        <w:t>7</w:t>
      </w:r>
      <w:r>
        <w:rPr>
          <w:rFonts w:hint="eastAsia" w:ascii="宋体" w:hAnsi="宋体" w:eastAsia="宋体" w:cs="宋体"/>
          <w:bCs/>
          <w:color w:val="auto"/>
          <w:kern w:val="0"/>
          <w:sz w:val="24"/>
          <w:szCs w:val="24"/>
          <w:lang w:val="en-US" w:eastAsia="zh-CN"/>
        </w:rPr>
        <w:t>×</w:t>
      </w:r>
      <w:r>
        <w:rPr>
          <w:rFonts w:hint="eastAsia" w:ascii="宋体" w:hAnsi="宋体" w:eastAsia="宋体" w:cs="宋体"/>
          <w:bCs/>
          <w:color w:val="auto"/>
          <w:kern w:val="0"/>
          <w:sz w:val="24"/>
          <w:szCs w:val="24"/>
        </w:rPr>
        <w:t>24小时的服务响应</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sz w:val="24"/>
          <w:szCs w:val="24"/>
          <w:lang w:val="en-US" w:eastAsia="zh-CN"/>
        </w:rPr>
        <w:t>系统发生任何问题成交供应商均应提供相应的维修、维护服务，成交供应商应提供专门的技术热线支持；对于电话热线或远程无法解决的问题，成交供应商根据具体情况派出具有专业资质的工作人员4小时内到现场进行解决，若未及时提供解决方案，则影响最终验收以及尾款支付，若发生安全事故，采购人有权终止合同，同时不支付剩余款项，且由此给采购人造成的损失全部由供应商负责并进行赔偿。</w:t>
      </w:r>
    </w:p>
    <w:p w14:paraId="6CD2A94D">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bCs/>
          <w:color w:val="auto"/>
          <w:kern w:val="0"/>
          <w:sz w:val="24"/>
          <w:szCs w:val="24"/>
        </w:rPr>
      </w:pPr>
      <w:r>
        <w:rPr>
          <w:rFonts w:hint="eastAsia" w:ascii="宋体" w:hAnsi="宋体" w:eastAsia="宋体" w:cs="宋体"/>
          <w:bCs/>
          <w:color w:val="auto"/>
          <w:sz w:val="24"/>
          <w:szCs w:val="24"/>
          <w:lang w:val="en-US" w:eastAsia="zh-CN"/>
        </w:rPr>
        <w:t>（2）质保期内</w:t>
      </w:r>
      <w:r>
        <w:rPr>
          <w:rFonts w:hint="eastAsia" w:ascii="宋体" w:hAnsi="宋体" w:eastAsia="宋体" w:cs="宋体"/>
          <w:bCs/>
          <w:color w:val="auto"/>
          <w:kern w:val="0"/>
          <w:sz w:val="24"/>
          <w:szCs w:val="24"/>
        </w:rPr>
        <w:t>，投标人必须派遣专业工程师专职跟进和维护。定期对系统进行巡检，保证系统在最优化的状态下稳定运行。</w:t>
      </w:r>
    </w:p>
    <w:p w14:paraId="654C58ED">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lang w:val="en-US" w:eastAsia="zh-CN"/>
        </w:rPr>
        <w:t>3</w:t>
      </w:r>
      <w:r>
        <w:rPr>
          <w:rFonts w:hint="eastAsia" w:ascii="宋体" w:hAnsi="宋体" w:eastAsia="宋体" w:cs="宋体"/>
          <w:bCs/>
          <w:color w:val="auto"/>
          <w:kern w:val="0"/>
          <w:sz w:val="24"/>
          <w:szCs w:val="24"/>
          <w:lang w:eastAsia="zh-CN"/>
        </w:rPr>
        <w:t>）</w:t>
      </w:r>
      <w:r>
        <w:rPr>
          <w:rFonts w:hint="eastAsia" w:ascii="宋体" w:hAnsi="宋体" w:eastAsia="宋体" w:cs="宋体"/>
          <w:bCs/>
          <w:color w:val="auto"/>
          <w:kern w:val="0"/>
          <w:sz w:val="24"/>
          <w:szCs w:val="24"/>
        </w:rPr>
        <w:t>在服务期内,投标人需提供系统所有最新版本的免费升级,保证系统的稳定性，优化各服务终端使用场景。</w:t>
      </w:r>
    </w:p>
    <w:p w14:paraId="274BD2C1">
      <w:pPr>
        <w:keepNext w:val="0"/>
        <w:keepLines w:val="0"/>
        <w:pageBreakBefore w:val="0"/>
        <w:widowControl w:val="0"/>
        <w:numPr>
          <w:ilvl w:val="0"/>
          <w:numId w:val="0"/>
        </w:numPr>
        <w:kinsoku/>
        <w:wordWrap/>
        <w:overflowPunct/>
        <w:topLinePunct w:val="0"/>
        <w:autoSpaceDE/>
        <w:autoSpaceDN/>
        <w:bidi w:val="0"/>
        <w:adjustRightInd/>
        <w:spacing w:line="400" w:lineRule="exact"/>
        <w:ind w:leftChars="0"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（4) 质保期结束后，若系统继续运行，具体维保细则和费用以书面方式另行商定，内容不得少于质保期内提供的所有服务内容。</w:t>
      </w:r>
    </w:p>
    <w:p w14:paraId="51490EB4">
      <w:pPr>
        <w:keepNext w:val="0"/>
        <w:keepLines w:val="0"/>
        <w:pageBreakBefore w:val="0"/>
        <w:widowControl w:val="0"/>
        <w:numPr>
          <w:ilvl w:val="0"/>
          <w:numId w:val="0"/>
        </w:numPr>
        <w:kinsoku/>
        <w:wordWrap/>
        <w:overflowPunct/>
        <w:topLinePunct w:val="0"/>
        <w:autoSpaceDE/>
        <w:autoSpaceDN/>
        <w:bidi w:val="0"/>
        <w:adjustRightInd/>
        <w:spacing w:line="400" w:lineRule="exact"/>
        <w:ind w:leftChars="0"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（5）质保期外服务要求，质保期外软件维护要求：软件质保期后，如需原供应商提供维护服务，由双方协商，</w:t>
      </w:r>
      <w:r>
        <w:rPr>
          <w:rFonts w:hint="eastAsia" w:ascii="宋体" w:hAnsi="宋体" w:eastAsia="宋体" w:cs="宋体"/>
          <w:b/>
          <w:bCs w:val="0"/>
          <w:color w:val="auto"/>
          <w:sz w:val="24"/>
          <w:szCs w:val="24"/>
          <w:lang w:val="en-US" w:eastAsia="zh-CN"/>
        </w:rPr>
        <w:t>费用不高于合同总金额的5%</w:t>
      </w:r>
      <w:r>
        <w:rPr>
          <w:rFonts w:hint="eastAsia" w:ascii="宋体" w:hAnsi="宋体" w:eastAsia="宋体" w:cs="宋体"/>
          <w:bCs/>
          <w:color w:val="auto"/>
          <w:sz w:val="24"/>
          <w:szCs w:val="24"/>
          <w:lang w:val="en-US" w:eastAsia="zh-CN"/>
        </w:rPr>
        <w:t>。</w:t>
      </w:r>
    </w:p>
    <w:p w14:paraId="5C3C9041">
      <w:pPr>
        <w:keepNext w:val="0"/>
        <w:keepLines w:val="0"/>
        <w:pageBreakBefore w:val="0"/>
        <w:widowControl w:val="0"/>
        <w:numPr>
          <w:ilvl w:val="0"/>
          <w:numId w:val="0"/>
        </w:numPr>
        <w:kinsoku/>
        <w:wordWrap/>
        <w:overflowPunct/>
        <w:topLinePunct w:val="0"/>
        <w:autoSpaceDE/>
        <w:autoSpaceDN/>
        <w:bidi w:val="0"/>
        <w:adjustRightInd/>
        <w:spacing w:line="400" w:lineRule="exact"/>
        <w:ind w:leftChars="0" w:firstLine="480" w:firstLineChars="200"/>
        <w:textAlignment w:val="auto"/>
        <w:rPr>
          <w:rFonts w:hint="eastAsia" w:ascii="宋体" w:hAnsi="宋体" w:eastAsia="宋体" w:cs="宋体"/>
          <w:bCs/>
          <w:color w:val="auto"/>
          <w:sz w:val="24"/>
          <w:szCs w:val="24"/>
          <w:lang w:val="en-US" w:eastAsia="zh-CN"/>
        </w:rPr>
      </w:pPr>
      <w:r>
        <w:rPr>
          <w:rFonts w:hint="eastAsia" w:ascii="宋体" w:hAnsi="宋体" w:eastAsia="宋体" w:cs="宋体"/>
          <w:bCs/>
          <w:color w:val="auto"/>
          <w:sz w:val="24"/>
          <w:szCs w:val="24"/>
          <w:lang w:val="en-US" w:eastAsia="zh-CN"/>
        </w:rPr>
        <w:t>（6）培训要求，供应商对其提供产品的使用和操作应尽培训义务。供应商应提供对采购人的现场免费培训3-4次，使采购人使用人员能够正常操作。</w:t>
      </w:r>
    </w:p>
    <w:p w14:paraId="438FBEE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eastAsia="zh-CN"/>
        </w:rPr>
        <w:t>四</w:t>
      </w:r>
      <w:r>
        <w:rPr>
          <w:rFonts w:hint="eastAsia" w:ascii="宋体" w:hAnsi="宋体" w:cs="宋体"/>
          <w:color w:val="auto"/>
          <w:sz w:val="24"/>
          <w:szCs w:val="24"/>
        </w:rPr>
        <w:t>）</w:t>
      </w:r>
      <w:r>
        <w:rPr>
          <w:rFonts w:hint="eastAsia" w:ascii="宋体" w:hAnsi="宋体" w:cs="宋体"/>
          <w:color w:val="auto"/>
          <w:sz w:val="24"/>
          <w:szCs w:val="24"/>
          <w:lang w:val="en-US" w:eastAsia="zh-CN"/>
        </w:rPr>
        <w:t>付款方式</w:t>
      </w:r>
      <w:r>
        <w:rPr>
          <w:rFonts w:hint="eastAsia" w:ascii="宋体" w:hAnsi="宋体" w:cs="宋体"/>
          <w:color w:val="auto"/>
          <w:sz w:val="24"/>
          <w:szCs w:val="24"/>
        </w:rPr>
        <w:t xml:space="preserve">                                         </w:t>
      </w:r>
    </w:p>
    <w:p w14:paraId="3A3B3B2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最终验收合格后15个工作日内支付95%；剩余5%于最终验收合格 三 年后经采购人考评合格后支付。</w:t>
      </w:r>
    </w:p>
    <w:p w14:paraId="0CC8C87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采购人每次支付前，成交供应商应当按照本合同约定的支付进度提交等额有效发票，否则采购人有权不予支付且不视为违约，由此造成的损失及责任由成交供应商承担。</w:t>
      </w:r>
    </w:p>
    <w:p w14:paraId="01B867F9">
      <w:pPr>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ascii="宋体" w:hAnsi="宋体" w:eastAsia="宋体" w:cs="宋体"/>
          <w:b/>
          <w:bCs/>
          <w:color w:val="000000" w:themeColor="text1"/>
          <w:kern w:val="0"/>
          <w:sz w:val="24"/>
          <w:szCs w:val="24"/>
          <w:lang w:val="en-US" w:eastAsia="zh-CN" w:bidi="ar"/>
          <w14:textFill>
            <w14:solidFill>
              <w14:schemeClr w14:val="tx1"/>
            </w14:solidFill>
          </w14:textFill>
        </w:rPr>
      </w:pPr>
      <w:r>
        <w:rPr>
          <w:rStyle w:val="21"/>
          <w:rFonts w:hint="eastAsia" w:ascii="宋体" w:hAnsi="宋体" w:cs="宋体"/>
          <w:bCs/>
          <w:color w:val="000000" w:themeColor="text1"/>
          <w:kern w:val="0"/>
          <w:sz w:val="24"/>
          <w:szCs w:val="24"/>
          <w:lang w:val="en-US" w:eastAsia="zh-CN" w:bidi="ar-SA"/>
          <w14:textFill>
            <w14:solidFill>
              <w14:schemeClr w14:val="tx1"/>
            </w14:solidFill>
          </w14:textFill>
        </w:rPr>
        <w:t>六</w:t>
      </w:r>
      <w:r>
        <w:rPr>
          <w:rStyle w:val="21"/>
          <w:rFonts w:hint="eastAsia" w:ascii="宋体" w:hAnsi="宋体" w:eastAsia="宋体" w:cs="宋体"/>
          <w:bCs/>
          <w:color w:val="000000" w:themeColor="text1"/>
          <w:kern w:val="0"/>
          <w:sz w:val="24"/>
          <w:szCs w:val="24"/>
          <w:lang w:val="en-US" w:eastAsia="zh-CN" w:bidi="ar-SA"/>
          <w14:textFill>
            <w14:solidFill>
              <w14:schemeClr w14:val="tx1"/>
            </w14:solidFill>
          </w14:textFill>
        </w:rPr>
        <w:t>、推介书要求</w:t>
      </w:r>
    </w:p>
    <w:p w14:paraId="1AC7E48E">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各供应商须严格按照下述要求编制项目推介书，标注推介书完整目录和页码，加盖报名单位公章，将项目推介书扫描件、PPT（如有）在“行采家”平台（https://www.gec123.com）需求调查板块上传</w:t>
      </w:r>
      <w:r>
        <w:rPr>
          <w:rFonts w:hint="eastAsia" w:ascii="宋体" w:hAnsi="宋体" w:eastAsia="宋体" w:cs="宋体"/>
          <w:b/>
          <w:bCs/>
          <w:color w:val="000000" w:themeColor="text1"/>
          <w:spacing w:val="23"/>
          <w:kern w:val="0"/>
          <w:sz w:val="24"/>
          <w:lang w:bidi="ar"/>
          <w14:textFill>
            <w14:solidFill>
              <w14:schemeClr w14:val="tx1"/>
            </w14:solidFill>
          </w14:textFill>
        </w:rPr>
        <w:t>，</w:t>
      </w:r>
      <w:r>
        <w:rPr>
          <w:rFonts w:hint="eastAsia" w:ascii="宋体" w:hAnsi="宋体" w:eastAsia="宋体" w:cs="宋体"/>
          <w:b/>
          <w:bCs/>
          <w:color w:val="000000" w:themeColor="text1"/>
          <w:spacing w:val="23"/>
          <w:kern w:val="0"/>
          <w:sz w:val="24"/>
          <w:u w:val="single"/>
          <w:lang w:bidi="ar"/>
          <w14:textFill>
            <w14:solidFill>
              <w14:schemeClr w14:val="tx1"/>
            </w14:solidFill>
          </w14:textFill>
        </w:rPr>
        <w:t>各潜在供应商不得违规参加需求调查，否则直接退出本项目采购活动，并视情节轻重，纳入供应商诚信管理</w:t>
      </w:r>
      <w:r>
        <w:rPr>
          <w:rFonts w:hint="eastAsia" w:ascii="宋体" w:hAnsi="宋体" w:cs="宋体"/>
          <w:b/>
          <w:bCs/>
          <w:color w:val="000000" w:themeColor="text1"/>
          <w:spacing w:val="23"/>
          <w:kern w:val="0"/>
          <w:sz w:val="24"/>
          <w:u w:val="single"/>
          <w:lang w:val="en-US" w:eastAsia="zh-CN" w:bidi="ar"/>
          <w14:textFill>
            <w14:solidFill>
              <w14:schemeClr w14:val="tx1"/>
            </w14:solidFill>
          </w14:textFill>
        </w:rPr>
        <w:t>处理</w:t>
      </w:r>
      <w:r>
        <w:rPr>
          <w:rFonts w:hint="eastAsia" w:ascii="宋体" w:hAnsi="宋体" w:eastAsia="宋体" w:cs="宋体"/>
          <w:b/>
          <w:bCs/>
          <w:color w:val="000000" w:themeColor="text1"/>
          <w:spacing w:val="23"/>
          <w:kern w:val="0"/>
          <w:sz w:val="24"/>
          <w:lang w:bidi="ar"/>
          <w14:textFill>
            <w14:solidFill>
              <w14:schemeClr w14:val="tx1"/>
            </w14:solidFill>
          </w14:textFill>
        </w:rPr>
        <w:t>。</w:t>
      </w:r>
    </w:p>
    <w:p w14:paraId="63E2B83E">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推荐书编制要求：</w:t>
      </w:r>
    </w:p>
    <w:p w14:paraId="6B37DFE0">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ascii="宋体" w:hAnsi="宋体" w:eastAsia="宋体" w:cs="宋体"/>
          <w:color w:val="000000" w:themeColor="text1"/>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（一）推介书封面应包含：供应商名称、联系人及电话、邮箱；</w:t>
      </w:r>
    </w:p>
    <w:p w14:paraId="756F6DB7">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hint="eastAsia" w:ascii="宋体" w:hAnsi="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（二）供应商营业执照</w:t>
      </w:r>
      <w:r>
        <w:rPr>
          <w:rFonts w:hint="eastAsia" w:ascii="宋体" w:hAnsi="宋体" w:cs="宋体"/>
          <w:color w:val="000000" w:themeColor="text1"/>
          <w:spacing w:val="23"/>
          <w:kern w:val="0"/>
          <w:sz w:val="24"/>
          <w:lang w:eastAsia="zh-CN" w:bidi="ar"/>
          <w14:textFill>
            <w14:solidFill>
              <w14:schemeClr w14:val="tx1"/>
            </w14:solidFill>
          </w14:textFill>
        </w:rPr>
        <w:t>，</w:t>
      </w:r>
    </w:p>
    <w:p w14:paraId="3B2D62FA">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三</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0448D442">
      <w:pPr>
        <w:pStyle w:val="13"/>
        <w:widowControl/>
        <w:spacing w:before="0" w:beforeAutospacing="0" w:after="0" w:afterAutospacing="0" w:line="320" w:lineRule="exact"/>
        <w:ind w:firstLine="570"/>
        <w:jc w:val="both"/>
        <w:rPr>
          <w:rFonts w:ascii="宋体" w:hAnsi="宋体" w:cs="微软雅黑"/>
          <w:color w:val="000000"/>
          <w:spacing w:val="23"/>
        </w:rPr>
      </w:pPr>
      <w:r>
        <w:rPr>
          <w:rFonts w:ascii="宋体" w:hAnsi="宋体" w:cs="微软雅黑"/>
          <w:color w:val="000000"/>
          <w:spacing w:val="23"/>
        </w:rPr>
        <w:t>1.</w:t>
      </w:r>
      <w:r>
        <w:rPr>
          <w:rFonts w:hint="eastAsia" w:ascii="宋体" w:hAnsi="宋体" w:cs="微软雅黑"/>
          <w:color w:val="000000"/>
          <w:spacing w:val="23"/>
        </w:rPr>
        <w:t>报价：</w:t>
      </w:r>
    </w:p>
    <w:tbl>
      <w:tblPr>
        <w:tblStyle w:val="18"/>
        <w:tblW w:w="49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750"/>
        <w:gridCol w:w="812"/>
        <w:gridCol w:w="1225"/>
        <w:gridCol w:w="1225"/>
        <w:gridCol w:w="2075"/>
        <w:gridCol w:w="2014"/>
      </w:tblGrid>
      <w:tr w14:paraId="24DE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369" w:type="pct"/>
            <w:noWrap w:val="0"/>
            <w:vAlign w:val="center"/>
          </w:tcPr>
          <w:p w14:paraId="4D18D5AF">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序号</w:t>
            </w:r>
          </w:p>
        </w:tc>
        <w:tc>
          <w:tcPr>
            <w:tcW w:w="890" w:type="pct"/>
            <w:noWrap w:val="0"/>
            <w:vAlign w:val="center"/>
          </w:tcPr>
          <w:p w14:paraId="6A9B16FD">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名称</w:t>
            </w:r>
          </w:p>
        </w:tc>
        <w:tc>
          <w:tcPr>
            <w:tcW w:w="413" w:type="pct"/>
            <w:noWrap w:val="0"/>
            <w:vAlign w:val="center"/>
          </w:tcPr>
          <w:p w14:paraId="32EBCEAA">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数量</w:t>
            </w:r>
          </w:p>
        </w:tc>
        <w:tc>
          <w:tcPr>
            <w:tcW w:w="623" w:type="pct"/>
            <w:noWrap w:val="0"/>
            <w:vAlign w:val="center"/>
          </w:tcPr>
          <w:p w14:paraId="3A160BAB">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单价</w:t>
            </w:r>
          </w:p>
          <w:p w14:paraId="66EE57A6">
            <w:pPr>
              <w:spacing w:line="320" w:lineRule="exact"/>
              <w:jc w:val="center"/>
              <w:rPr>
                <w:rFonts w:hint="eastAsia" w:ascii="宋体" w:hAnsi="宋体" w:eastAsia="宋体" w:cs="宋体"/>
                <w:b/>
                <w:color w:val="000000"/>
                <w:sz w:val="24"/>
                <w:lang w:eastAsia="zh-CN"/>
              </w:rPr>
            </w:pPr>
            <w:r>
              <w:rPr>
                <w:rFonts w:hint="eastAsia" w:ascii="宋体" w:hAnsi="宋体" w:cs="宋体"/>
                <w:b/>
                <w:color w:val="000000"/>
                <w:sz w:val="24"/>
                <w:lang w:eastAsia="zh-CN"/>
              </w:rPr>
              <w:t>（</w:t>
            </w:r>
            <w:r>
              <w:rPr>
                <w:rFonts w:hint="eastAsia" w:ascii="宋体" w:hAnsi="宋体" w:cs="宋体"/>
                <w:b/>
                <w:color w:val="000000"/>
                <w:sz w:val="24"/>
                <w:lang w:val="en-US" w:eastAsia="zh-CN"/>
              </w:rPr>
              <w:t>万元</w:t>
            </w:r>
            <w:r>
              <w:rPr>
                <w:rFonts w:hint="eastAsia" w:ascii="宋体" w:hAnsi="宋体" w:cs="宋体"/>
                <w:b/>
                <w:color w:val="000000"/>
                <w:sz w:val="24"/>
                <w:lang w:eastAsia="zh-CN"/>
              </w:rPr>
              <w:t>）</w:t>
            </w:r>
          </w:p>
        </w:tc>
        <w:tc>
          <w:tcPr>
            <w:tcW w:w="623" w:type="pct"/>
            <w:noWrap w:val="0"/>
            <w:vAlign w:val="center"/>
          </w:tcPr>
          <w:p w14:paraId="1E21B724">
            <w:pPr>
              <w:spacing w:line="320" w:lineRule="exact"/>
              <w:jc w:val="center"/>
              <w:rPr>
                <w:rFonts w:hint="eastAsia" w:ascii="宋体" w:hAnsi="宋体" w:eastAsia="宋体" w:cs="宋体"/>
                <w:b/>
                <w:color w:val="000000"/>
                <w:sz w:val="24"/>
              </w:rPr>
            </w:pPr>
            <w:r>
              <w:rPr>
                <w:rFonts w:hint="eastAsia" w:ascii="宋体" w:hAnsi="宋体" w:eastAsia="宋体" w:cs="宋体"/>
                <w:b/>
                <w:color w:val="000000"/>
                <w:sz w:val="24"/>
              </w:rPr>
              <w:t>合计</w:t>
            </w:r>
          </w:p>
          <w:p w14:paraId="61A85A98">
            <w:pPr>
              <w:spacing w:line="320" w:lineRule="exact"/>
              <w:jc w:val="center"/>
              <w:rPr>
                <w:rFonts w:hint="eastAsia" w:ascii="宋体" w:hAnsi="宋体" w:eastAsia="宋体" w:cs="宋体"/>
                <w:b/>
                <w:color w:val="000000"/>
                <w:sz w:val="24"/>
                <w:lang w:eastAsia="zh-CN"/>
              </w:rPr>
            </w:pPr>
            <w:r>
              <w:rPr>
                <w:rFonts w:hint="eastAsia" w:ascii="宋体" w:hAnsi="宋体" w:cs="宋体"/>
                <w:b/>
                <w:color w:val="000000"/>
                <w:sz w:val="24"/>
                <w:lang w:eastAsia="zh-CN"/>
              </w:rPr>
              <w:t>（</w:t>
            </w:r>
            <w:r>
              <w:rPr>
                <w:rFonts w:hint="eastAsia" w:ascii="宋体" w:hAnsi="宋体" w:cs="宋体"/>
                <w:b/>
                <w:color w:val="000000"/>
                <w:sz w:val="24"/>
                <w:lang w:val="en-US" w:eastAsia="zh-CN"/>
              </w:rPr>
              <w:t>万元</w:t>
            </w:r>
            <w:r>
              <w:rPr>
                <w:rFonts w:hint="eastAsia" w:ascii="宋体" w:hAnsi="宋体" w:cs="宋体"/>
                <w:b/>
                <w:color w:val="000000"/>
                <w:sz w:val="24"/>
                <w:lang w:eastAsia="zh-CN"/>
              </w:rPr>
              <w:t>）</w:t>
            </w:r>
          </w:p>
        </w:tc>
        <w:tc>
          <w:tcPr>
            <w:tcW w:w="1055" w:type="pct"/>
            <w:noWrap w:val="0"/>
            <w:vAlign w:val="center"/>
          </w:tcPr>
          <w:p w14:paraId="47ADA83A">
            <w:pPr>
              <w:spacing w:line="320" w:lineRule="exact"/>
              <w:jc w:val="center"/>
              <w:rPr>
                <w:rFonts w:hint="default" w:ascii="宋体" w:hAnsi="宋体" w:eastAsia="宋体" w:cs="宋体"/>
                <w:b/>
                <w:color w:val="000000"/>
                <w:sz w:val="24"/>
                <w:lang w:val="en-US" w:eastAsia="zh-CN"/>
              </w:rPr>
            </w:pPr>
            <w:r>
              <w:rPr>
                <w:rFonts w:hint="eastAsia" w:ascii="宋体" w:hAnsi="宋体" w:cs="宋体"/>
                <w:b/>
                <w:color w:val="000000"/>
                <w:sz w:val="24"/>
                <w:lang w:val="en-US" w:eastAsia="zh-CN"/>
              </w:rPr>
              <w:t>品牌、型号</w:t>
            </w:r>
          </w:p>
        </w:tc>
        <w:tc>
          <w:tcPr>
            <w:tcW w:w="1024" w:type="pct"/>
            <w:noWrap w:val="0"/>
            <w:vAlign w:val="center"/>
          </w:tcPr>
          <w:p w14:paraId="5D3E9C78">
            <w:pPr>
              <w:spacing w:line="320" w:lineRule="exact"/>
              <w:jc w:val="center"/>
              <w:rPr>
                <w:rFonts w:hint="eastAsia" w:ascii="宋体" w:hAnsi="宋体" w:eastAsia="宋体" w:cs="宋体"/>
                <w:b/>
                <w:color w:val="000000"/>
                <w:sz w:val="24"/>
                <w:lang w:val="en-US" w:eastAsia="zh-CN"/>
              </w:rPr>
            </w:pPr>
            <w:r>
              <w:rPr>
                <w:rFonts w:hint="eastAsia" w:ascii="宋体" w:hAnsi="宋体" w:cs="宋体"/>
                <w:b/>
                <w:color w:val="000000"/>
                <w:sz w:val="24"/>
                <w:lang w:val="en-US" w:eastAsia="zh-CN"/>
              </w:rPr>
              <w:t>制造商</w:t>
            </w:r>
          </w:p>
        </w:tc>
      </w:tr>
      <w:tr w14:paraId="6610A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4A57AE0E">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1</w:t>
            </w:r>
          </w:p>
        </w:tc>
        <w:tc>
          <w:tcPr>
            <w:tcW w:w="890" w:type="pct"/>
            <w:noWrap w:val="0"/>
            <w:vAlign w:val="center"/>
          </w:tcPr>
          <w:p w14:paraId="17E935FD">
            <w:pPr>
              <w:spacing w:line="320" w:lineRule="exact"/>
              <w:jc w:val="center"/>
              <w:rPr>
                <w:rFonts w:hint="eastAsia" w:ascii="宋体" w:hAnsi="宋体" w:eastAsia="宋体" w:cs="宋体"/>
                <w:color w:val="000000"/>
                <w:sz w:val="24"/>
              </w:rPr>
            </w:pPr>
          </w:p>
        </w:tc>
        <w:tc>
          <w:tcPr>
            <w:tcW w:w="413" w:type="pct"/>
            <w:noWrap w:val="0"/>
            <w:vAlign w:val="center"/>
          </w:tcPr>
          <w:p w14:paraId="27CB4878">
            <w:pPr>
              <w:spacing w:line="320" w:lineRule="exact"/>
              <w:jc w:val="center"/>
              <w:rPr>
                <w:rFonts w:hint="eastAsia" w:ascii="宋体" w:hAnsi="宋体" w:eastAsia="宋体" w:cs="宋体"/>
                <w:color w:val="000000"/>
                <w:sz w:val="24"/>
              </w:rPr>
            </w:pPr>
          </w:p>
        </w:tc>
        <w:tc>
          <w:tcPr>
            <w:tcW w:w="623" w:type="pct"/>
            <w:noWrap w:val="0"/>
            <w:vAlign w:val="top"/>
          </w:tcPr>
          <w:p w14:paraId="34027F04">
            <w:pPr>
              <w:spacing w:line="320" w:lineRule="exact"/>
              <w:jc w:val="center"/>
              <w:rPr>
                <w:rFonts w:hint="eastAsia" w:ascii="宋体" w:hAnsi="宋体" w:eastAsia="宋体" w:cs="宋体"/>
                <w:color w:val="000000"/>
                <w:sz w:val="24"/>
              </w:rPr>
            </w:pPr>
          </w:p>
        </w:tc>
        <w:tc>
          <w:tcPr>
            <w:tcW w:w="623" w:type="pct"/>
            <w:noWrap w:val="0"/>
            <w:vAlign w:val="top"/>
          </w:tcPr>
          <w:p w14:paraId="5341CCCD">
            <w:pPr>
              <w:spacing w:line="320" w:lineRule="exact"/>
              <w:jc w:val="center"/>
              <w:rPr>
                <w:rFonts w:hint="eastAsia" w:ascii="宋体" w:hAnsi="宋体" w:eastAsia="宋体" w:cs="宋体"/>
                <w:color w:val="000000"/>
                <w:sz w:val="24"/>
              </w:rPr>
            </w:pPr>
          </w:p>
        </w:tc>
        <w:tc>
          <w:tcPr>
            <w:tcW w:w="1055" w:type="pct"/>
            <w:noWrap w:val="0"/>
            <w:vAlign w:val="top"/>
          </w:tcPr>
          <w:p w14:paraId="5D24A26C">
            <w:pPr>
              <w:spacing w:line="320" w:lineRule="exact"/>
              <w:jc w:val="center"/>
              <w:rPr>
                <w:rFonts w:hint="eastAsia" w:ascii="宋体" w:hAnsi="宋体" w:eastAsia="宋体" w:cs="宋体"/>
                <w:color w:val="000000"/>
                <w:sz w:val="24"/>
              </w:rPr>
            </w:pPr>
          </w:p>
        </w:tc>
        <w:tc>
          <w:tcPr>
            <w:tcW w:w="1024" w:type="pct"/>
            <w:noWrap w:val="0"/>
            <w:vAlign w:val="top"/>
          </w:tcPr>
          <w:p w14:paraId="44DBEF16">
            <w:pPr>
              <w:spacing w:line="320" w:lineRule="exact"/>
              <w:jc w:val="center"/>
              <w:rPr>
                <w:rFonts w:hint="eastAsia" w:ascii="宋体" w:hAnsi="宋体" w:eastAsia="宋体" w:cs="宋体"/>
                <w:color w:val="000000"/>
                <w:sz w:val="24"/>
              </w:rPr>
            </w:pPr>
          </w:p>
        </w:tc>
      </w:tr>
      <w:tr w14:paraId="4D691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7B9902B7">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2</w:t>
            </w:r>
          </w:p>
        </w:tc>
        <w:tc>
          <w:tcPr>
            <w:tcW w:w="890" w:type="pct"/>
            <w:noWrap w:val="0"/>
            <w:vAlign w:val="center"/>
          </w:tcPr>
          <w:p w14:paraId="6D9FEDD9">
            <w:pPr>
              <w:spacing w:line="320" w:lineRule="exact"/>
              <w:jc w:val="center"/>
              <w:rPr>
                <w:rFonts w:hint="eastAsia" w:ascii="宋体" w:hAnsi="宋体" w:eastAsia="宋体" w:cs="宋体"/>
                <w:color w:val="000000"/>
                <w:sz w:val="24"/>
              </w:rPr>
            </w:pPr>
          </w:p>
        </w:tc>
        <w:tc>
          <w:tcPr>
            <w:tcW w:w="413" w:type="pct"/>
            <w:noWrap w:val="0"/>
            <w:vAlign w:val="center"/>
          </w:tcPr>
          <w:p w14:paraId="5859CFC2">
            <w:pPr>
              <w:spacing w:line="320" w:lineRule="exact"/>
              <w:jc w:val="center"/>
              <w:rPr>
                <w:rFonts w:hint="eastAsia" w:ascii="宋体" w:hAnsi="宋体" w:eastAsia="宋体" w:cs="宋体"/>
                <w:color w:val="000000"/>
                <w:sz w:val="24"/>
              </w:rPr>
            </w:pPr>
          </w:p>
        </w:tc>
        <w:tc>
          <w:tcPr>
            <w:tcW w:w="623" w:type="pct"/>
            <w:noWrap w:val="0"/>
            <w:vAlign w:val="top"/>
          </w:tcPr>
          <w:p w14:paraId="58069A5E">
            <w:pPr>
              <w:spacing w:line="320" w:lineRule="exact"/>
              <w:jc w:val="center"/>
              <w:rPr>
                <w:rFonts w:hint="eastAsia" w:ascii="宋体" w:hAnsi="宋体" w:eastAsia="宋体" w:cs="宋体"/>
                <w:color w:val="000000"/>
                <w:sz w:val="24"/>
              </w:rPr>
            </w:pPr>
          </w:p>
        </w:tc>
        <w:tc>
          <w:tcPr>
            <w:tcW w:w="623" w:type="pct"/>
            <w:noWrap w:val="0"/>
            <w:vAlign w:val="top"/>
          </w:tcPr>
          <w:p w14:paraId="4631CDA8">
            <w:pPr>
              <w:spacing w:line="320" w:lineRule="exact"/>
              <w:jc w:val="center"/>
              <w:rPr>
                <w:rFonts w:hint="eastAsia" w:ascii="宋体" w:hAnsi="宋体" w:eastAsia="宋体" w:cs="宋体"/>
                <w:color w:val="000000"/>
                <w:sz w:val="24"/>
              </w:rPr>
            </w:pPr>
          </w:p>
        </w:tc>
        <w:tc>
          <w:tcPr>
            <w:tcW w:w="1055" w:type="pct"/>
            <w:noWrap w:val="0"/>
            <w:vAlign w:val="top"/>
          </w:tcPr>
          <w:p w14:paraId="45471CB2">
            <w:pPr>
              <w:spacing w:line="320" w:lineRule="exact"/>
              <w:jc w:val="center"/>
              <w:rPr>
                <w:rFonts w:hint="eastAsia" w:ascii="宋体" w:hAnsi="宋体" w:eastAsia="宋体" w:cs="宋体"/>
                <w:color w:val="000000"/>
                <w:sz w:val="24"/>
              </w:rPr>
            </w:pPr>
          </w:p>
        </w:tc>
        <w:tc>
          <w:tcPr>
            <w:tcW w:w="1024" w:type="pct"/>
            <w:noWrap w:val="0"/>
            <w:vAlign w:val="top"/>
          </w:tcPr>
          <w:p w14:paraId="180B7662">
            <w:pPr>
              <w:spacing w:line="320" w:lineRule="exact"/>
              <w:jc w:val="center"/>
              <w:rPr>
                <w:rFonts w:hint="eastAsia" w:ascii="宋体" w:hAnsi="宋体" w:eastAsia="宋体" w:cs="宋体"/>
                <w:color w:val="000000"/>
                <w:sz w:val="24"/>
              </w:rPr>
            </w:pPr>
          </w:p>
        </w:tc>
      </w:tr>
      <w:tr w14:paraId="7ACB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52CB38CB">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3</w:t>
            </w:r>
          </w:p>
        </w:tc>
        <w:tc>
          <w:tcPr>
            <w:tcW w:w="890" w:type="pct"/>
            <w:noWrap w:val="0"/>
            <w:vAlign w:val="center"/>
          </w:tcPr>
          <w:p w14:paraId="7A843C5E">
            <w:pPr>
              <w:spacing w:line="320" w:lineRule="exact"/>
              <w:jc w:val="center"/>
              <w:rPr>
                <w:rFonts w:hint="eastAsia" w:ascii="宋体" w:hAnsi="宋体" w:eastAsia="宋体" w:cs="宋体"/>
                <w:color w:val="000000"/>
                <w:sz w:val="24"/>
              </w:rPr>
            </w:pPr>
          </w:p>
        </w:tc>
        <w:tc>
          <w:tcPr>
            <w:tcW w:w="413" w:type="pct"/>
            <w:noWrap w:val="0"/>
            <w:vAlign w:val="center"/>
          </w:tcPr>
          <w:p w14:paraId="1377727C">
            <w:pPr>
              <w:spacing w:line="320" w:lineRule="exact"/>
              <w:jc w:val="center"/>
              <w:rPr>
                <w:rFonts w:hint="eastAsia" w:ascii="宋体" w:hAnsi="宋体" w:eastAsia="宋体" w:cs="宋体"/>
                <w:color w:val="000000"/>
                <w:sz w:val="24"/>
              </w:rPr>
            </w:pPr>
          </w:p>
        </w:tc>
        <w:tc>
          <w:tcPr>
            <w:tcW w:w="623" w:type="pct"/>
            <w:noWrap w:val="0"/>
            <w:vAlign w:val="top"/>
          </w:tcPr>
          <w:p w14:paraId="327AF6AD">
            <w:pPr>
              <w:spacing w:line="320" w:lineRule="exact"/>
              <w:jc w:val="center"/>
              <w:rPr>
                <w:rFonts w:hint="eastAsia" w:ascii="宋体" w:hAnsi="宋体" w:eastAsia="宋体" w:cs="宋体"/>
                <w:color w:val="000000"/>
                <w:sz w:val="24"/>
              </w:rPr>
            </w:pPr>
          </w:p>
        </w:tc>
        <w:tc>
          <w:tcPr>
            <w:tcW w:w="623" w:type="pct"/>
            <w:noWrap w:val="0"/>
            <w:vAlign w:val="top"/>
          </w:tcPr>
          <w:p w14:paraId="5AB9720C">
            <w:pPr>
              <w:spacing w:line="320" w:lineRule="exact"/>
              <w:jc w:val="center"/>
              <w:rPr>
                <w:rFonts w:hint="eastAsia" w:ascii="宋体" w:hAnsi="宋体" w:eastAsia="宋体" w:cs="宋体"/>
                <w:color w:val="000000"/>
                <w:sz w:val="24"/>
              </w:rPr>
            </w:pPr>
          </w:p>
        </w:tc>
        <w:tc>
          <w:tcPr>
            <w:tcW w:w="1055" w:type="pct"/>
            <w:noWrap w:val="0"/>
            <w:vAlign w:val="top"/>
          </w:tcPr>
          <w:p w14:paraId="00A1AE1F">
            <w:pPr>
              <w:spacing w:line="320" w:lineRule="exact"/>
              <w:jc w:val="center"/>
              <w:rPr>
                <w:rFonts w:hint="eastAsia" w:ascii="宋体" w:hAnsi="宋体" w:eastAsia="宋体" w:cs="宋体"/>
                <w:color w:val="000000"/>
                <w:sz w:val="24"/>
              </w:rPr>
            </w:pPr>
          </w:p>
        </w:tc>
        <w:tc>
          <w:tcPr>
            <w:tcW w:w="1024" w:type="pct"/>
            <w:noWrap w:val="0"/>
            <w:vAlign w:val="top"/>
          </w:tcPr>
          <w:p w14:paraId="457FDEA1">
            <w:pPr>
              <w:spacing w:line="320" w:lineRule="exact"/>
              <w:jc w:val="center"/>
              <w:rPr>
                <w:rFonts w:hint="eastAsia" w:ascii="宋体" w:hAnsi="宋体" w:eastAsia="宋体" w:cs="宋体"/>
                <w:color w:val="000000"/>
                <w:sz w:val="24"/>
              </w:rPr>
            </w:pPr>
          </w:p>
        </w:tc>
      </w:tr>
      <w:tr w14:paraId="6FE7E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4A44FBA1">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4</w:t>
            </w:r>
          </w:p>
        </w:tc>
        <w:tc>
          <w:tcPr>
            <w:tcW w:w="890" w:type="pct"/>
            <w:noWrap w:val="0"/>
            <w:vAlign w:val="center"/>
          </w:tcPr>
          <w:p w14:paraId="0694D681">
            <w:pPr>
              <w:spacing w:line="320" w:lineRule="exact"/>
              <w:jc w:val="center"/>
              <w:rPr>
                <w:rFonts w:hint="eastAsia" w:ascii="宋体" w:hAnsi="宋体" w:eastAsia="宋体" w:cs="宋体"/>
                <w:color w:val="000000"/>
                <w:sz w:val="24"/>
              </w:rPr>
            </w:pPr>
          </w:p>
        </w:tc>
        <w:tc>
          <w:tcPr>
            <w:tcW w:w="413" w:type="pct"/>
            <w:noWrap w:val="0"/>
            <w:vAlign w:val="center"/>
          </w:tcPr>
          <w:p w14:paraId="73172D58">
            <w:pPr>
              <w:spacing w:line="320" w:lineRule="exact"/>
              <w:jc w:val="center"/>
              <w:rPr>
                <w:rFonts w:hint="eastAsia" w:ascii="宋体" w:hAnsi="宋体" w:eastAsia="宋体" w:cs="宋体"/>
                <w:color w:val="000000"/>
                <w:sz w:val="24"/>
              </w:rPr>
            </w:pPr>
          </w:p>
        </w:tc>
        <w:tc>
          <w:tcPr>
            <w:tcW w:w="623" w:type="pct"/>
            <w:noWrap w:val="0"/>
            <w:vAlign w:val="top"/>
          </w:tcPr>
          <w:p w14:paraId="2025408F">
            <w:pPr>
              <w:spacing w:line="320" w:lineRule="exact"/>
              <w:jc w:val="center"/>
              <w:rPr>
                <w:rFonts w:hint="eastAsia" w:ascii="宋体" w:hAnsi="宋体" w:eastAsia="宋体" w:cs="宋体"/>
                <w:color w:val="000000"/>
                <w:sz w:val="24"/>
              </w:rPr>
            </w:pPr>
          </w:p>
        </w:tc>
        <w:tc>
          <w:tcPr>
            <w:tcW w:w="623" w:type="pct"/>
            <w:noWrap w:val="0"/>
            <w:vAlign w:val="top"/>
          </w:tcPr>
          <w:p w14:paraId="383DE2B0">
            <w:pPr>
              <w:spacing w:line="320" w:lineRule="exact"/>
              <w:jc w:val="center"/>
              <w:rPr>
                <w:rFonts w:hint="eastAsia" w:ascii="宋体" w:hAnsi="宋体" w:eastAsia="宋体" w:cs="宋体"/>
                <w:color w:val="000000"/>
                <w:sz w:val="24"/>
              </w:rPr>
            </w:pPr>
          </w:p>
        </w:tc>
        <w:tc>
          <w:tcPr>
            <w:tcW w:w="1055" w:type="pct"/>
            <w:noWrap w:val="0"/>
            <w:vAlign w:val="top"/>
          </w:tcPr>
          <w:p w14:paraId="14D01763">
            <w:pPr>
              <w:spacing w:line="320" w:lineRule="exact"/>
              <w:jc w:val="center"/>
              <w:rPr>
                <w:rFonts w:hint="eastAsia" w:ascii="宋体" w:hAnsi="宋体" w:eastAsia="宋体" w:cs="宋体"/>
                <w:color w:val="000000"/>
                <w:sz w:val="24"/>
              </w:rPr>
            </w:pPr>
          </w:p>
        </w:tc>
        <w:tc>
          <w:tcPr>
            <w:tcW w:w="1024" w:type="pct"/>
            <w:noWrap w:val="0"/>
            <w:vAlign w:val="top"/>
          </w:tcPr>
          <w:p w14:paraId="48356FC3">
            <w:pPr>
              <w:spacing w:line="320" w:lineRule="exact"/>
              <w:jc w:val="center"/>
              <w:rPr>
                <w:rFonts w:hint="eastAsia" w:ascii="宋体" w:hAnsi="宋体" w:eastAsia="宋体" w:cs="宋体"/>
                <w:color w:val="000000"/>
                <w:sz w:val="24"/>
              </w:rPr>
            </w:pPr>
          </w:p>
        </w:tc>
      </w:tr>
      <w:tr w14:paraId="30F43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42346F7C">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5</w:t>
            </w:r>
          </w:p>
        </w:tc>
        <w:tc>
          <w:tcPr>
            <w:tcW w:w="890" w:type="pct"/>
            <w:noWrap w:val="0"/>
            <w:vAlign w:val="center"/>
          </w:tcPr>
          <w:p w14:paraId="07D58E47">
            <w:pPr>
              <w:spacing w:line="320" w:lineRule="exact"/>
              <w:jc w:val="center"/>
              <w:rPr>
                <w:rFonts w:hint="eastAsia" w:ascii="宋体" w:hAnsi="宋体" w:eastAsia="宋体" w:cs="宋体"/>
                <w:color w:val="000000"/>
                <w:sz w:val="24"/>
              </w:rPr>
            </w:pPr>
          </w:p>
        </w:tc>
        <w:tc>
          <w:tcPr>
            <w:tcW w:w="413" w:type="pct"/>
            <w:noWrap w:val="0"/>
            <w:vAlign w:val="center"/>
          </w:tcPr>
          <w:p w14:paraId="6F6B6CF7">
            <w:pPr>
              <w:spacing w:line="320" w:lineRule="exact"/>
              <w:jc w:val="center"/>
              <w:rPr>
                <w:rFonts w:hint="eastAsia" w:ascii="宋体" w:hAnsi="宋体" w:eastAsia="宋体" w:cs="宋体"/>
                <w:color w:val="000000"/>
                <w:sz w:val="24"/>
              </w:rPr>
            </w:pPr>
          </w:p>
        </w:tc>
        <w:tc>
          <w:tcPr>
            <w:tcW w:w="623" w:type="pct"/>
            <w:noWrap w:val="0"/>
            <w:vAlign w:val="top"/>
          </w:tcPr>
          <w:p w14:paraId="595BA886">
            <w:pPr>
              <w:spacing w:line="320" w:lineRule="exact"/>
              <w:jc w:val="center"/>
              <w:rPr>
                <w:rFonts w:hint="eastAsia" w:ascii="宋体" w:hAnsi="宋体" w:eastAsia="宋体" w:cs="宋体"/>
                <w:color w:val="000000"/>
                <w:sz w:val="24"/>
              </w:rPr>
            </w:pPr>
          </w:p>
        </w:tc>
        <w:tc>
          <w:tcPr>
            <w:tcW w:w="623" w:type="pct"/>
            <w:noWrap w:val="0"/>
            <w:vAlign w:val="top"/>
          </w:tcPr>
          <w:p w14:paraId="356FB894">
            <w:pPr>
              <w:spacing w:line="320" w:lineRule="exact"/>
              <w:jc w:val="center"/>
              <w:rPr>
                <w:rFonts w:hint="eastAsia" w:ascii="宋体" w:hAnsi="宋体" w:eastAsia="宋体" w:cs="宋体"/>
                <w:color w:val="000000"/>
                <w:sz w:val="24"/>
              </w:rPr>
            </w:pPr>
          </w:p>
        </w:tc>
        <w:tc>
          <w:tcPr>
            <w:tcW w:w="1055" w:type="pct"/>
            <w:noWrap w:val="0"/>
            <w:vAlign w:val="top"/>
          </w:tcPr>
          <w:p w14:paraId="41CEA116">
            <w:pPr>
              <w:spacing w:line="320" w:lineRule="exact"/>
              <w:jc w:val="center"/>
              <w:rPr>
                <w:rFonts w:hint="eastAsia" w:ascii="宋体" w:hAnsi="宋体" w:eastAsia="宋体" w:cs="宋体"/>
                <w:color w:val="000000"/>
                <w:sz w:val="24"/>
              </w:rPr>
            </w:pPr>
          </w:p>
        </w:tc>
        <w:tc>
          <w:tcPr>
            <w:tcW w:w="1024" w:type="pct"/>
            <w:noWrap w:val="0"/>
            <w:vAlign w:val="top"/>
          </w:tcPr>
          <w:p w14:paraId="5B943B18">
            <w:pPr>
              <w:spacing w:line="320" w:lineRule="exact"/>
              <w:jc w:val="center"/>
              <w:rPr>
                <w:rFonts w:hint="eastAsia" w:ascii="宋体" w:hAnsi="宋体" w:eastAsia="宋体" w:cs="宋体"/>
                <w:color w:val="000000"/>
                <w:sz w:val="24"/>
              </w:rPr>
            </w:pPr>
          </w:p>
        </w:tc>
      </w:tr>
      <w:tr w14:paraId="130E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117A903E">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6</w:t>
            </w:r>
          </w:p>
        </w:tc>
        <w:tc>
          <w:tcPr>
            <w:tcW w:w="890" w:type="pct"/>
            <w:noWrap w:val="0"/>
            <w:vAlign w:val="center"/>
          </w:tcPr>
          <w:p w14:paraId="527F083E">
            <w:pPr>
              <w:spacing w:line="320" w:lineRule="exact"/>
              <w:jc w:val="center"/>
              <w:rPr>
                <w:rFonts w:hint="eastAsia" w:ascii="宋体" w:hAnsi="宋体" w:eastAsia="宋体" w:cs="宋体"/>
                <w:color w:val="000000"/>
                <w:sz w:val="24"/>
              </w:rPr>
            </w:pPr>
            <w:r>
              <w:rPr>
                <w:rFonts w:hint="eastAsia" w:ascii="宋体" w:hAnsi="宋体" w:eastAsia="宋体" w:cs="宋体"/>
                <w:color w:val="000000"/>
                <w:sz w:val="24"/>
              </w:rPr>
              <w:t>……</w:t>
            </w:r>
          </w:p>
        </w:tc>
        <w:tc>
          <w:tcPr>
            <w:tcW w:w="413" w:type="pct"/>
            <w:noWrap w:val="0"/>
            <w:vAlign w:val="center"/>
          </w:tcPr>
          <w:p w14:paraId="3440FA5E">
            <w:pPr>
              <w:spacing w:line="320" w:lineRule="exact"/>
              <w:jc w:val="center"/>
              <w:rPr>
                <w:rFonts w:hint="eastAsia" w:ascii="宋体" w:hAnsi="宋体" w:eastAsia="宋体" w:cs="宋体"/>
                <w:color w:val="000000"/>
                <w:sz w:val="24"/>
              </w:rPr>
            </w:pPr>
          </w:p>
        </w:tc>
        <w:tc>
          <w:tcPr>
            <w:tcW w:w="623" w:type="pct"/>
            <w:noWrap w:val="0"/>
            <w:vAlign w:val="top"/>
          </w:tcPr>
          <w:p w14:paraId="114C55BC">
            <w:pPr>
              <w:spacing w:line="320" w:lineRule="exact"/>
              <w:jc w:val="center"/>
              <w:rPr>
                <w:rFonts w:hint="eastAsia" w:ascii="宋体" w:hAnsi="宋体" w:eastAsia="宋体" w:cs="宋体"/>
                <w:color w:val="000000"/>
                <w:sz w:val="24"/>
              </w:rPr>
            </w:pPr>
          </w:p>
        </w:tc>
        <w:tc>
          <w:tcPr>
            <w:tcW w:w="623" w:type="pct"/>
            <w:noWrap w:val="0"/>
            <w:vAlign w:val="top"/>
          </w:tcPr>
          <w:p w14:paraId="7514C971">
            <w:pPr>
              <w:spacing w:line="320" w:lineRule="exact"/>
              <w:jc w:val="center"/>
              <w:rPr>
                <w:rFonts w:hint="eastAsia" w:ascii="宋体" w:hAnsi="宋体" w:eastAsia="宋体" w:cs="宋体"/>
                <w:color w:val="000000"/>
                <w:sz w:val="24"/>
              </w:rPr>
            </w:pPr>
          </w:p>
        </w:tc>
        <w:tc>
          <w:tcPr>
            <w:tcW w:w="1055" w:type="pct"/>
            <w:noWrap w:val="0"/>
            <w:vAlign w:val="top"/>
          </w:tcPr>
          <w:p w14:paraId="0C8AC44A">
            <w:pPr>
              <w:spacing w:line="320" w:lineRule="exact"/>
              <w:jc w:val="center"/>
              <w:rPr>
                <w:rFonts w:hint="eastAsia" w:ascii="宋体" w:hAnsi="宋体" w:eastAsia="宋体" w:cs="宋体"/>
                <w:color w:val="000000"/>
                <w:sz w:val="24"/>
              </w:rPr>
            </w:pPr>
          </w:p>
        </w:tc>
        <w:tc>
          <w:tcPr>
            <w:tcW w:w="1024" w:type="pct"/>
            <w:noWrap w:val="0"/>
            <w:vAlign w:val="top"/>
          </w:tcPr>
          <w:p w14:paraId="378F22F5">
            <w:pPr>
              <w:spacing w:line="320" w:lineRule="exact"/>
              <w:jc w:val="center"/>
              <w:rPr>
                <w:rFonts w:hint="eastAsia" w:ascii="宋体" w:hAnsi="宋体" w:eastAsia="宋体" w:cs="宋体"/>
                <w:color w:val="000000"/>
                <w:sz w:val="24"/>
              </w:rPr>
            </w:pPr>
          </w:p>
        </w:tc>
      </w:tr>
      <w:tr w14:paraId="595F3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9" w:type="pct"/>
            <w:noWrap w:val="0"/>
            <w:vAlign w:val="center"/>
          </w:tcPr>
          <w:p w14:paraId="08A37B70">
            <w:pPr>
              <w:spacing w:line="320" w:lineRule="exact"/>
              <w:jc w:val="center"/>
              <w:outlineLvl w:val="0"/>
              <w:rPr>
                <w:rFonts w:hint="eastAsia" w:ascii="宋体" w:hAnsi="宋体" w:eastAsia="宋体" w:cs="宋体"/>
                <w:color w:val="000000"/>
                <w:sz w:val="24"/>
              </w:rPr>
            </w:pPr>
            <w:r>
              <w:rPr>
                <w:rFonts w:hint="eastAsia" w:ascii="宋体" w:hAnsi="宋体" w:eastAsia="宋体" w:cs="宋体"/>
                <w:color w:val="000000"/>
                <w:sz w:val="24"/>
              </w:rPr>
              <w:t>12</w:t>
            </w:r>
          </w:p>
        </w:tc>
        <w:tc>
          <w:tcPr>
            <w:tcW w:w="890" w:type="pct"/>
            <w:noWrap w:val="0"/>
            <w:vAlign w:val="center"/>
          </w:tcPr>
          <w:p w14:paraId="53D50E09">
            <w:pPr>
              <w:spacing w:line="320" w:lineRule="exact"/>
              <w:jc w:val="center"/>
              <w:rPr>
                <w:rFonts w:hint="eastAsia" w:ascii="宋体" w:hAnsi="宋体" w:eastAsia="宋体" w:cs="宋体"/>
                <w:color w:val="000000"/>
                <w:sz w:val="24"/>
              </w:rPr>
            </w:pPr>
            <w:r>
              <w:rPr>
                <w:rFonts w:hint="eastAsia" w:ascii="宋体" w:hAnsi="宋体" w:eastAsia="宋体" w:cs="宋体"/>
                <w:color w:val="000000"/>
                <w:sz w:val="24"/>
              </w:rPr>
              <w:t>合计</w:t>
            </w:r>
          </w:p>
        </w:tc>
        <w:tc>
          <w:tcPr>
            <w:tcW w:w="413" w:type="pct"/>
            <w:noWrap w:val="0"/>
            <w:vAlign w:val="center"/>
          </w:tcPr>
          <w:p w14:paraId="697D29D5">
            <w:pPr>
              <w:spacing w:line="320" w:lineRule="exact"/>
              <w:jc w:val="center"/>
              <w:rPr>
                <w:rFonts w:hint="eastAsia" w:ascii="宋体" w:hAnsi="宋体" w:eastAsia="宋体" w:cs="宋体"/>
                <w:color w:val="000000"/>
                <w:sz w:val="24"/>
              </w:rPr>
            </w:pPr>
          </w:p>
        </w:tc>
        <w:tc>
          <w:tcPr>
            <w:tcW w:w="623" w:type="pct"/>
            <w:noWrap w:val="0"/>
            <w:vAlign w:val="top"/>
          </w:tcPr>
          <w:p w14:paraId="056A4BB3">
            <w:pPr>
              <w:spacing w:line="320" w:lineRule="exact"/>
              <w:jc w:val="center"/>
              <w:rPr>
                <w:rFonts w:hint="eastAsia" w:ascii="宋体" w:hAnsi="宋体" w:eastAsia="宋体" w:cs="宋体"/>
                <w:color w:val="000000"/>
                <w:sz w:val="24"/>
              </w:rPr>
            </w:pPr>
          </w:p>
        </w:tc>
        <w:tc>
          <w:tcPr>
            <w:tcW w:w="623" w:type="pct"/>
            <w:noWrap w:val="0"/>
            <w:vAlign w:val="top"/>
          </w:tcPr>
          <w:p w14:paraId="3A0C8A56">
            <w:pPr>
              <w:spacing w:line="320" w:lineRule="exact"/>
              <w:jc w:val="center"/>
              <w:rPr>
                <w:rFonts w:hint="eastAsia" w:ascii="宋体" w:hAnsi="宋体" w:eastAsia="宋体" w:cs="宋体"/>
                <w:color w:val="000000"/>
                <w:sz w:val="24"/>
              </w:rPr>
            </w:pPr>
          </w:p>
        </w:tc>
        <w:tc>
          <w:tcPr>
            <w:tcW w:w="1055" w:type="pct"/>
            <w:noWrap w:val="0"/>
            <w:vAlign w:val="top"/>
          </w:tcPr>
          <w:p w14:paraId="069F5708">
            <w:pPr>
              <w:spacing w:line="320" w:lineRule="exact"/>
              <w:jc w:val="center"/>
              <w:rPr>
                <w:rFonts w:hint="eastAsia" w:ascii="宋体" w:hAnsi="宋体" w:eastAsia="宋体" w:cs="宋体"/>
                <w:color w:val="000000"/>
                <w:sz w:val="24"/>
              </w:rPr>
            </w:pPr>
          </w:p>
        </w:tc>
        <w:tc>
          <w:tcPr>
            <w:tcW w:w="1024" w:type="pct"/>
            <w:noWrap w:val="0"/>
            <w:vAlign w:val="top"/>
          </w:tcPr>
          <w:p w14:paraId="62FCC76D">
            <w:pPr>
              <w:spacing w:line="320" w:lineRule="exact"/>
              <w:jc w:val="center"/>
              <w:rPr>
                <w:rFonts w:hint="eastAsia" w:ascii="宋体" w:hAnsi="宋体" w:eastAsia="宋体" w:cs="宋体"/>
                <w:color w:val="000000"/>
                <w:sz w:val="24"/>
              </w:rPr>
            </w:pPr>
          </w:p>
        </w:tc>
      </w:tr>
    </w:tbl>
    <w:p w14:paraId="1941B3EF">
      <w:pPr>
        <w:widowControl/>
        <w:spacing w:line="370" w:lineRule="exact"/>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2.同类采购项目历史成交信息（不少于3个</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提供合同、中标通知书、中标公告截图等）</w:t>
      </w:r>
      <w:r>
        <w:rPr>
          <w:rFonts w:hint="eastAsia" w:ascii="宋体" w:hAnsi="宋体" w:cs="宋体"/>
          <w:color w:val="000000" w:themeColor="text1"/>
          <w:sz w:val="24"/>
          <w:lang w:val="en-US" w:eastAsia="zh-CN"/>
          <w14:textFill>
            <w14:solidFill>
              <w14:schemeClr w14:val="tx1"/>
            </w14:solidFill>
          </w14:textFill>
        </w:rPr>
        <w:t>如果有。</w:t>
      </w:r>
    </w:p>
    <w:p w14:paraId="213CB314">
      <w:pPr>
        <w:pStyle w:val="2"/>
        <w:rPr>
          <w:rFonts w:hint="default"/>
          <w:lang w:val="en-US" w:eastAsia="zh-CN"/>
        </w:rPr>
      </w:pPr>
      <w:r>
        <w:rPr>
          <w:rFonts w:hint="eastAsia"/>
          <w:lang w:val="en-US" w:eastAsia="zh-CN"/>
        </w:rPr>
        <w:t xml:space="preserve">   </w:t>
      </w:r>
      <w:r>
        <w:rPr>
          <w:rStyle w:val="21"/>
          <w:rFonts w:hint="eastAsia" w:ascii="宋体" w:hAnsi="宋体" w:eastAsia="宋体" w:cs="宋体"/>
          <w:b/>
          <w:bCs/>
          <w:color w:val="000000" w:themeColor="text1"/>
          <w:kern w:val="2"/>
          <w:sz w:val="24"/>
          <w:szCs w:val="24"/>
          <w:lang w:val="en-US" w:eastAsia="zh-CN" w:bidi="ar-SA"/>
          <w14:textFill>
            <w14:solidFill>
              <w14:schemeClr w14:val="tx1"/>
            </w14:solidFill>
          </w14:textFill>
        </w:rPr>
        <w:t>注：须提供合同金额或中标金额。</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四</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0A620F0C">
      <w:pPr>
        <w:spacing w:line="370" w:lineRule="exact"/>
        <w:ind w:firstLine="572" w:firstLineChars="200"/>
        <w:jc w:val="center"/>
        <w:rPr>
          <w:rStyle w:val="21"/>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8"/>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vAlign w:val="center"/>
          </w:tcPr>
          <w:p w14:paraId="034B0700">
            <w:pPr>
              <w:tabs>
                <w:tab w:val="left" w:pos="6300"/>
              </w:tabs>
              <w:snapToGrid w:val="0"/>
              <w:spacing w:line="370" w:lineRule="exact"/>
              <w:jc w:val="center"/>
              <w:outlineLvl w:val="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3D0515E3">
      <w:pPr>
        <w:spacing w:line="370" w:lineRule="exact"/>
        <w:rPr>
          <w:rStyle w:val="21"/>
          <w:rFonts w:ascii="宋体" w:hAnsi="宋体" w:eastAsia="宋体" w:cs="宋体"/>
          <w:b w:val="0"/>
          <w:color w:val="000000" w:themeColor="text1"/>
          <w:sz w:val="24"/>
          <w14:textFill>
            <w14:solidFill>
              <w14:schemeClr w14:val="tx1"/>
            </w14:solidFill>
          </w14:textFill>
        </w:rPr>
      </w:pPr>
    </w:p>
    <w:p w14:paraId="1C0EDAE7">
      <w:pPr>
        <w:spacing w:line="370" w:lineRule="exact"/>
        <w:ind w:firstLine="480" w:firstLineChars="200"/>
        <w:rPr>
          <w:rStyle w:val="21"/>
          <w:rFonts w:hint="eastAsia" w:ascii="宋体" w:hAnsi="宋体" w:eastAsia="宋体" w:cs="宋体"/>
          <w:b w:val="0"/>
          <w:color w:val="000000" w:themeColor="text1"/>
          <w:sz w:val="24"/>
          <w14:textFill>
            <w14:solidFill>
              <w14:schemeClr w14:val="tx1"/>
            </w14:solidFill>
          </w14:textFill>
        </w:rPr>
      </w:pPr>
      <w:r>
        <w:rPr>
          <w:rStyle w:val="21"/>
          <w:rFonts w:hint="eastAsia" w:ascii="宋体" w:hAnsi="宋体" w:eastAsia="宋体" w:cs="宋体"/>
          <w:b w:val="0"/>
          <w:color w:val="000000" w:themeColor="text1"/>
          <w:sz w:val="24"/>
          <w14:textFill>
            <w14:solidFill>
              <w14:schemeClr w14:val="tx1"/>
            </w14:solidFill>
          </w14:textFill>
        </w:rPr>
        <w:t>注：</w:t>
      </w:r>
      <w:r>
        <w:rPr>
          <w:rStyle w:val="21"/>
          <w:rFonts w:hint="eastAsia" w:ascii="宋体" w:hAnsi="宋体" w:eastAsia="宋体" w:cs="宋体"/>
          <w:b w:val="0"/>
          <w:color w:val="000000" w:themeColor="text1"/>
          <w:sz w:val="24"/>
          <w:lang w:val="en-US" w:eastAsia="zh-CN"/>
          <w14:textFill>
            <w14:solidFill>
              <w14:schemeClr w14:val="tx1"/>
            </w14:solidFill>
          </w14:textFill>
        </w:rPr>
        <w:t>1.</w:t>
      </w:r>
      <w:r>
        <w:rPr>
          <w:rStyle w:val="21"/>
          <w:rFonts w:hint="eastAsia" w:ascii="宋体" w:hAnsi="宋体" w:eastAsia="宋体" w:cs="宋体"/>
          <w:b w:val="0"/>
          <w:color w:val="000000" w:themeColor="text1"/>
          <w:sz w:val="24"/>
          <w14:textFill>
            <w14:solidFill>
              <w14:schemeClr w14:val="tx1"/>
            </w14:solidFill>
          </w14:textFill>
        </w:rPr>
        <w:t>潜在供应商须按</w:t>
      </w:r>
      <w:r>
        <w:rPr>
          <w:rStyle w:val="21"/>
          <w:rFonts w:hint="eastAsia" w:ascii="宋体" w:hAnsi="宋体" w:eastAsia="宋体" w:cs="宋体"/>
          <w:bCs/>
          <w:color w:val="000000" w:themeColor="text1"/>
          <w:sz w:val="24"/>
          <w14:textFill>
            <w14:solidFill>
              <w14:schemeClr w14:val="tx1"/>
            </w14:solidFill>
          </w14:textFill>
        </w:rPr>
        <w:t>“</w:t>
      </w:r>
      <w:r>
        <w:rPr>
          <w:rStyle w:val="21"/>
          <w:rFonts w:hint="eastAsia" w:ascii="宋体" w:hAnsi="宋体" w:cs="宋体"/>
          <w:bCs/>
          <w:color w:val="000000" w:themeColor="text1"/>
          <w:sz w:val="24"/>
          <w:lang w:val="en-US" w:eastAsia="zh-CN"/>
          <w14:textFill>
            <w14:solidFill>
              <w14:schemeClr w14:val="tx1"/>
            </w14:solidFill>
          </w14:textFill>
        </w:rPr>
        <w:t>四</w:t>
      </w:r>
      <w:r>
        <w:rPr>
          <w:rStyle w:val="21"/>
          <w:rFonts w:hint="eastAsia" w:ascii="宋体" w:hAnsi="宋体" w:eastAsia="宋体" w:cs="宋体"/>
          <w:bCs/>
          <w:color w:val="000000" w:themeColor="text1"/>
          <w:sz w:val="24"/>
          <w:lang w:val="en-US" w:eastAsia="zh-CN"/>
          <w14:textFill>
            <w14:solidFill>
              <w14:schemeClr w14:val="tx1"/>
            </w14:solidFill>
          </w14:textFill>
        </w:rPr>
        <w:t>、</w:t>
      </w:r>
      <w:r>
        <w:rPr>
          <w:rStyle w:val="21"/>
          <w:rFonts w:hint="eastAsia" w:ascii="宋体" w:hAnsi="宋体" w:eastAsia="宋体" w:cs="宋体"/>
          <w:bCs/>
          <w:color w:val="000000" w:themeColor="text1"/>
          <w:sz w:val="24"/>
          <w14:textFill>
            <w14:solidFill>
              <w14:schemeClr w14:val="tx1"/>
            </w14:solidFill>
          </w14:textFill>
        </w:rPr>
        <w:t>基础技术规格”</w:t>
      </w:r>
      <w:r>
        <w:rPr>
          <w:rStyle w:val="21"/>
          <w:rFonts w:hint="eastAsia" w:ascii="宋体" w:hAnsi="宋体" w:eastAsia="宋体" w:cs="宋体"/>
          <w:b w:val="0"/>
          <w:color w:val="000000" w:themeColor="text1"/>
          <w:sz w:val="24"/>
          <w14:textFill>
            <w14:solidFill>
              <w14:schemeClr w14:val="tx1"/>
            </w14:solidFill>
          </w14:textFill>
        </w:rPr>
        <w:t>所列条款逐条响应，同时可提出优化建议。</w:t>
      </w:r>
    </w:p>
    <w:p w14:paraId="7A684A55">
      <w:pPr>
        <w:spacing w:line="370" w:lineRule="exact"/>
        <w:ind w:firstLine="480" w:firstLineChars="200"/>
        <w:rPr>
          <w:rStyle w:val="21"/>
          <w:rFonts w:hint="eastAsia" w:ascii="宋体" w:hAnsi="宋体" w:cs="宋体"/>
          <w:b w:val="0"/>
          <w:color w:val="000000" w:themeColor="text1"/>
          <w:sz w:val="24"/>
          <w:lang w:val="en-US" w:eastAsia="zh-CN"/>
          <w14:textFill>
            <w14:solidFill>
              <w14:schemeClr w14:val="tx1"/>
            </w14:solidFill>
          </w14:textFill>
        </w:rPr>
      </w:pPr>
      <w:r>
        <w:rPr>
          <w:rStyle w:val="21"/>
          <w:rFonts w:hint="eastAsia" w:ascii="宋体" w:hAnsi="宋体" w:cs="宋体"/>
          <w:b w:val="0"/>
          <w:color w:val="000000" w:themeColor="text1"/>
          <w:sz w:val="24"/>
          <w:lang w:val="en-US" w:eastAsia="zh-CN"/>
          <w14:textFill>
            <w14:solidFill>
              <w14:schemeClr w14:val="tx1"/>
            </w14:solidFill>
          </w14:textFill>
        </w:rPr>
        <w:t>（五）商务需求响应表：</w:t>
      </w:r>
    </w:p>
    <w:p w14:paraId="4445BEA0">
      <w:pPr>
        <w:spacing w:line="370" w:lineRule="exact"/>
        <w:jc w:val="center"/>
        <w:rPr>
          <w:rStyle w:val="21"/>
          <w:rFonts w:hint="eastAsia" w:ascii="宋体" w:hAnsi="宋体" w:cs="宋体"/>
          <w:b w:val="0"/>
          <w:color w:val="000000" w:themeColor="text1"/>
          <w:sz w:val="24"/>
          <w:lang w:val="en-US" w:eastAsia="zh-CN"/>
          <w14:textFill>
            <w14:solidFill>
              <w14:schemeClr w14:val="tx1"/>
            </w14:solidFill>
          </w14:textFill>
        </w:rPr>
      </w:pPr>
      <w:r>
        <w:rPr>
          <w:rStyle w:val="21"/>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keepNext w:val="0"/>
              <w:keepLines w:val="0"/>
              <w:pageBreakBefore w:val="0"/>
              <w:widowControl w:val="0"/>
              <w:kinsoku/>
              <w:wordWrap/>
              <w:overflowPunct/>
              <w:topLinePunct w:val="0"/>
              <w:autoSpaceDE/>
              <w:autoSpaceDN/>
              <w:bidi w:val="0"/>
              <w:adjustRightInd/>
              <w:snapToGrid/>
              <w:spacing w:beforeLines="0" w:afterLines="0" w:line="500" w:lineRule="exact"/>
              <w:ind w:firstLine="0" w:firstLineChars="0"/>
              <w:jc w:val="center"/>
              <w:textAlignment w:val="auto"/>
              <w:rPr>
                <w:rFonts w:hint="eastAsia" w:ascii="宋体" w:hAnsi="宋体" w:eastAsia="宋体" w:cs="微软雅黑"/>
                <w:color w:val="000000" w:themeColor="text1"/>
                <w:spacing w:val="23"/>
                <w:kern w:val="0"/>
                <w:sz w:val="24"/>
                <w:szCs w:val="24"/>
                <w:lang w:eastAsia="zh-CN"/>
                <w14:textFill>
                  <w14:solidFill>
                    <w14:schemeClr w14:val="tx1"/>
                  </w14:solidFill>
                </w14:textFill>
              </w:rPr>
            </w:pPr>
            <w:r>
              <w:rPr>
                <w:rFonts w:hint="eastAsia" w:ascii="宋体" w:hAnsi="宋体" w:cs="微软雅黑"/>
                <w:color w:val="000000" w:themeColor="text1"/>
                <w:spacing w:val="23"/>
                <w:kern w:val="0"/>
                <w:sz w:val="24"/>
                <w:szCs w:val="24"/>
                <w:lang w:val="en-US" w:eastAsia="zh-CN"/>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340496A8">
      <w:pPr>
        <w:spacing w:beforeLines="0" w:afterLines="0" w:line="370" w:lineRule="exact"/>
        <w:ind w:firstLine="720" w:firstLineChars="300"/>
        <w:rPr>
          <w:rFonts w:hint="eastAsia" w:ascii="宋体" w:hAnsi="宋体" w:cs="宋体"/>
          <w:color w:val="000000" w:themeColor="text1"/>
          <w:spacing w:val="23"/>
          <w:kern w:val="0"/>
          <w:sz w:val="24"/>
          <w:lang w:val="en-US" w:eastAsia="zh-CN"/>
          <w14:textFill>
            <w14:solidFill>
              <w14:schemeClr w14:val="tx1"/>
            </w14:solidFill>
          </w14:textFill>
        </w:rPr>
      </w:pPr>
      <w:r>
        <w:rPr>
          <w:rStyle w:val="21"/>
          <w:rFonts w:hint="default" w:ascii="宋体" w:hAnsi="宋体" w:cs="宋体"/>
          <w:b w:val="0"/>
          <w:color w:val="000000" w:themeColor="text1"/>
          <w:sz w:val="24"/>
          <w:szCs w:val="24"/>
          <w14:textFill>
            <w14:solidFill>
              <w14:schemeClr w14:val="tx1"/>
            </w14:solidFill>
          </w14:textFill>
        </w:rPr>
        <w:t>注：1.潜在供应商须按</w:t>
      </w:r>
      <w:r>
        <w:rPr>
          <w:rStyle w:val="21"/>
          <w:rFonts w:hint="default" w:ascii="宋体" w:hAnsi="宋体" w:cs="宋体"/>
          <w:color w:val="000000" w:themeColor="text1"/>
          <w:sz w:val="24"/>
          <w:szCs w:val="24"/>
          <w14:textFill>
            <w14:solidFill>
              <w14:schemeClr w14:val="tx1"/>
            </w14:solidFill>
          </w14:textFill>
        </w:rPr>
        <w:t>“</w:t>
      </w:r>
      <w:r>
        <w:rPr>
          <w:rStyle w:val="21"/>
          <w:rFonts w:hint="eastAsia" w:ascii="宋体" w:hAnsi="宋体" w:cs="宋体"/>
          <w:color w:val="000000" w:themeColor="text1"/>
          <w:sz w:val="24"/>
          <w:szCs w:val="24"/>
          <w:lang w:val="en-US" w:eastAsia="zh-CN"/>
          <w14:textFill>
            <w14:solidFill>
              <w14:schemeClr w14:val="tx1"/>
            </w14:solidFill>
          </w14:textFill>
        </w:rPr>
        <w:t>五</w:t>
      </w:r>
      <w:r>
        <w:rPr>
          <w:rStyle w:val="21"/>
          <w:rFonts w:hint="default" w:ascii="宋体" w:hAnsi="宋体" w:cs="宋体"/>
          <w:color w:val="000000" w:themeColor="text1"/>
          <w:sz w:val="24"/>
          <w:szCs w:val="24"/>
          <w14:textFill>
            <w14:solidFill>
              <w14:schemeClr w14:val="tx1"/>
            </w14:solidFill>
          </w14:textFill>
        </w:rPr>
        <w:t>、商务要求”</w:t>
      </w:r>
      <w:r>
        <w:rPr>
          <w:rStyle w:val="21"/>
          <w:rFonts w:hint="default" w:ascii="宋体" w:hAnsi="宋体" w:cs="宋体"/>
          <w:b w:val="0"/>
          <w:color w:val="000000" w:themeColor="text1"/>
          <w:sz w:val="24"/>
          <w:szCs w:val="24"/>
          <w14:textFill>
            <w14:solidFill>
              <w14:schemeClr w14:val="tx1"/>
            </w14:solidFill>
          </w14:textFill>
        </w:rPr>
        <w:t>所列条款逐条响应，同时可提出优化建议。</w:t>
      </w:r>
    </w:p>
    <w:p w14:paraId="03711ACA">
      <w:pPr>
        <w:numPr>
          <w:ilvl w:val="0"/>
          <w:numId w:val="0"/>
        </w:numPr>
        <w:spacing w:line="370" w:lineRule="exact"/>
        <w:rPr>
          <w:rFonts w:hint="default" w:ascii="宋体" w:hAnsi="宋体" w:eastAsia="宋体" w:cs="宋体"/>
          <w:b/>
          <w:bCs/>
          <w:color w:val="000000" w:themeColor="text1"/>
          <w:spacing w:val="23"/>
          <w:kern w:val="0"/>
          <w:sz w:val="24"/>
          <w:lang w:val="en-US" w:eastAsia="zh-CN"/>
          <w14:textFill>
            <w14:solidFill>
              <w14:schemeClr w14:val="tx1"/>
            </w14:solidFill>
          </w14:textFill>
        </w:rPr>
      </w:pPr>
    </w:p>
    <w:p w14:paraId="3EA72EB4">
      <w:pPr>
        <w:keepNext w:val="0"/>
        <w:keepLines w:val="0"/>
        <w:pageBreakBefore w:val="0"/>
        <w:widowControl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七</w:t>
      </w:r>
      <w:r>
        <w:rPr>
          <w:rStyle w:val="21"/>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19</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9</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24</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09</w:t>
      </w:r>
      <w:r>
        <w:rPr>
          <w:rFonts w:hint="eastAsia" w:ascii="宋体" w:hAnsi="宋体" w:eastAsia="宋体" w:cs="宋体"/>
          <w:color w:val="000000" w:themeColor="text1"/>
          <w:spacing w:val="23"/>
          <w:sz w:val="24"/>
          <w14:textFill>
            <w14:solidFill>
              <w14:schemeClr w14:val="tx1"/>
            </w14:solidFill>
          </w14:textFill>
        </w:rPr>
        <w:t>:00</w:t>
      </w:r>
    </w:p>
    <w:p w14:paraId="029D1A3A">
      <w:pPr>
        <w:keepNext w:val="0"/>
        <w:keepLines w:val="0"/>
        <w:pageBreakBefore w:val="0"/>
        <w:widowControl/>
        <w:kinsoku/>
        <w:wordWrap/>
        <w:overflowPunct/>
        <w:topLinePunct w:val="0"/>
        <w:autoSpaceDE/>
        <w:autoSpaceDN/>
        <w:bidi w:val="0"/>
        <w:adjustRightInd/>
        <w:snapToGrid/>
        <w:spacing w:line="400" w:lineRule="exact"/>
        <w:ind w:firstLine="572" w:firstLineChars="200"/>
        <w:textAlignment w:val="auto"/>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kern w:val="0"/>
          <w:sz w:val="24"/>
          <w:lang w:eastAsia="zh-CN" w:bidi="ar"/>
          <w14:textFill>
            <w14:solidFill>
              <w14:schemeClr w14:val="tx1"/>
            </w14:solidFill>
          </w14:textFill>
        </w:rPr>
        <w:t>（</w:t>
      </w: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49214DDF">
      <w:pPr>
        <w:keepNext w:val="0"/>
        <w:keepLines w:val="0"/>
        <w:pageBreakBefore w:val="0"/>
        <w:kinsoku/>
        <w:wordWrap/>
        <w:overflowPunct/>
        <w:topLinePunct w:val="0"/>
        <w:autoSpaceDE/>
        <w:autoSpaceDN/>
        <w:bidi w:val="0"/>
        <w:adjustRightInd/>
        <w:snapToGrid/>
        <w:spacing w:line="400" w:lineRule="exact"/>
        <w:ind w:firstLine="572" w:firstLineChars="200"/>
        <w:jc w:val="left"/>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五</w:t>
      </w:r>
      <w:r>
        <w:rPr>
          <w:rFonts w:hint="eastAsia" w:ascii="宋体" w:hAnsi="宋体" w:eastAsia="宋体" w:cs="宋体"/>
          <w:color w:val="000000" w:themeColor="text1"/>
          <w:spacing w:val="23"/>
          <w:sz w:val="24"/>
          <w14:textFill>
            <w14:solidFill>
              <w14:schemeClr w14:val="tx1"/>
            </w14:solidFill>
          </w14:textFill>
        </w:rPr>
        <w:t>）联系方式：</w:t>
      </w:r>
    </w:p>
    <w:p w14:paraId="1D777A80">
      <w:pPr>
        <w:keepNext w:val="0"/>
        <w:keepLines w:val="0"/>
        <w:pageBreakBefore w:val="0"/>
        <w:kinsoku/>
        <w:wordWrap/>
        <w:overflowPunct/>
        <w:topLinePunct w:val="0"/>
        <w:autoSpaceDE/>
        <w:autoSpaceDN/>
        <w:bidi w:val="0"/>
        <w:adjustRightInd/>
        <w:snapToGrid/>
        <w:spacing w:line="400" w:lineRule="exact"/>
        <w:ind w:firstLine="858" w:firstLineChars="300"/>
        <w:textAlignment w:val="auto"/>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黄</w:t>
      </w:r>
      <w:r>
        <w:rPr>
          <w:rFonts w:hint="eastAsia" w:ascii="宋体" w:hAnsi="宋体" w:eastAsia="宋体" w:cs="宋体"/>
          <w:color w:val="000000" w:themeColor="text1"/>
          <w:spacing w:val="23"/>
          <w:sz w:val="24"/>
          <w14:textFill>
            <w14:solidFill>
              <w14:schemeClr w14:val="tx1"/>
            </w14:solidFill>
          </w14:textFill>
        </w:rPr>
        <w:t>老师</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124C8B1E">
      <w:pPr>
        <w:keepNext w:val="0"/>
        <w:keepLines w:val="0"/>
        <w:pageBreakBefore w:val="0"/>
        <w:kinsoku/>
        <w:wordWrap/>
        <w:overflowPunct/>
        <w:topLinePunct w:val="0"/>
        <w:autoSpaceDE/>
        <w:autoSpaceDN/>
        <w:bidi w:val="0"/>
        <w:adjustRightInd/>
        <w:snapToGrid/>
        <w:spacing w:line="400" w:lineRule="exact"/>
        <w:ind w:firstLine="858" w:firstLineChars="300"/>
        <w:textAlignment w:val="auto"/>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联系人：汪老师        联</w:t>
      </w:r>
      <w:bookmarkStart w:id="2" w:name="_GoBack"/>
      <w:bookmarkEnd w:id="2"/>
      <w:r>
        <w:rPr>
          <w:rFonts w:hint="eastAsia" w:ascii="宋体" w:hAnsi="宋体" w:cs="宋体"/>
          <w:color w:val="000000" w:themeColor="text1"/>
          <w:spacing w:val="23"/>
          <w:sz w:val="24"/>
          <w:lang w:val="en-US" w:eastAsia="zh-CN"/>
          <w14:textFill>
            <w14:solidFill>
              <w14:schemeClr w14:val="tx1"/>
            </w14:solidFill>
          </w14:textFill>
        </w:rPr>
        <w:t>系电话：023-62896015.</w:t>
      </w:r>
    </w:p>
    <w:p w14:paraId="40B4EB08">
      <w:pPr>
        <w:keepNext w:val="0"/>
        <w:keepLines w:val="0"/>
        <w:pageBreakBefore w:val="0"/>
        <w:kinsoku/>
        <w:wordWrap/>
        <w:overflowPunct/>
        <w:topLinePunct w:val="0"/>
        <w:autoSpaceDE/>
        <w:autoSpaceDN/>
        <w:bidi w:val="0"/>
        <w:adjustRightInd/>
        <w:snapToGrid/>
        <w:spacing w:line="400" w:lineRule="exact"/>
        <w:ind w:firstLine="858" w:firstLineChars="300"/>
        <w:textAlignment w:val="auto"/>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w:t>
      </w:r>
      <w:r>
        <w:rPr>
          <w:rFonts w:hint="eastAsia" w:ascii="宋体" w:hAnsi="宋体" w:cs="宋体"/>
          <w:color w:val="000000" w:themeColor="text1"/>
          <w:spacing w:val="23"/>
          <w:sz w:val="24"/>
          <w:lang w:val="en-US" w:eastAsia="zh-CN"/>
          <w14:textFill>
            <w14:solidFill>
              <w14:schemeClr w14:val="tx1"/>
            </w14:solidFill>
          </w14:textFill>
        </w:rPr>
        <w:t>77213</w:t>
      </w:r>
      <w:r>
        <w:rPr>
          <w:rFonts w:hint="eastAsia" w:ascii="宋体" w:hAnsi="宋体" w:eastAsia="宋体" w:cs="宋体"/>
          <w:color w:val="000000" w:themeColor="text1"/>
          <w:spacing w:val="23"/>
          <w:sz w:val="24"/>
          <w14:textFill>
            <w14:solidFill>
              <w14:schemeClr w14:val="tx1"/>
            </w14:solidFill>
          </w14:textFill>
        </w:rPr>
        <w:t>（纪委办公室）</w:t>
      </w:r>
    </w:p>
    <w:p w14:paraId="1F21E297">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26BF2357">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7AF6DEC3">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3ECE7AEA">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391D2428">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color w:val="000000" w:themeColor="text1"/>
          <w:spacing w:val="23"/>
          <w:sz w:val="24"/>
          <w14:textFill>
            <w14:solidFill>
              <w14:schemeClr w14:val="tx1"/>
            </w14:solidFill>
          </w14:textFill>
        </w:rPr>
      </w:pPr>
      <w:r>
        <w:rPr>
          <w:rFonts w:hint="eastAsia" w:ascii="宋体" w:hAnsi="宋体" w:cs="宋体"/>
          <w:bCs/>
          <w:color w:val="000000" w:themeColor="text1"/>
          <w:spacing w:val="23"/>
          <w:sz w:val="24"/>
          <w:lang w:val="en-US" w:eastAsia="zh-CN"/>
          <w14:textFill>
            <w14:solidFill>
              <w14:schemeClr w14:val="tx1"/>
            </w14:solidFill>
          </w14:textFill>
        </w:rPr>
        <w:t xml:space="preserve">                                </w:t>
      </w:r>
      <w:r>
        <w:rPr>
          <w:rFonts w:hint="eastAsia" w:ascii="宋体" w:hAnsi="宋体" w:eastAsia="宋体" w:cs="宋体"/>
          <w:bCs/>
          <w:color w:val="000000" w:themeColor="text1"/>
          <w:spacing w:val="23"/>
          <w:sz w:val="24"/>
          <w14:textFill>
            <w14:solidFill>
              <w14:schemeClr w14:val="tx1"/>
            </w14:solidFill>
          </w14:textFill>
        </w:rPr>
        <w:t>重庆市第五人民医院</w:t>
      </w:r>
    </w:p>
    <w:p w14:paraId="7F61FBBD">
      <w:pPr>
        <w:spacing w:after="120" w:line="370" w:lineRule="exact"/>
        <w:ind w:right="263" w:firstLine="858" w:firstLineChars="300"/>
        <w:jc w:val="center"/>
        <w:rPr>
          <w:rFonts w:hint="eastAsia" w:ascii="Times New Roman" w:hAnsi="Times New Roman" w:eastAsia="宋体" w:cs="Times New Roman"/>
          <w:spacing w:val="23"/>
          <w:sz w:val="24"/>
          <w:szCs w:val="24"/>
          <w:lang w:eastAsia="zh-CN"/>
        </w:rPr>
      </w:pPr>
      <w:r>
        <w:rPr>
          <w:rFonts w:hint="eastAsia" w:ascii="宋体" w:hAnsi="宋体" w:cs="宋体"/>
          <w:bCs/>
          <w:color w:val="000000" w:themeColor="text1"/>
          <w:spacing w:val="23"/>
          <w:sz w:val="24"/>
          <w:lang w:val="en-US" w:eastAsia="zh-CN"/>
          <w14:textFill>
            <w14:solidFill>
              <w14:schemeClr w14:val="tx1"/>
            </w14:solidFill>
          </w14:textFill>
        </w:rPr>
        <w:t xml:space="preserve">                                  </w:t>
      </w:r>
      <w:r>
        <w:rPr>
          <w:rFonts w:hint="eastAsia" w:ascii="宋体" w:hAnsi="宋体" w:eastAsia="宋体" w:cs="宋体"/>
          <w:bCs/>
          <w:color w:val="000000" w:themeColor="text1"/>
          <w:spacing w:val="23"/>
          <w:sz w:val="24"/>
          <w14:textFill>
            <w14:solidFill>
              <w14:schemeClr w14:val="tx1"/>
            </w14:solidFill>
          </w14:textFill>
        </w:rPr>
        <w:t>202</w:t>
      </w:r>
      <w:r>
        <w:rPr>
          <w:rFonts w:hint="eastAsia" w:ascii="宋体" w:hAnsi="宋体" w:cs="宋体"/>
          <w:bCs/>
          <w:color w:val="000000" w:themeColor="text1"/>
          <w:spacing w:val="23"/>
          <w:sz w:val="24"/>
          <w:lang w:val="en-US" w:eastAsia="zh-CN"/>
          <w14:textFill>
            <w14:solidFill>
              <w14:schemeClr w14:val="tx1"/>
            </w14:solidFill>
          </w14:textFill>
        </w:rPr>
        <w:t>5</w:t>
      </w:r>
      <w:r>
        <w:rPr>
          <w:rFonts w:hint="eastAsia" w:ascii="宋体" w:hAnsi="宋体" w:eastAsia="宋体" w:cs="宋体"/>
          <w:bCs/>
          <w:color w:val="000000" w:themeColor="text1"/>
          <w:spacing w:val="23"/>
          <w:sz w:val="24"/>
          <w14:textFill>
            <w14:solidFill>
              <w14:schemeClr w14:val="tx1"/>
            </w14:solidFill>
          </w14:textFill>
        </w:rPr>
        <w:t>年</w:t>
      </w:r>
      <w:r>
        <w:rPr>
          <w:rFonts w:hint="eastAsia" w:ascii="宋体" w:hAnsi="宋体" w:cs="宋体"/>
          <w:bCs/>
          <w:color w:val="000000" w:themeColor="text1"/>
          <w:spacing w:val="23"/>
          <w:sz w:val="24"/>
          <w:lang w:val="en-US" w:eastAsia="zh-CN"/>
          <w14:textFill>
            <w14:solidFill>
              <w14:schemeClr w14:val="tx1"/>
            </w14:solidFill>
          </w14:textFill>
        </w:rPr>
        <w:t>9</w:t>
      </w:r>
      <w:r>
        <w:rPr>
          <w:rFonts w:hint="eastAsia" w:ascii="宋体" w:hAnsi="宋体" w:eastAsia="宋体" w:cs="宋体"/>
          <w:bCs/>
          <w:color w:val="000000" w:themeColor="text1"/>
          <w:spacing w:val="23"/>
          <w:sz w:val="24"/>
          <w14:textFill>
            <w14:solidFill>
              <w14:schemeClr w14:val="tx1"/>
            </w14:solidFill>
          </w14:textFill>
        </w:rPr>
        <w:t>月</w:t>
      </w:r>
      <w:r>
        <w:rPr>
          <w:rFonts w:hint="eastAsia" w:ascii="宋体" w:hAnsi="宋体" w:cs="宋体"/>
          <w:bCs/>
          <w:color w:val="000000" w:themeColor="text1"/>
          <w:spacing w:val="23"/>
          <w:sz w:val="24"/>
          <w:lang w:val="en-US" w:eastAsia="zh-CN"/>
          <w14:textFill>
            <w14:solidFill>
              <w14:schemeClr w14:val="tx1"/>
            </w14:solidFill>
          </w14:textFill>
        </w:rPr>
        <w:t>19</w:t>
      </w:r>
      <w:r>
        <w:rPr>
          <w:rFonts w:hint="eastAsia" w:ascii="宋体" w:hAnsi="宋体" w:eastAsia="宋体" w:cs="宋体"/>
          <w:bCs/>
          <w:color w:val="000000" w:themeColor="text1"/>
          <w:spacing w:val="23"/>
          <w:sz w:val="24"/>
          <w14:textFill>
            <w14:solidFill>
              <w14:schemeClr w14:val="tx1"/>
            </w14:solidFill>
          </w14:textFill>
        </w:rPr>
        <w:t>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小米兰亭">
    <w:altName w:val="宋体"/>
    <w:panose1 w:val="00000000000000000000"/>
    <w:charset w:val="86"/>
    <w:family w:val="script"/>
    <w:pitch w:val="default"/>
    <w:sig w:usb0="00000000" w:usb1="00000000" w:usb2="00000036"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7A5223"/>
    <w:multiLevelType w:val="singleLevel"/>
    <w:tmpl w:val="ED7A5223"/>
    <w:lvl w:ilvl="0" w:tentative="0">
      <w:start w:val="4"/>
      <w:numFmt w:val="chineseCounting"/>
      <w:suff w:val="nothing"/>
      <w:lvlText w:val="%1、"/>
      <w:lvlJc w:val="left"/>
      <w:pPr>
        <w:ind w:left="60" w:leftChars="0" w:firstLine="0" w:firstLineChars="0"/>
      </w:pPr>
      <w:rPr>
        <w:rFonts w:hint="eastAsia"/>
      </w:rPr>
    </w:lvl>
  </w:abstractNum>
  <w:abstractNum w:abstractNumId="1">
    <w:nsid w:val="4DB583B2"/>
    <w:multiLevelType w:val="singleLevel"/>
    <w:tmpl w:val="4DB583B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kNzBlMTQ3NTU0MTc2ODdhYTE0YjRkYWFhY2ZmYjI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58A9"/>
    <w:rsid w:val="00B06736"/>
    <w:rsid w:val="00B159A8"/>
    <w:rsid w:val="00B16330"/>
    <w:rsid w:val="00B31967"/>
    <w:rsid w:val="00B31F1E"/>
    <w:rsid w:val="00B354DC"/>
    <w:rsid w:val="00B365CA"/>
    <w:rsid w:val="00B40BF3"/>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07C92"/>
    <w:rsid w:val="010818DD"/>
    <w:rsid w:val="012D2791"/>
    <w:rsid w:val="013D28F9"/>
    <w:rsid w:val="01BE5B29"/>
    <w:rsid w:val="02283BC5"/>
    <w:rsid w:val="02803303"/>
    <w:rsid w:val="028532D6"/>
    <w:rsid w:val="02A46F55"/>
    <w:rsid w:val="036924AE"/>
    <w:rsid w:val="038615FD"/>
    <w:rsid w:val="03B82117"/>
    <w:rsid w:val="03CE46F6"/>
    <w:rsid w:val="03EF5F19"/>
    <w:rsid w:val="041F054D"/>
    <w:rsid w:val="045B0817"/>
    <w:rsid w:val="04780182"/>
    <w:rsid w:val="04A26E27"/>
    <w:rsid w:val="04FB33E3"/>
    <w:rsid w:val="050A7B63"/>
    <w:rsid w:val="05377B18"/>
    <w:rsid w:val="05940AC6"/>
    <w:rsid w:val="05AA41A6"/>
    <w:rsid w:val="06165963"/>
    <w:rsid w:val="06634FFF"/>
    <w:rsid w:val="06844DA3"/>
    <w:rsid w:val="06C414F7"/>
    <w:rsid w:val="06CB22FB"/>
    <w:rsid w:val="06E824F7"/>
    <w:rsid w:val="06ED3FB0"/>
    <w:rsid w:val="070F0400"/>
    <w:rsid w:val="0719154A"/>
    <w:rsid w:val="07A676A0"/>
    <w:rsid w:val="08282691"/>
    <w:rsid w:val="087B4C55"/>
    <w:rsid w:val="08AF5C62"/>
    <w:rsid w:val="08D31269"/>
    <w:rsid w:val="094B47FD"/>
    <w:rsid w:val="099C2DD2"/>
    <w:rsid w:val="09B96DEB"/>
    <w:rsid w:val="09F15B92"/>
    <w:rsid w:val="0A024381"/>
    <w:rsid w:val="0A344626"/>
    <w:rsid w:val="0AD128ED"/>
    <w:rsid w:val="0AE425CF"/>
    <w:rsid w:val="0B6409E9"/>
    <w:rsid w:val="0B6D313E"/>
    <w:rsid w:val="0B707905"/>
    <w:rsid w:val="0B8639DD"/>
    <w:rsid w:val="0B8A2D50"/>
    <w:rsid w:val="0C3C74AF"/>
    <w:rsid w:val="0C9546B7"/>
    <w:rsid w:val="0CBA524A"/>
    <w:rsid w:val="0D2210AE"/>
    <w:rsid w:val="0D2D73F1"/>
    <w:rsid w:val="0D380DF8"/>
    <w:rsid w:val="0D3C7DAF"/>
    <w:rsid w:val="0D5D20E6"/>
    <w:rsid w:val="0D767E6A"/>
    <w:rsid w:val="0D784A63"/>
    <w:rsid w:val="0E0013EF"/>
    <w:rsid w:val="0E9D7D0E"/>
    <w:rsid w:val="0F0A0699"/>
    <w:rsid w:val="0F7A6F7F"/>
    <w:rsid w:val="0F9A13CF"/>
    <w:rsid w:val="0FA222F2"/>
    <w:rsid w:val="0FD752ED"/>
    <w:rsid w:val="100E40A0"/>
    <w:rsid w:val="104E6F81"/>
    <w:rsid w:val="10B43AEA"/>
    <w:rsid w:val="10EC2015"/>
    <w:rsid w:val="10FE16DB"/>
    <w:rsid w:val="112C4612"/>
    <w:rsid w:val="1161562B"/>
    <w:rsid w:val="116D31AF"/>
    <w:rsid w:val="116D6CD9"/>
    <w:rsid w:val="119C2FA6"/>
    <w:rsid w:val="119E46F0"/>
    <w:rsid w:val="119F7732"/>
    <w:rsid w:val="11BF73C9"/>
    <w:rsid w:val="11D010D8"/>
    <w:rsid w:val="12353631"/>
    <w:rsid w:val="135D4CF4"/>
    <w:rsid w:val="13741F37"/>
    <w:rsid w:val="13C714D0"/>
    <w:rsid w:val="13C85080"/>
    <w:rsid w:val="13F6106B"/>
    <w:rsid w:val="13FA41EA"/>
    <w:rsid w:val="1416120E"/>
    <w:rsid w:val="146F398C"/>
    <w:rsid w:val="14816E61"/>
    <w:rsid w:val="14A85F1C"/>
    <w:rsid w:val="14D20B63"/>
    <w:rsid w:val="150D2889"/>
    <w:rsid w:val="152662C1"/>
    <w:rsid w:val="155D54D6"/>
    <w:rsid w:val="1568787A"/>
    <w:rsid w:val="15BC67B5"/>
    <w:rsid w:val="16062011"/>
    <w:rsid w:val="16A412E6"/>
    <w:rsid w:val="17C11460"/>
    <w:rsid w:val="17D631C0"/>
    <w:rsid w:val="17FDF48F"/>
    <w:rsid w:val="188D341A"/>
    <w:rsid w:val="18AE37F5"/>
    <w:rsid w:val="18C91813"/>
    <w:rsid w:val="18DE057F"/>
    <w:rsid w:val="1940009C"/>
    <w:rsid w:val="198E6865"/>
    <w:rsid w:val="19975A3B"/>
    <w:rsid w:val="19A06EB0"/>
    <w:rsid w:val="19A277FE"/>
    <w:rsid w:val="19EC5625"/>
    <w:rsid w:val="19F36238"/>
    <w:rsid w:val="1A9766A4"/>
    <w:rsid w:val="1AC92C13"/>
    <w:rsid w:val="1AE60B28"/>
    <w:rsid w:val="1B0659E2"/>
    <w:rsid w:val="1B2C3616"/>
    <w:rsid w:val="1B6E0E0C"/>
    <w:rsid w:val="1C151A75"/>
    <w:rsid w:val="1C580E1F"/>
    <w:rsid w:val="1C717AD9"/>
    <w:rsid w:val="1C9B1A81"/>
    <w:rsid w:val="1CA90EA4"/>
    <w:rsid w:val="1CD87390"/>
    <w:rsid w:val="1CE22FF2"/>
    <w:rsid w:val="1CE85104"/>
    <w:rsid w:val="1CFB6C54"/>
    <w:rsid w:val="1CFD4F9F"/>
    <w:rsid w:val="1DDD2435"/>
    <w:rsid w:val="1E017E69"/>
    <w:rsid w:val="1E217A80"/>
    <w:rsid w:val="1E29229C"/>
    <w:rsid w:val="1E8B27B2"/>
    <w:rsid w:val="1E980803"/>
    <w:rsid w:val="1EE77A61"/>
    <w:rsid w:val="1EF44211"/>
    <w:rsid w:val="1F0252C4"/>
    <w:rsid w:val="1F47475D"/>
    <w:rsid w:val="1F5C13F9"/>
    <w:rsid w:val="1F882FF2"/>
    <w:rsid w:val="1F930A9A"/>
    <w:rsid w:val="1FBC7210"/>
    <w:rsid w:val="201104B7"/>
    <w:rsid w:val="205773FA"/>
    <w:rsid w:val="20743577"/>
    <w:rsid w:val="20863AF3"/>
    <w:rsid w:val="20D10281"/>
    <w:rsid w:val="20E9537B"/>
    <w:rsid w:val="2154739E"/>
    <w:rsid w:val="216058A9"/>
    <w:rsid w:val="216B2BCB"/>
    <w:rsid w:val="22902B4B"/>
    <w:rsid w:val="22CB10A7"/>
    <w:rsid w:val="22D12B6E"/>
    <w:rsid w:val="22F015DA"/>
    <w:rsid w:val="23174DEE"/>
    <w:rsid w:val="238907B8"/>
    <w:rsid w:val="23B334EF"/>
    <w:rsid w:val="241333C0"/>
    <w:rsid w:val="247C11C7"/>
    <w:rsid w:val="24AD30E1"/>
    <w:rsid w:val="24D215AA"/>
    <w:rsid w:val="25037C29"/>
    <w:rsid w:val="258B6B0B"/>
    <w:rsid w:val="25B84650"/>
    <w:rsid w:val="26550716"/>
    <w:rsid w:val="26CA2142"/>
    <w:rsid w:val="26DE789F"/>
    <w:rsid w:val="274F6D66"/>
    <w:rsid w:val="27A110F5"/>
    <w:rsid w:val="27AB1443"/>
    <w:rsid w:val="2819095A"/>
    <w:rsid w:val="282A2D36"/>
    <w:rsid w:val="288B3710"/>
    <w:rsid w:val="28930E4C"/>
    <w:rsid w:val="28A1537A"/>
    <w:rsid w:val="28FC2A84"/>
    <w:rsid w:val="29164701"/>
    <w:rsid w:val="291C696D"/>
    <w:rsid w:val="29225B27"/>
    <w:rsid w:val="295B6339"/>
    <w:rsid w:val="2A097DB4"/>
    <w:rsid w:val="2A276AFE"/>
    <w:rsid w:val="2A4E308A"/>
    <w:rsid w:val="2ABA0471"/>
    <w:rsid w:val="2AE77E45"/>
    <w:rsid w:val="2B06357F"/>
    <w:rsid w:val="2B963751"/>
    <w:rsid w:val="2BB1567F"/>
    <w:rsid w:val="2BC701C9"/>
    <w:rsid w:val="2BDC7126"/>
    <w:rsid w:val="2BFC252D"/>
    <w:rsid w:val="2BFD6A74"/>
    <w:rsid w:val="2C4D508C"/>
    <w:rsid w:val="2C503913"/>
    <w:rsid w:val="2C7D37B3"/>
    <w:rsid w:val="2CE75B60"/>
    <w:rsid w:val="2DD378BF"/>
    <w:rsid w:val="2DD653C6"/>
    <w:rsid w:val="2E281528"/>
    <w:rsid w:val="2E350C2B"/>
    <w:rsid w:val="2E4A1A53"/>
    <w:rsid w:val="2E514269"/>
    <w:rsid w:val="2E5C31A5"/>
    <w:rsid w:val="2E8E1F43"/>
    <w:rsid w:val="2E94354A"/>
    <w:rsid w:val="2EA03186"/>
    <w:rsid w:val="2EC718DF"/>
    <w:rsid w:val="2ED770D5"/>
    <w:rsid w:val="2ED973C6"/>
    <w:rsid w:val="2EF20488"/>
    <w:rsid w:val="2FA960BF"/>
    <w:rsid w:val="2FE160FB"/>
    <w:rsid w:val="2FEF1616"/>
    <w:rsid w:val="2FF76BA0"/>
    <w:rsid w:val="30A92EE7"/>
    <w:rsid w:val="310060D5"/>
    <w:rsid w:val="31014018"/>
    <w:rsid w:val="3139413A"/>
    <w:rsid w:val="315716D8"/>
    <w:rsid w:val="31640A04"/>
    <w:rsid w:val="31980D96"/>
    <w:rsid w:val="31B354C8"/>
    <w:rsid w:val="31FD54BD"/>
    <w:rsid w:val="320D7B8B"/>
    <w:rsid w:val="324A5723"/>
    <w:rsid w:val="327B2543"/>
    <w:rsid w:val="328C622B"/>
    <w:rsid w:val="32967A40"/>
    <w:rsid w:val="32B136D3"/>
    <w:rsid w:val="32B56FDB"/>
    <w:rsid w:val="32D1646E"/>
    <w:rsid w:val="33677D24"/>
    <w:rsid w:val="337C47C4"/>
    <w:rsid w:val="33AE00EC"/>
    <w:rsid w:val="33BA4571"/>
    <w:rsid w:val="33CA3740"/>
    <w:rsid w:val="33F614CC"/>
    <w:rsid w:val="34330164"/>
    <w:rsid w:val="343F6E5F"/>
    <w:rsid w:val="34517140"/>
    <w:rsid w:val="3518416F"/>
    <w:rsid w:val="35927F3A"/>
    <w:rsid w:val="35F6716C"/>
    <w:rsid w:val="35F9691B"/>
    <w:rsid w:val="366074F7"/>
    <w:rsid w:val="36AF20C8"/>
    <w:rsid w:val="36DF0500"/>
    <w:rsid w:val="36F53794"/>
    <w:rsid w:val="36F92F47"/>
    <w:rsid w:val="37405047"/>
    <w:rsid w:val="37AF0839"/>
    <w:rsid w:val="37B14865"/>
    <w:rsid w:val="37DB3AA0"/>
    <w:rsid w:val="3857480D"/>
    <w:rsid w:val="38CA4224"/>
    <w:rsid w:val="38CC7030"/>
    <w:rsid w:val="391E3727"/>
    <w:rsid w:val="392074CC"/>
    <w:rsid w:val="39643170"/>
    <w:rsid w:val="39AA5AC5"/>
    <w:rsid w:val="39E906DA"/>
    <w:rsid w:val="3A08720C"/>
    <w:rsid w:val="3A2F40F5"/>
    <w:rsid w:val="3A446A24"/>
    <w:rsid w:val="3A6E4238"/>
    <w:rsid w:val="3A891C8F"/>
    <w:rsid w:val="3ABC7482"/>
    <w:rsid w:val="3AC87304"/>
    <w:rsid w:val="3ACE2959"/>
    <w:rsid w:val="3B0C0AD5"/>
    <w:rsid w:val="3B543B8A"/>
    <w:rsid w:val="3BDB1B11"/>
    <w:rsid w:val="3C9C1EDC"/>
    <w:rsid w:val="3CBB4EB5"/>
    <w:rsid w:val="3D4520CB"/>
    <w:rsid w:val="3DA522C1"/>
    <w:rsid w:val="3DC32406"/>
    <w:rsid w:val="3DE64C5E"/>
    <w:rsid w:val="3E4630DF"/>
    <w:rsid w:val="3E84497A"/>
    <w:rsid w:val="3ED276C5"/>
    <w:rsid w:val="3F0F5204"/>
    <w:rsid w:val="3F204B9F"/>
    <w:rsid w:val="3FA91B84"/>
    <w:rsid w:val="3FD633C9"/>
    <w:rsid w:val="40631A60"/>
    <w:rsid w:val="409E1740"/>
    <w:rsid w:val="40DD6FD3"/>
    <w:rsid w:val="416702A3"/>
    <w:rsid w:val="41736DA9"/>
    <w:rsid w:val="41B51A25"/>
    <w:rsid w:val="41D4397D"/>
    <w:rsid w:val="42156510"/>
    <w:rsid w:val="42204EB5"/>
    <w:rsid w:val="423A6F2D"/>
    <w:rsid w:val="426240F8"/>
    <w:rsid w:val="428B0580"/>
    <w:rsid w:val="428B30DD"/>
    <w:rsid w:val="42BE177B"/>
    <w:rsid w:val="43000262"/>
    <w:rsid w:val="43214265"/>
    <w:rsid w:val="432F17A2"/>
    <w:rsid w:val="43553AD4"/>
    <w:rsid w:val="43675256"/>
    <w:rsid w:val="43AA1AF9"/>
    <w:rsid w:val="44452BAA"/>
    <w:rsid w:val="44AE0556"/>
    <w:rsid w:val="44CC5B91"/>
    <w:rsid w:val="44FA249D"/>
    <w:rsid w:val="451444A1"/>
    <w:rsid w:val="45211AC1"/>
    <w:rsid w:val="4552494A"/>
    <w:rsid w:val="45672F7B"/>
    <w:rsid w:val="45CA2679"/>
    <w:rsid w:val="462E638F"/>
    <w:rsid w:val="465263B5"/>
    <w:rsid w:val="466D7E95"/>
    <w:rsid w:val="46806325"/>
    <w:rsid w:val="46A120DD"/>
    <w:rsid w:val="46B35424"/>
    <w:rsid w:val="47256044"/>
    <w:rsid w:val="47D7186A"/>
    <w:rsid w:val="483E6094"/>
    <w:rsid w:val="48990A9A"/>
    <w:rsid w:val="48A84580"/>
    <w:rsid w:val="48DD58AD"/>
    <w:rsid w:val="491234B2"/>
    <w:rsid w:val="4920556D"/>
    <w:rsid w:val="49B24137"/>
    <w:rsid w:val="49C64593"/>
    <w:rsid w:val="4A1C273A"/>
    <w:rsid w:val="4A45370A"/>
    <w:rsid w:val="4AA77871"/>
    <w:rsid w:val="4C4C6525"/>
    <w:rsid w:val="4C830395"/>
    <w:rsid w:val="4C8D4D26"/>
    <w:rsid w:val="4C9C7A93"/>
    <w:rsid w:val="4CB2104D"/>
    <w:rsid w:val="4CC0176E"/>
    <w:rsid w:val="4CDBD836"/>
    <w:rsid w:val="4D785BFD"/>
    <w:rsid w:val="4D8933DA"/>
    <w:rsid w:val="4DAB41CC"/>
    <w:rsid w:val="4E1B79C7"/>
    <w:rsid w:val="4EFB7043"/>
    <w:rsid w:val="4F0617A2"/>
    <w:rsid w:val="4F2955E6"/>
    <w:rsid w:val="4F3753C1"/>
    <w:rsid w:val="4F9A0054"/>
    <w:rsid w:val="4FB82BD0"/>
    <w:rsid w:val="5011793C"/>
    <w:rsid w:val="50280D96"/>
    <w:rsid w:val="505432B9"/>
    <w:rsid w:val="516C7F1D"/>
    <w:rsid w:val="51801920"/>
    <w:rsid w:val="51FE7DDD"/>
    <w:rsid w:val="521F23B3"/>
    <w:rsid w:val="5245699D"/>
    <w:rsid w:val="52A84D1B"/>
    <w:rsid w:val="52CF036C"/>
    <w:rsid w:val="53045B79"/>
    <w:rsid w:val="53135385"/>
    <w:rsid w:val="531B5950"/>
    <w:rsid w:val="532A2681"/>
    <w:rsid w:val="532D4F08"/>
    <w:rsid w:val="536E0863"/>
    <w:rsid w:val="537D2167"/>
    <w:rsid w:val="541303D5"/>
    <w:rsid w:val="54293BE3"/>
    <w:rsid w:val="543B4B25"/>
    <w:rsid w:val="543D5452"/>
    <w:rsid w:val="544E1F49"/>
    <w:rsid w:val="544E359C"/>
    <w:rsid w:val="5473776B"/>
    <w:rsid w:val="548C58E4"/>
    <w:rsid w:val="548D78E9"/>
    <w:rsid w:val="552C7CC3"/>
    <w:rsid w:val="554240AE"/>
    <w:rsid w:val="55760CC1"/>
    <w:rsid w:val="55995639"/>
    <w:rsid w:val="55E55DA1"/>
    <w:rsid w:val="5640190F"/>
    <w:rsid w:val="567C497F"/>
    <w:rsid w:val="56A26130"/>
    <w:rsid w:val="57483228"/>
    <w:rsid w:val="57F10A2D"/>
    <w:rsid w:val="57FE1127"/>
    <w:rsid w:val="58157DC2"/>
    <w:rsid w:val="58536372"/>
    <w:rsid w:val="586B1440"/>
    <w:rsid w:val="58A74308"/>
    <w:rsid w:val="58DD0FB2"/>
    <w:rsid w:val="58EE5B20"/>
    <w:rsid w:val="58FC7F21"/>
    <w:rsid w:val="591337A1"/>
    <w:rsid w:val="59296694"/>
    <w:rsid w:val="59703DE0"/>
    <w:rsid w:val="597162CA"/>
    <w:rsid w:val="5977610A"/>
    <w:rsid w:val="59EA7E2A"/>
    <w:rsid w:val="5A0E3465"/>
    <w:rsid w:val="5A146C55"/>
    <w:rsid w:val="5A3E0CA3"/>
    <w:rsid w:val="5A5D41B8"/>
    <w:rsid w:val="5A9C3F59"/>
    <w:rsid w:val="5B231347"/>
    <w:rsid w:val="5BF270BB"/>
    <w:rsid w:val="5C003602"/>
    <w:rsid w:val="5C003935"/>
    <w:rsid w:val="5C1861F9"/>
    <w:rsid w:val="5C8749F3"/>
    <w:rsid w:val="5CAE2AF6"/>
    <w:rsid w:val="5CE5663B"/>
    <w:rsid w:val="5D17511B"/>
    <w:rsid w:val="5D261DDE"/>
    <w:rsid w:val="5DB73672"/>
    <w:rsid w:val="5E5862A7"/>
    <w:rsid w:val="5E8D23CB"/>
    <w:rsid w:val="5EBB74A4"/>
    <w:rsid w:val="5F101CC4"/>
    <w:rsid w:val="5F6E73D9"/>
    <w:rsid w:val="5F7570C5"/>
    <w:rsid w:val="5F7F0ABD"/>
    <w:rsid w:val="5F963A2E"/>
    <w:rsid w:val="5FBE2B1B"/>
    <w:rsid w:val="604B45D5"/>
    <w:rsid w:val="60622947"/>
    <w:rsid w:val="60F72F01"/>
    <w:rsid w:val="60F87F0C"/>
    <w:rsid w:val="613227E2"/>
    <w:rsid w:val="61447B7B"/>
    <w:rsid w:val="619F0883"/>
    <w:rsid w:val="622A3AE1"/>
    <w:rsid w:val="624C28AA"/>
    <w:rsid w:val="62BC749F"/>
    <w:rsid w:val="63157DB7"/>
    <w:rsid w:val="633A25F5"/>
    <w:rsid w:val="63A4104A"/>
    <w:rsid w:val="64047D3A"/>
    <w:rsid w:val="64460A20"/>
    <w:rsid w:val="645025DF"/>
    <w:rsid w:val="64520109"/>
    <w:rsid w:val="64B802FA"/>
    <w:rsid w:val="657B3936"/>
    <w:rsid w:val="65CD41F4"/>
    <w:rsid w:val="65F72E67"/>
    <w:rsid w:val="66030EE1"/>
    <w:rsid w:val="66601720"/>
    <w:rsid w:val="66AA0DC1"/>
    <w:rsid w:val="66EA2E83"/>
    <w:rsid w:val="6720474D"/>
    <w:rsid w:val="6729654F"/>
    <w:rsid w:val="6813619F"/>
    <w:rsid w:val="68422D8C"/>
    <w:rsid w:val="68805914"/>
    <w:rsid w:val="68862EDD"/>
    <w:rsid w:val="688630B7"/>
    <w:rsid w:val="68BB285B"/>
    <w:rsid w:val="695B33AF"/>
    <w:rsid w:val="698E1207"/>
    <w:rsid w:val="69C93642"/>
    <w:rsid w:val="6A6E2A76"/>
    <w:rsid w:val="6AA63FD6"/>
    <w:rsid w:val="6AB56BA8"/>
    <w:rsid w:val="6B3765C5"/>
    <w:rsid w:val="6BB70C71"/>
    <w:rsid w:val="6C535DD2"/>
    <w:rsid w:val="6D0E5CCF"/>
    <w:rsid w:val="6D2D3681"/>
    <w:rsid w:val="6D344EC4"/>
    <w:rsid w:val="6D484F00"/>
    <w:rsid w:val="6D6A700F"/>
    <w:rsid w:val="6D816A63"/>
    <w:rsid w:val="6DD227A4"/>
    <w:rsid w:val="6DF928B9"/>
    <w:rsid w:val="6DFA6436"/>
    <w:rsid w:val="6E53498E"/>
    <w:rsid w:val="6E5A3A45"/>
    <w:rsid w:val="6E5C3EDE"/>
    <w:rsid w:val="6EFE3273"/>
    <w:rsid w:val="6F2A116E"/>
    <w:rsid w:val="6F715E6C"/>
    <w:rsid w:val="6FA975A6"/>
    <w:rsid w:val="6FC21926"/>
    <w:rsid w:val="6FE80AD6"/>
    <w:rsid w:val="70170DF2"/>
    <w:rsid w:val="70262C44"/>
    <w:rsid w:val="707C34E0"/>
    <w:rsid w:val="708C021B"/>
    <w:rsid w:val="70D171F6"/>
    <w:rsid w:val="70D3762A"/>
    <w:rsid w:val="70E62CA2"/>
    <w:rsid w:val="70E747E4"/>
    <w:rsid w:val="70ED2282"/>
    <w:rsid w:val="70FF1FB5"/>
    <w:rsid w:val="710918EC"/>
    <w:rsid w:val="710B53C4"/>
    <w:rsid w:val="71941DD0"/>
    <w:rsid w:val="71EB3C92"/>
    <w:rsid w:val="72072820"/>
    <w:rsid w:val="72151809"/>
    <w:rsid w:val="72C0250C"/>
    <w:rsid w:val="734A283F"/>
    <w:rsid w:val="734B7B3B"/>
    <w:rsid w:val="739410AD"/>
    <w:rsid w:val="73A54DE1"/>
    <w:rsid w:val="73BA2F09"/>
    <w:rsid w:val="73E15FEC"/>
    <w:rsid w:val="73E616C6"/>
    <w:rsid w:val="744A0DE7"/>
    <w:rsid w:val="744A4232"/>
    <w:rsid w:val="747A57EE"/>
    <w:rsid w:val="748603A1"/>
    <w:rsid w:val="74896224"/>
    <w:rsid w:val="748E1C15"/>
    <w:rsid w:val="74914D1F"/>
    <w:rsid w:val="74B55E53"/>
    <w:rsid w:val="74DA5B41"/>
    <w:rsid w:val="74E96EF2"/>
    <w:rsid w:val="7503354C"/>
    <w:rsid w:val="75452EF4"/>
    <w:rsid w:val="754C7394"/>
    <w:rsid w:val="75B34F4D"/>
    <w:rsid w:val="75C90D5F"/>
    <w:rsid w:val="75EA6E31"/>
    <w:rsid w:val="760B2BA6"/>
    <w:rsid w:val="76351892"/>
    <w:rsid w:val="765776CF"/>
    <w:rsid w:val="76911902"/>
    <w:rsid w:val="772137DD"/>
    <w:rsid w:val="77410A62"/>
    <w:rsid w:val="774E334F"/>
    <w:rsid w:val="77876D29"/>
    <w:rsid w:val="77996EB9"/>
    <w:rsid w:val="77A34383"/>
    <w:rsid w:val="77FFB43B"/>
    <w:rsid w:val="782B0837"/>
    <w:rsid w:val="78E17561"/>
    <w:rsid w:val="78FD6F8C"/>
    <w:rsid w:val="792C4B7D"/>
    <w:rsid w:val="79331834"/>
    <w:rsid w:val="794569F6"/>
    <w:rsid w:val="795D662A"/>
    <w:rsid w:val="7A2D0D70"/>
    <w:rsid w:val="7A9A4A39"/>
    <w:rsid w:val="7ACA5B58"/>
    <w:rsid w:val="7B276F1B"/>
    <w:rsid w:val="7BAE6AB2"/>
    <w:rsid w:val="7BD36518"/>
    <w:rsid w:val="7BFA360A"/>
    <w:rsid w:val="7BFFACDA"/>
    <w:rsid w:val="7C120A2D"/>
    <w:rsid w:val="7C634A0B"/>
    <w:rsid w:val="7CBA4FB3"/>
    <w:rsid w:val="7D395D1D"/>
    <w:rsid w:val="7D670130"/>
    <w:rsid w:val="7D713595"/>
    <w:rsid w:val="7D760AC1"/>
    <w:rsid w:val="7D8819DC"/>
    <w:rsid w:val="7DD16ED8"/>
    <w:rsid w:val="7E085260"/>
    <w:rsid w:val="7E352CAF"/>
    <w:rsid w:val="7E646573"/>
    <w:rsid w:val="7E910548"/>
    <w:rsid w:val="7EFE05D4"/>
    <w:rsid w:val="7F3673F5"/>
    <w:rsid w:val="7F9F184D"/>
    <w:rsid w:val="7FA05122"/>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qFormat/>
    <w:uiPriority w:val="0"/>
    <w:pPr>
      <w:keepNext/>
      <w:keepLines/>
      <w:outlineLvl w:val="0"/>
    </w:pPr>
    <w:rPr>
      <w:b/>
      <w:bCs/>
      <w:color w:val="C00000"/>
      <w:kern w:val="44"/>
      <w:sz w:val="28"/>
      <w:szCs w:val="44"/>
    </w:rPr>
  </w:style>
  <w:style w:type="paragraph" w:styleId="4">
    <w:name w:val="heading 2"/>
    <w:basedOn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qFormat/>
    <w:uiPriority w:val="0"/>
    <w:pPr>
      <w:keepNext/>
      <w:keepLines/>
      <w:spacing w:beforeLines="20" w:afterLines="20" w:line="380" w:lineRule="exact"/>
      <w:ind w:firstLine="67" w:firstLineChars="67"/>
      <w:outlineLvl w:val="2"/>
    </w:pPr>
    <w:rPr>
      <w:rFonts w:ascii="Verdana" w:hAnsi="Verdana" w:eastAsia="黑体"/>
      <w:b/>
      <w:bCs/>
      <w:sz w:val="27"/>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0"/>
    <w:pPr>
      <w:widowControl/>
      <w:tabs>
        <w:tab w:val="left" w:pos="1134"/>
      </w:tabs>
      <w:adjustRightInd w:val="0"/>
      <w:snapToGrid w:val="0"/>
      <w:spacing w:line="280" w:lineRule="atLeast"/>
      <w:jc w:val="left"/>
    </w:pPr>
    <w:rPr>
      <w:rFonts w:ascii="Times New Roman" w:hAnsi="Times New Roman" w:eastAsia="PMingLiU"/>
      <w:b/>
      <w:kern w:val="0"/>
      <w:sz w:val="24"/>
      <w:lang w:eastAsia="zh-TW"/>
    </w:rPr>
  </w:style>
  <w:style w:type="paragraph" w:styleId="6">
    <w:name w:val="annotation text"/>
    <w:basedOn w:val="1"/>
    <w:qFormat/>
    <w:uiPriority w:val="0"/>
    <w:pPr>
      <w:jc w:val="left"/>
    </w:pPr>
  </w:style>
  <w:style w:type="paragraph" w:styleId="7">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8">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9">
    <w:name w:val="Body Text Indent 2"/>
    <w:basedOn w:val="1"/>
    <w:qFormat/>
    <w:uiPriority w:val="0"/>
    <w:pPr>
      <w:snapToGrid w:val="0"/>
      <w:spacing w:line="560" w:lineRule="atLeast"/>
      <w:ind w:firstLine="540"/>
    </w:pPr>
  </w:style>
  <w:style w:type="paragraph" w:styleId="10">
    <w:name w:val="footer"/>
    <w:basedOn w:val="1"/>
    <w:link w:val="23"/>
    <w:qFormat/>
    <w:uiPriority w:val="0"/>
    <w:pPr>
      <w:tabs>
        <w:tab w:val="center" w:pos="4153"/>
        <w:tab w:val="right" w:pos="8306"/>
      </w:tabs>
      <w:snapToGrid w:val="0"/>
      <w:jc w:val="left"/>
    </w:pPr>
    <w:rPr>
      <w:sz w:val="18"/>
      <w:szCs w:val="18"/>
    </w:rPr>
  </w:style>
  <w:style w:type="paragraph" w:styleId="11">
    <w:name w:val="header"/>
    <w:basedOn w:val="1"/>
    <w:next w:val="5"/>
    <w:link w:val="24"/>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Normal (Web)"/>
    <w:basedOn w:val="1"/>
    <w:qFormat/>
    <w:uiPriority w:val="0"/>
    <w:pPr>
      <w:spacing w:before="100" w:beforeAutospacing="1" w:after="100" w:afterAutospacing="1"/>
      <w:jc w:val="left"/>
    </w:pPr>
    <w:rPr>
      <w:kern w:val="0"/>
      <w:sz w:val="24"/>
    </w:rPr>
  </w:style>
  <w:style w:type="paragraph" w:styleId="14">
    <w:name w:val="Title"/>
    <w:basedOn w:val="1"/>
    <w:next w:val="1"/>
    <w:link w:val="25"/>
    <w:qFormat/>
    <w:uiPriority w:val="0"/>
    <w:pPr>
      <w:spacing w:before="240" w:after="60"/>
      <w:jc w:val="center"/>
      <w:outlineLvl w:val="0"/>
    </w:pPr>
    <w:rPr>
      <w:rFonts w:ascii="等线 Light" w:hAnsi="等线 Light"/>
      <w:b/>
      <w:bCs/>
      <w:sz w:val="32"/>
      <w:szCs w:val="32"/>
    </w:rPr>
  </w:style>
  <w:style w:type="paragraph" w:styleId="15">
    <w:name w:val="Body Text First Indent"/>
    <w:basedOn w:val="7"/>
    <w:next w:val="16"/>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customStyle="1" w:styleId="16">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styleId="17">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9">
    <w:name w:val="Table Grid"/>
    <w:basedOn w:val="1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Hyperlink"/>
    <w:qFormat/>
    <w:uiPriority w:val="0"/>
    <w:rPr>
      <w:color w:val="0563C1"/>
      <w:u w:val="single"/>
    </w:rPr>
  </w:style>
  <w:style w:type="character" w:customStyle="1" w:styleId="23">
    <w:name w:val="页脚 字符"/>
    <w:link w:val="10"/>
    <w:qFormat/>
    <w:uiPriority w:val="0"/>
    <w:rPr>
      <w:rFonts w:ascii="Calibri" w:hAnsi="Calibri"/>
      <w:kern w:val="2"/>
      <w:sz w:val="18"/>
      <w:szCs w:val="18"/>
    </w:rPr>
  </w:style>
  <w:style w:type="character" w:customStyle="1" w:styleId="24">
    <w:name w:val="页眉 字符"/>
    <w:link w:val="11"/>
    <w:qFormat/>
    <w:uiPriority w:val="0"/>
    <w:rPr>
      <w:rFonts w:ascii="Calibri" w:hAnsi="Calibri"/>
      <w:kern w:val="2"/>
      <w:sz w:val="18"/>
      <w:szCs w:val="18"/>
    </w:rPr>
  </w:style>
  <w:style w:type="character" w:customStyle="1" w:styleId="25">
    <w:name w:val="标题 字符"/>
    <w:link w:val="14"/>
    <w:qFormat/>
    <w:uiPriority w:val="0"/>
    <w:rPr>
      <w:rFonts w:ascii="等线 Light" w:hAnsi="等线 Light" w:cs="Times New Roman"/>
      <w:b/>
      <w:bCs/>
      <w:kern w:val="2"/>
      <w:sz w:val="32"/>
      <w:szCs w:val="32"/>
    </w:rPr>
  </w:style>
  <w:style w:type="character" w:customStyle="1" w:styleId="26">
    <w:name w:val="未处理的提及1"/>
    <w:unhideWhenUsed/>
    <w:qFormat/>
    <w:uiPriority w:val="99"/>
    <w:rPr>
      <w:color w:val="605E5C"/>
      <w:shd w:val="clear" w:color="auto" w:fill="E1DFDD"/>
    </w:rPr>
  </w:style>
  <w:style w:type="paragraph" w:customStyle="1" w:styleId="27">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8">
    <w:name w:val="Other|1"/>
    <w:qFormat/>
    <w:uiPriority w:val="0"/>
    <w:pPr>
      <w:widowControl w:val="0"/>
      <w:jc w:val="both"/>
    </w:pPr>
    <w:rPr>
      <w:rFonts w:ascii="宋体" w:hAnsi="宋体" w:eastAsia="宋体" w:cs="宋体"/>
      <w:kern w:val="2"/>
      <w:lang w:val="zh-TW" w:eastAsia="zh-TW" w:bidi="zh-TW"/>
    </w:rPr>
  </w:style>
  <w:style w:type="character" w:customStyle="1" w:styleId="29">
    <w:name w:val="font11"/>
    <w:basedOn w:val="20"/>
    <w:qFormat/>
    <w:uiPriority w:val="0"/>
    <w:rPr>
      <w:rFonts w:hint="eastAsia" w:ascii="方正仿宋_GBK" w:hAnsi="方正仿宋_GBK" w:eastAsia="方正仿宋_GBK" w:cs="方正仿宋_GBK"/>
      <w:color w:val="000000"/>
      <w:sz w:val="30"/>
      <w:szCs w:val="30"/>
      <w:u w:val="none"/>
    </w:rPr>
  </w:style>
  <w:style w:type="character" w:customStyle="1" w:styleId="30">
    <w:name w:val="font21"/>
    <w:basedOn w:val="20"/>
    <w:qFormat/>
    <w:uiPriority w:val="0"/>
    <w:rPr>
      <w:rFonts w:hint="eastAsia" w:ascii="方正仿宋_GBK" w:hAnsi="方正仿宋_GBK" w:eastAsia="方正仿宋_GBK" w:cs="方正仿宋_GBK"/>
      <w:color w:val="000000"/>
      <w:sz w:val="25"/>
      <w:szCs w:val="25"/>
      <w:u w:val="none"/>
    </w:rPr>
  </w:style>
  <w:style w:type="character" w:customStyle="1" w:styleId="31">
    <w:name w:val="font31"/>
    <w:basedOn w:val="20"/>
    <w:qFormat/>
    <w:uiPriority w:val="0"/>
    <w:rPr>
      <w:rFonts w:hint="eastAsia" w:ascii="方正仿宋_GBK" w:hAnsi="方正仿宋_GBK" w:eastAsia="方正仿宋_GBK" w:cs="方正仿宋_GBK"/>
      <w:color w:val="000000"/>
      <w:sz w:val="21"/>
      <w:szCs w:val="21"/>
      <w:u w:val="none"/>
    </w:rPr>
  </w:style>
  <w:style w:type="character" w:customStyle="1" w:styleId="32">
    <w:name w:val="font41"/>
    <w:basedOn w:val="20"/>
    <w:qFormat/>
    <w:uiPriority w:val="0"/>
    <w:rPr>
      <w:rFonts w:hint="eastAsia" w:ascii="方正仿宋_GBK" w:hAnsi="方正仿宋_GBK" w:eastAsia="方正仿宋_GBK" w:cs="方正仿宋_GBK"/>
      <w:color w:val="000000"/>
      <w:sz w:val="24"/>
      <w:szCs w:val="24"/>
      <w:u w:val="none"/>
    </w:rPr>
  </w:style>
  <w:style w:type="character" w:customStyle="1" w:styleId="33">
    <w:name w:val="font81"/>
    <w:qFormat/>
    <w:uiPriority w:val="0"/>
    <w:rPr>
      <w:rFonts w:hint="default" w:ascii="Calibri" w:hAnsi="Calibri" w:cs="Calibri"/>
      <w:color w:val="000000"/>
      <w:sz w:val="21"/>
      <w:szCs w:val="21"/>
      <w:u w:val="none"/>
    </w:rPr>
  </w:style>
  <w:style w:type="character" w:customStyle="1" w:styleId="34">
    <w:name w:val="font91"/>
    <w:qFormat/>
    <w:uiPriority w:val="0"/>
    <w:rPr>
      <w:rFonts w:hint="eastAsia" w:ascii="宋体" w:hAnsi="宋体" w:eastAsia="宋体" w:cs="宋体"/>
      <w:color w:val="000000"/>
      <w:sz w:val="21"/>
      <w:szCs w:val="21"/>
      <w:u w:val="none"/>
    </w:rPr>
  </w:style>
  <w:style w:type="paragraph" w:styleId="35">
    <w:name w:val="List Paragraph"/>
    <w:basedOn w:val="1"/>
    <w:autoRedefine/>
    <w:unhideWhenUsed/>
    <w:qFormat/>
    <w:uiPriority w:val="1"/>
    <w:pPr>
      <w:spacing w:line="360" w:lineRule="auto"/>
      <w:ind w:firstLine="480" w:firstLineChars="200"/>
    </w:pPr>
    <w:rPr>
      <w:rFonts w:ascii="Calibri" w:hAnsi="Calibri" w:eastAsia="宋体" w:cs="Times New Roman"/>
    </w:rPr>
  </w:style>
  <w:style w:type="character" w:customStyle="1" w:styleId="36">
    <w:name w:val="font01"/>
    <w:basedOn w:val="20"/>
    <w:qFormat/>
    <w:uiPriority w:val="0"/>
    <w:rPr>
      <w:rFonts w:hint="eastAsia" w:ascii="宋体" w:hAnsi="宋体" w:eastAsia="宋体" w:cs="宋体"/>
      <w:color w:val="000000"/>
      <w:sz w:val="24"/>
      <w:szCs w:val="24"/>
      <w:u w:val="none"/>
    </w:rPr>
  </w:style>
  <w:style w:type="character" w:customStyle="1" w:styleId="37">
    <w:name w:val="font51"/>
    <w:basedOn w:val="20"/>
    <w:qFormat/>
    <w:uiPriority w:val="0"/>
    <w:rPr>
      <w:rFonts w:hint="eastAsia" w:ascii="微软雅黑" w:hAnsi="微软雅黑" w:eastAsia="微软雅黑" w:cs="微软雅黑"/>
      <w:color w:val="000000"/>
      <w:sz w:val="16"/>
      <w:szCs w:val="16"/>
      <w:u w:val="none"/>
    </w:rPr>
  </w:style>
  <w:style w:type="character" w:customStyle="1" w:styleId="38">
    <w:name w:val="font61"/>
    <w:basedOn w:val="20"/>
    <w:qFormat/>
    <w:uiPriority w:val="0"/>
    <w:rPr>
      <w:rFonts w:hint="eastAsia" w:ascii="微软雅黑" w:hAnsi="微软雅黑" w:eastAsia="微软雅黑" w:cs="微软雅黑"/>
      <w:color w:val="FF0000"/>
      <w:sz w:val="16"/>
      <w:szCs w:val="16"/>
      <w:u w:val="none"/>
    </w:rPr>
  </w:style>
  <w:style w:type="paragraph" w:customStyle="1" w:styleId="39">
    <w:name w:val="Table Paragraph"/>
    <w:basedOn w:val="1"/>
    <w:qFormat/>
    <w:uiPriority w:val="1"/>
    <w:pPr>
      <w:spacing w:before="99"/>
    </w:pPr>
  </w:style>
  <w:style w:type="table" w:customStyle="1" w:styleId="40">
    <w:name w:val="Table Normal"/>
    <w:semiHidden/>
    <w:unhideWhenUsed/>
    <w:qFormat/>
    <w:uiPriority w:val="2"/>
    <w:tblPr>
      <w:tblCellMar>
        <w:top w:w="0" w:type="dxa"/>
        <w:left w:w="0" w:type="dxa"/>
        <w:bottom w:w="0" w:type="dxa"/>
        <w:right w:w="0" w:type="dxa"/>
      </w:tblCellMar>
    </w:tblPr>
  </w:style>
  <w:style w:type="paragraph" w:customStyle="1" w:styleId="41">
    <w:name w:val="商务正文"/>
    <w:basedOn w:val="1"/>
    <w:qFormat/>
    <w:uiPriority w:val="0"/>
    <w:pPr>
      <w:widowControl/>
      <w:spacing w:line="480" w:lineRule="exact"/>
      <w:ind w:firstLine="200" w:firstLineChars="200"/>
    </w:pPr>
    <w:rPr>
      <w:rFonts w:ascii="小米兰亭" w:hAnsi="Calibri" w:eastAsia="小米兰亭"/>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5920</Words>
  <Characters>6393</Characters>
  <Lines>61</Lines>
  <Paragraphs>17</Paragraphs>
  <TotalTime>6</TotalTime>
  <ScaleCrop>false</ScaleCrop>
  <LinksUpToDate>false</LinksUpToDate>
  <CharactersWithSpaces>6528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黄怡君</cp:lastModifiedBy>
  <cp:lastPrinted>2023-12-18T04:44:00Z</cp:lastPrinted>
  <dcterms:modified xsi:type="dcterms:W3CDTF">2025-09-19T00:12:43Z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3FCE4257C3B142E7B8CE8830A78ED91A_13</vt:lpwstr>
  </property>
  <property fmtid="{D5CDD505-2E9C-101B-9397-08002B2CF9AE}" pid="4" name="commondata">
    <vt:lpwstr>eyJoZGlkIjoiZTdlMDJlZjBlZDFlOThlMTFhNWFlMGFhM2RhNDAwOWIifQ==</vt:lpwstr>
  </property>
  <property fmtid="{D5CDD505-2E9C-101B-9397-08002B2CF9AE}" pid="5" name="KSOTemplateDocerSaveRecord">
    <vt:lpwstr>eyJoZGlkIjoiM2UwYjUwNGNjZGRmZmY4YWQ1YjhhNGMwZDcyYWY4M2MiLCJ1c2VySWQiOiIxMjc1MzQ1MDc4In0=</vt:lpwstr>
  </property>
</Properties>
</file>