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9"/>
        <w:tblW w:w="0" w:type="auto"/>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921"/>
        <w:gridCol w:w="7143"/>
        <w:gridCol w:w="798"/>
        <w:gridCol w:w="766"/>
      </w:tblGrid>
      <w:tr w14:paraId="6D84193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81" w:hRule="atLeast"/>
          <w:jc w:val="center"/>
        </w:trPr>
        <w:tc>
          <w:tcPr>
            <w:tcW w:w="0" w:type="auto"/>
            <w:vAlign w:val="center"/>
          </w:tcPr>
          <w:p w14:paraId="4DF21330">
            <w:pPr>
              <w:snapToGrid w:val="0"/>
              <w:spacing w:line="500" w:lineRule="exact"/>
              <w:jc w:val="center"/>
              <w:rPr>
                <w:rFonts w:hint="eastAsia" w:ascii="方正仿宋_GBK" w:hAnsi="方正仿宋_GBK" w:eastAsia="方正仿宋_GBK" w:cs="方正仿宋_GBK"/>
                <w:color w:val="auto"/>
                <w:sz w:val="24"/>
                <w:szCs w:val="24"/>
              </w:rPr>
            </w:pPr>
            <w:bookmarkStart w:id="6" w:name="_GoBack"/>
            <w:bookmarkEnd w:id="6"/>
            <w:bookmarkStart w:id="0" w:name="_Toc7648"/>
            <w:bookmarkStart w:id="1" w:name="_Toc521661359"/>
            <w:bookmarkStart w:id="2" w:name="_Toc4745"/>
            <w:bookmarkStart w:id="3" w:name="_Toc1363"/>
            <w:bookmarkStart w:id="4" w:name="_Toc12680"/>
            <w:bookmarkStart w:id="5" w:name="_Hlk102066780"/>
            <w:r>
              <w:rPr>
                <w:rFonts w:hint="eastAsia" w:ascii="方正仿宋_GBK" w:hAnsi="方正仿宋_GBK" w:eastAsia="方正仿宋_GBK" w:cs="方正仿宋_GBK"/>
                <w:color w:val="auto"/>
                <w:sz w:val="24"/>
                <w:szCs w:val="24"/>
              </w:rPr>
              <w:t>名称</w:t>
            </w:r>
          </w:p>
        </w:tc>
        <w:tc>
          <w:tcPr>
            <w:tcW w:w="0" w:type="auto"/>
            <w:vAlign w:val="center"/>
          </w:tcPr>
          <w:p w14:paraId="7D85047B">
            <w:pPr>
              <w:snapToGrid w:val="0"/>
              <w:spacing w:line="50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内容</w:t>
            </w:r>
          </w:p>
        </w:tc>
        <w:tc>
          <w:tcPr>
            <w:tcW w:w="0" w:type="auto"/>
            <w:vAlign w:val="center"/>
          </w:tcPr>
          <w:p w14:paraId="613DC0C7">
            <w:pPr>
              <w:snapToGrid w:val="0"/>
              <w:spacing w:line="50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服务周期</w:t>
            </w:r>
          </w:p>
        </w:tc>
        <w:tc>
          <w:tcPr>
            <w:tcW w:w="0" w:type="auto"/>
            <w:vAlign w:val="center"/>
          </w:tcPr>
          <w:p w14:paraId="309EE624">
            <w:pPr>
              <w:snapToGrid w:val="0"/>
              <w:spacing w:line="50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交付材料</w:t>
            </w:r>
          </w:p>
        </w:tc>
      </w:tr>
      <w:tr w14:paraId="44DD430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81" w:hRule="atLeast"/>
          <w:jc w:val="center"/>
        </w:trPr>
        <w:tc>
          <w:tcPr>
            <w:tcW w:w="0" w:type="auto"/>
            <w:vAlign w:val="center"/>
          </w:tcPr>
          <w:p w14:paraId="1DD62DA6">
            <w:pPr>
              <w:snapToGrid w:val="0"/>
              <w:spacing w:line="50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安全扫描服务</w:t>
            </w:r>
          </w:p>
        </w:tc>
        <w:tc>
          <w:tcPr>
            <w:tcW w:w="0" w:type="auto"/>
            <w:vAlign w:val="center"/>
          </w:tcPr>
          <w:p w14:paraId="2CCA04FC">
            <w:pPr>
              <w:snapToGrid w:val="0"/>
              <w:spacing w:line="500" w:lineRule="exact"/>
              <w:jc w:val="lef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安全漏洞扫描会对信息系统内的网络设备、操作系统、应用软件、中间件和服务等进行安全漏洞识别，详细内容如下：</w:t>
            </w:r>
          </w:p>
          <w:p w14:paraId="525252F1">
            <w:pPr>
              <w:snapToGrid w:val="0"/>
              <w:spacing w:line="500" w:lineRule="exact"/>
              <w:jc w:val="lef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网络层漏洞识别</w:t>
            </w:r>
          </w:p>
          <w:p w14:paraId="479A9F3E">
            <w:pPr>
              <w:snapToGrid w:val="0"/>
              <w:spacing w:line="500" w:lineRule="exact"/>
              <w:jc w:val="lef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版本漏洞，包括但不限于IOS存在的漏洞，涉及包括所有在线网络设备及安全设备。</w:t>
            </w:r>
          </w:p>
          <w:p w14:paraId="4BA45AE0">
            <w:pPr>
              <w:snapToGrid w:val="0"/>
              <w:spacing w:line="500" w:lineRule="exact"/>
              <w:jc w:val="lef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开放服务，包括但不限于路由器开放的Web管理界面、其他管理方式等。空弱口令，例如空/弱telnet口令、snmp口令等。</w:t>
            </w:r>
          </w:p>
          <w:p w14:paraId="27816DF1">
            <w:pPr>
              <w:snapToGrid w:val="0"/>
              <w:spacing w:line="500" w:lineRule="exact"/>
              <w:jc w:val="lef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网络资源的访问控制：检测到无线访问点，域名系统：ISC BIND SIG资源记录无效过期时间拒绝服务攻击漏洞，Microsoft Windows DNS拒绝服务攻击，路由器：Cisco IOS Web配置接口安全认证可被绕过，Nortel交换机/路由器缺省口令漏洞，华为网络设备没有设置口令，</w:t>
            </w:r>
          </w:p>
          <w:p w14:paraId="41B97341">
            <w:pPr>
              <w:snapToGrid w:val="0"/>
              <w:spacing w:line="500" w:lineRule="exact"/>
              <w:jc w:val="lef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操作系统层漏洞识别</w:t>
            </w:r>
          </w:p>
          <w:p w14:paraId="24B807A2">
            <w:pPr>
              <w:snapToGrid w:val="0"/>
              <w:spacing w:line="500" w:lineRule="exact"/>
              <w:jc w:val="lef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操作系统（包括Windows、AIX和Linux、HPUX、Solaris、VMware等）的系统补丁、漏洞、病毒等各类异常缺陷，……</w:t>
            </w:r>
          </w:p>
          <w:p w14:paraId="0CCC7CE8">
            <w:pPr>
              <w:snapToGrid w:val="0"/>
              <w:spacing w:line="500" w:lineRule="exact"/>
              <w:jc w:val="lef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空/弱口令系统帐户检测，</w:t>
            </w:r>
          </w:p>
          <w:p w14:paraId="13B0FE7F">
            <w:pPr>
              <w:snapToGrid w:val="0"/>
              <w:spacing w:line="500" w:lineRule="exact"/>
              <w:jc w:val="lef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例如：身份认证：通过telnet进行口令猜测，访问控制：注册表 HKEY_LOCAL_MACHINE 普通用户可写，远程主机允许匿名FTP登录，ftp服务器存在匿名可写目录。</w:t>
            </w:r>
          </w:p>
          <w:p w14:paraId="2F5558EF">
            <w:pPr>
              <w:snapToGrid w:val="0"/>
              <w:spacing w:line="500" w:lineRule="exact"/>
              <w:jc w:val="lef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系统漏洞：System V系统Login远程缓冲区溢出漏洞，Microsoft Windows Locator服务远程缓冲区溢出漏洞。</w:t>
            </w:r>
          </w:p>
          <w:p w14:paraId="16807AA0">
            <w:pPr>
              <w:snapToGrid w:val="0"/>
              <w:spacing w:line="500" w:lineRule="exact"/>
              <w:jc w:val="lef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安全配置问题：部分SMB用户存在薄弱口令，试图使用rsh登录进入远程系统。</w:t>
            </w:r>
          </w:p>
          <w:p w14:paraId="7CA8DF07">
            <w:pPr>
              <w:snapToGrid w:val="0"/>
              <w:spacing w:line="500" w:lineRule="exact"/>
              <w:jc w:val="lef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应用层漏洞识别</w:t>
            </w:r>
          </w:p>
          <w:p w14:paraId="261CA57C">
            <w:pPr>
              <w:snapToGrid w:val="0"/>
              <w:spacing w:line="500" w:lineRule="exact"/>
              <w:jc w:val="lef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应用程序（包括但不限于数据库Oracle、DB2、MS SQL，Web服务，如Apache、WebSphere、Tomcat、IIS等，其他SSH、FTP等）缺失补丁或版本漏洞检测，空弱口令应用帐户检测。</w:t>
            </w:r>
          </w:p>
          <w:p w14:paraId="70E5A0AC">
            <w:pPr>
              <w:snapToGrid w:val="0"/>
              <w:spacing w:line="500" w:lineRule="exact"/>
              <w:jc w:val="lef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数据库软件：Oracle tnslsnr没有设置口令，Microsoft SQL Server 2000 Resolution服务多个安全漏洞，所使用数据库漏洞扫描工具具备计算机信息系统安全专用产品销售许可证的（许可类型：数据库扫描）增强级和国家信息安全漏洞库兼容性证书，须提供所使用的工具的资质证书，须提供工具授权使用证明书。</w:t>
            </w:r>
          </w:p>
          <w:p w14:paraId="40E64A60">
            <w:pPr>
              <w:snapToGrid w:val="0"/>
              <w:spacing w:line="500" w:lineRule="exact"/>
              <w:jc w:val="lef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Web服务器：Apache Mod_SSL/Apache-SSL远程缓冲区溢出漏洞，Microsoft IIS 5.0 .printer ISAPI远程缓冲区溢出，Sun ONE/iPlanet Web服务程序分块编码传输漏洞。</w:t>
            </w:r>
          </w:p>
          <w:p w14:paraId="35332623">
            <w:pPr>
              <w:snapToGrid w:val="0"/>
              <w:spacing w:line="500" w:lineRule="exact"/>
              <w:jc w:val="left"/>
              <w:rPr>
                <w:rFonts w:hint="eastAsia" w:ascii="方正仿宋_GBK" w:hAnsi="方正仿宋_GBK" w:eastAsia="方正仿宋_GBK" w:cs="方正仿宋_GBK"/>
                <w:color w:val="auto"/>
                <w:sz w:val="24"/>
                <w:szCs w:val="24"/>
                <w:lang w:eastAsia="zh-CN"/>
              </w:rPr>
            </w:pPr>
            <w:r>
              <w:rPr>
                <w:rFonts w:hint="eastAsia" w:ascii="方正仿宋_GBK" w:hAnsi="方正仿宋_GBK" w:eastAsia="方正仿宋_GBK" w:cs="方正仿宋_GBK"/>
                <w:color w:val="auto"/>
                <w:sz w:val="24"/>
                <w:szCs w:val="24"/>
              </w:rPr>
              <w:t>电子邮件系统：Sendmail头处理远程溢出漏洞，Microsoft Windows 2000 SMTP服务认证错误漏洞，防火墙及应用网管系统：Axent Raptor防火墙拒绝服务漏洞</w:t>
            </w:r>
            <w:r>
              <w:rPr>
                <w:rFonts w:hint="eastAsia" w:ascii="方正仿宋_GBK" w:hAnsi="方正仿宋_GBK" w:eastAsia="方正仿宋_GBK" w:cs="方正仿宋_GBK"/>
                <w:color w:val="auto"/>
                <w:sz w:val="24"/>
                <w:szCs w:val="24"/>
                <w:lang w:eastAsia="zh-CN"/>
              </w:rPr>
              <w:t>。</w:t>
            </w:r>
          </w:p>
        </w:tc>
        <w:tc>
          <w:tcPr>
            <w:tcW w:w="0" w:type="auto"/>
            <w:vAlign w:val="center"/>
          </w:tcPr>
          <w:p w14:paraId="11B6AAEA">
            <w:pPr>
              <w:snapToGrid w:val="0"/>
              <w:spacing w:line="50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12次/年</w:t>
            </w:r>
          </w:p>
        </w:tc>
        <w:tc>
          <w:tcPr>
            <w:tcW w:w="0" w:type="auto"/>
            <w:vAlign w:val="center"/>
          </w:tcPr>
          <w:p w14:paraId="1350A76D">
            <w:pPr>
              <w:snapToGrid w:val="0"/>
              <w:spacing w:line="50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扫描结果资料报告</w:t>
            </w:r>
          </w:p>
        </w:tc>
      </w:tr>
      <w:tr w14:paraId="1B79EB6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81" w:hRule="atLeast"/>
          <w:jc w:val="center"/>
        </w:trPr>
        <w:tc>
          <w:tcPr>
            <w:tcW w:w="0" w:type="auto"/>
            <w:vAlign w:val="center"/>
          </w:tcPr>
          <w:p w14:paraId="77E52826">
            <w:pPr>
              <w:snapToGrid w:val="0"/>
              <w:spacing w:line="50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安全加固支持</w:t>
            </w:r>
          </w:p>
        </w:tc>
        <w:tc>
          <w:tcPr>
            <w:tcW w:w="0" w:type="auto"/>
            <w:vAlign w:val="center"/>
          </w:tcPr>
          <w:p w14:paraId="43D24419">
            <w:pPr>
              <w:snapToGrid w:val="0"/>
              <w:spacing w:line="500" w:lineRule="exact"/>
              <w:jc w:val="lef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安全加固服务并非直接的服务过程，需要通过前期对系统的资产调查、扫描、人工检查和分析等过程，才可执行安全加固。</w:t>
            </w:r>
          </w:p>
          <w:p w14:paraId="7770CF79">
            <w:pPr>
              <w:snapToGrid w:val="0"/>
              <w:spacing w:line="500" w:lineRule="exact"/>
              <w:jc w:val="lef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安全加固前需提出系统的安全加固方案，在加固过程中可能产生对系统的不同程度、不同方面的影响，因此，安全加固的方案内容需综合考虑实际情况，针对不同的风险选择不同的策略。安全加固服务的一般性内容如下：</w:t>
            </w:r>
          </w:p>
          <w:p w14:paraId="51B36C9E">
            <w:pPr>
              <w:snapToGrid w:val="0"/>
              <w:spacing w:line="500" w:lineRule="exact"/>
              <w:jc w:val="left"/>
              <w:rPr>
                <w:rFonts w:hint="eastAsia" w:ascii="方正仿宋_GBK" w:hAnsi="方正仿宋_GBK" w:eastAsia="方正仿宋_GBK" w:cs="方正仿宋_GBK"/>
                <w:color w:val="auto"/>
                <w:sz w:val="24"/>
                <w:szCs w:val="24"/>
                <w:lang w:val="en-US" w:eastAsia="zh-CN"/>
              </w:rPr>
            </w:pPr>
            <w:r>
              <w:rPr>
                <w:rFonts w:hint="eastAsia" w:ascii="方正仿宋_GBK" w:hAnsi="方正仿宋_GBK" w:eastAsia="方正仿宋_GBK" w:cs="方正仿宋_GBK"/>
                <w:color w:val="auto"/>
                <w:sz w:val="24"/>
                <w:szCs w:val="24"/>
              </w:rPr>
              <w:t>系统漏洞补丁管理，帐号和口令管理，认证、授权策略调整，网络与服务、进程和启动加固，文件系统权限增强，访问控制管理，通讯协议加固，日志审核功能增强，防DDOS攻击增强，剩余信息保护，其他安全配置增强，若因安全加固导致服务器数据丢失，须提供数据恢复服务</w:t>
            </w:r>
            <w:r>
              <w:rPr>
                <w:rFonts w:hint="eastAsia" w:ascii="方正仿宋_GBK" w:hAnsi="方正仿宋_GBK" w:eastAsia="方正仿宋_GBK" w:cs="方正仿宋_GBK"/>
                <w:color w:val="auto"/>
                <w:sz w:val="24"/>
                <w:szCs w:val="24"/>
                <w:lang w:val="en-US" w:eastAsia="zh-CN"/>
              </w:rPr>
              <w:t>。</w:t>
            </w:r>
          </w:p>
        </w:tc>
        <w:tc>
          <w:tcPr>
            <w:tcW w:w="0" w:type="auto"/>
            <w:vAlign w:val="center"/>
          </w:tcPr>
          <w:p w14:paraId="0B50C710">
            <w:pPr>
              <w:snapToGrid w:val="0"/>
              <w:spacing w:line="50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2次/年</w:t>
            </w:r>
          </w:p>
        </w:tc>
        <w:tc>
          <w:tcPr>
            <w:tcW w:w="0" w:type="auto"/>
            <w:vAlign w:val="center"/>
          </w:tcPr>
          <w:p w14:paraId="29B3C465">
            <w:pPr>
              <w:snapToGrid w:val="0"/>
              <w:spacing w:line="50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安全加固报告</w:t>
            </w:r>
          </w:p>
        </w:tc>
      </w:tr>
      <w:tr w14:paraId="359A55D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81" w:hRule="atLeast"/>
          <w:jc w:val="center"/>
        </w:trPr>
        <w:tc>
          <w:tcPr>
            <w:tcW w:w="0" w:type="auto"/>
            <w:vAlign w:val="center"/>
          </w:tcPr>
          <w:p w14:paraId="67E89E02">
            <w:pPr>
              <w:snapToGrid w:val="0"/>
              <w:spacing w:line="50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安全策略优化</w:t>
            </w:r>
          </w:p>
        </w:tc>
        <w:tc>
          <w:tcPr>
            <w:tcW w:w="0" w:type="auto"/>
            <w:vAlign w:val="center"/>
          </w:tcPr>
          <w:p w14:paraId="43D5659E">
            <w:pPr>
              <w:snapToGrid w:val="0"/>
              <w:spacing w:line="500" w:lineRule="exact"/>
              <w:jc w:val="lef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评估当前的安全产品策略库是否遵从当前的安全方针，是否对现有风险进行有效防护，是否根据业务目标的变化进行了调整；</w:t>
            </w:r>
          </w:p>
          <w:p w14:paraId="42D49DF9">
            <w:pPr>
              <w:snapToGrid w:val="0"/>
              <w:spacing w:line="500" w:lineRule="exact"/>
              <w:jc w:val="lef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跟踪访问控制主体和客体的变化，及时剔除过期和失效的安全策略；优化现有安全策略，进行分类和整合，以便于管理员的日常维护工作;常见Web攻击行为，包括XSS、SQLinj、暴力破解等；操作系统可疑行为，包括关机、重启、增删账户等；</w:t>
            </w:r>
          </w:p>
          <w:p w14:paraId="401C0ED1">
            <w:pPr>
              <w:snapToGrid w:val="0"/>
              <w:spacing w:line="500" w:lineRule="exact"/>
              <w:jc w:val="lef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网络可疑行为，包括网络设备关机、重启、配置变更等；</w:t>
            </w:r>
          </w:p>
          <w:p w14:paraId="0F5A119C">
            <w:pPr>
              <w:snapToGrid w:val="0"/>
              <w:spacing w:line="500" w:lineRule="exact"/>
              <w:jc w:val="lef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安全设备监控告警行为，包括检测的攻击行为、设备自身可疑操作行为等。</w:t>
            </w:r>
          </w:p>
        </w:tc>
        <w:tc>
          <w:tcPr>
            <w:tcW w:w="0" w:type="auto"/>
            <w:vAlign w:val="center"/>
          </w:tcPr>
          <w:p w14:paraId="45559A2D">
            <w:pPr>
              <w:snapToGrid w:val="0"/>
              <w:spacing w:line="50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按需执行</w:t>
            </w:r>
          </w:p>
        </w:tc>
        <w:tc>
          <w:tcPr>
            <w:tcW w:w="0" w:type="auto"/>
            <w:vAlign w:val="center"/>
          </w:tcPr>
          <w:p w14:paraId="67264A75">
            <w:pPr>
              <w:snapToGrid w:val="0"/>
              <w:spacing w:line="50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安全策略优化记录表</w:t>
            </w:r>
          </w:p>
        </w:tc>
      </w:tr>
      <w:tr w14:paraId="3B88983D">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0" w:type="auto"/>
            <w:vAlign w:val="center"/>
          </w:tcPr>
          <w:p w14:paraId="475BE837">
            <w:pPr>
              <w:snapToGrid w:val="0"/>
              <w:spacing w:line="50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安全管理制度和流程优化服务</w:t>
            </w:r>
          </w:p>
        </w:tc>
        <w:tc>
          <w:tcPr>
            <w:tcW w:w="0" w:type="auto"/>
            <w:vAlign w:val="center"/>
          </w:tcPr>
          <w:p w14:paraId="155C1AB1">
            <w:pPr>
              <w:snapToGrid w:val="0"/>
              <w:spacing w:line="500" w:lineRule="exact"/>
              <w:jc w:val="lef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在遵循国家的信息安全政策法规及相关管理标准规范下，梳理一套标准化，层次化，一体化的管控体系框架，以适应于南岸区妇幼信息安全管理工作一体化的要求，提升南岸区妇幼信息安全管理体系的可用性、可行性和可落地性</w:t>
            </w:r>
          </w:p>
        </w:tc>
        <w:tc>
          <w:tcPr>
            <w:tcW w:w="0" w:type="auto"/>
            <w:vAlign w:val="center"/>
          </w:tcPr>
          <w:p w14:paraId="0F52FD08">
            <w:pPr>
              <w:snapToGrid w:val="0"/>
              <w:spacing w:line="50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1次/年</w:t>
            </w:r>
          </w:p>
        </w:tc>
        <w:tc>
          <w:tcPr>
            <w:tcW w:w="0" w:type="auto"/>
            <w:vAlign w:val="center"/>
          </w:tcPr>
          <w:p w14:paraId="40F4058E">
            <w:pPr>
              <w:snapToGrid w:val="0"/>
              <w:spacing w:line="50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安全管理制度表</w:t>
            </w:r>
          </w:p>
        </w:tc>
      </w:tr>
      <w:tr w14:paraId="3007D00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81" w:hRule="atLeast"/>
          <w:jc w:val="center"/>
        </w:trPr>
        <w:tc>
          <w:tcPr>
            <w:tcW w:w="0" w:type="auto"/>
            <w:vAlign w:val="center"/>
          </w:tcPr>
          <w:p w14:paraId="5643A1E2">
            <w:pPr>
              <w:snapToGrid w:val="0"/>
              <w:spacing w:line="50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关键性基础设施巡检服务</w:t>
            </w:r>
          </w:p>
        </w:tc>
        <w:tc>
          <w:tcPr>
            <w:tcW w:w="0" w:type="auto"/>
            <w:vAlign w:val="center"/>
          </w:tcPr>
          <w:p w14:paraId="04F3B79A">
            <w:pPr>
              <w:snapToGrid w:val="0"/>
              <w:spacing w:line="500" w:lineRule="exact"/>
              <w:jc w:val="lef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lang w:val="en-US" w:eastAsia="zh-CN"/>
              </w:rPr>
              <w:t>按照网络安全等级保护三级标准要求</w:t>
            </w:r>
            <w:r>
              <w:rPr>
                <w:rFonts w:hint="eastAsia" w:ascii="方正仿宋_GBK" w:hAnsi="方正仿宋_GBK" w:eastAsia="方正仿宋_GBK" w:cs="方正仿宋_GBK"/>
                <w:color w:val="auto"/>
                <w:sz w:val="24"/>
                <w:szCs w:val="24"/>
              </w:rPr>
              <w:t>定期对承载系统稳定运行相关设备进行定期检查，关键性基础设施至少包括物理服务器，虚拟服务器，业务操作系统等检查设备运行状况，包括系统账号、系统的账号权限划分、密码强度、访问限制、访问控制协议加密、恶意程序检测（病毒、木马等）、操作日志、端口开放情况、组件及服务安全状态、硬盘状态、硬盘使用情况、冗余电源状态、存储系统硬盘，操作系统、CPU使用情况，内存使用情况等进行定期检查，并对交换机系统幽灵账户进行检查，对设备异常登录情况进行分析，判断是否为正常访问，若为非法访问及时进行告警并整改。提供现有</w:t>
            </w:r>
            <w:r>
              <w:rPr>
                <w:rFonts w:hint="eastAsia" w:ascii="方正仿宋_GBK" w:hAnsi="方正仿宋_GBK" w:eastAsia="方正仿宋_GBK" w:cs="方正仿宋_GBK"/>
                <w:color w:val="auto"/>
                <w:sz w:val="24"/>
                <w:szCs w:val="24"/>
                <w:lang w:val="en-US" w:eastAsia="zh-CN"/>
              </w:rPr>
              <w:t>核心服务器</w:t>
            </w:r>
            <w:r>
              <w:rPr>
                <w:rFonts w:hint="eastAsia" w:ascii="方正仿宋_GBK" w:hAnsi="方正仿宋_GBK" w:eastAsia="方正仿宋_GBK" w:cs="方正仿宋_GBK"/>
                <w:color w:val="auto"/>
                <w:sz w:val="24"/>
                <w:szCs w:val="24"/>
              </w:rPr>
              <w:t>的原厂技术支持服务承诺书</w:t>
            </w:r>
          </w:p>
        </w:tc>
        <w:tc>
          <w:tcPr>
            <w:tcW w:w="0" w:type="auto"/>
            <w:vAlign w:val="center"/>
          </w:tcPr>
          <w:p w14:paraId="42DA2011">
            <w:pPr>
              <w:snapToGrid w:val="0"/>
              <w:spacing w:line="50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12次/年</w:t>
            </w:r>
          </w:p>
        </w:tc>
        <w:tc>
          <w:tcPr>
            <w:tcW w:w="0" w:type="auto"/>
            <w:vAlign w:val="center"/>
          </w:tcPr>
          <w:p w14:paraId="3AF8F17F">
            <w:pPr>
              <w:snapToGrid w:val="0"/>
              <w:spacing w:line="50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巡检记录表</w:t>
            </w:r>
          </w:p>
        </w:tc>
      </w:tr>
      <w:tr w14:paraId="3758907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81" w:hRule="atLeast"/>
          <w:jc w:val="center"/>
        </w:trPr>
        <w:tc>
          <w:tcPr>
            <w:tcW w:w="0" w:type="auto"/>
            <w:vAlign w:val="center"/>
          </w:tcPr>
          <w:p w14:paraId="72CECA18">
            <w:pPr>
              <w:snapToGrid w:val="0"/>
              <w:spacing w:line="50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安全产品升级服务</w:t>
            </w:r>
          </w:p>
        </w:tc>
        <w:tc>
          <w:tcPr>
            <w:tcW w:w="0" w:type="auto"/>
            <w:vAlign w:val="center"/>
          </w:tcPr>
          <w:p w14:paraId="29EE5832">
            <w:pPr>
              <w:snapToGrid w:val="0"/>
              <w:spacing w:line="500" w:lineRule="exact"/>
              <w:jc w:val="lef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现安全产品WEB应用防火墙、内网防火墙、</w:t>
            </w:r>
            <w:r>
              <w:rPr>
                <w:rFonts w:hint="eastAsia" w:ascii="方正仿宋_GBK" w:hAnsi="方正仿宋_GBK" w:eastAsia="方正仿宋_GBK" w:cs="方正仿宋_GBK"/>
                <w:color w:val="auto"/>
                <w:sz w:val="24"/>
                <w:szCs w:val="24"/>
                <w:lang w:val="en-US" w:eastAsia="zh-CN"/>
              </w:rPr>
              <w:t>出口防火墙</w:t>
            </w:r>
            <w:r>
              <w:rPr>
                <w:rFonts w:hint="eastAsia" w:ascii="方正仿宋_GBK" w:hAnsi="方正仿宋_GBK" w:eastAsia="方正仿宋_GBK" w:cs="方正仿宋_GBK"/>
                <w:color w:val="auto"/>
                <w:sz w:val="24"/>
                <w:szCs w:val="24"/>
              </w:rPr>
              <w:t>、日志审计设备。服务内容主要包括：</w:t>
            </w:r>
            <w:r>
              <w:rPr>
                <w:rFonts w:hint="eastAsia" w:ascii="方正仿宋_GBK" w:hAnsi="方正仿宋_GBK" w:eastAsia="方正仿宋_GBK" w:cs="方正仿宋_GBK"/>
                <w:color w:val="auto"/>
                <w:sz w:val="24"/>
                <w:szCs w:val="24"/>
                <w:lang w:val="en-US" w:eastAsia="zh-CN"/>
              </w:rPr>
              <w:t>定期的软件及特征库升级，对突发的安全漏洞进行及时修复</w:t>
            </w:r>
            <w:r>
              <w:rPr>
                <w:rFonts w:hint="eastAsia" w:ascii="方正仿宋_GBK" w:hAnsi="方正仿宋_GBK" w:eastAsia="方正仿宋_GBK" w:cs="方正仿宋_GBK"/>
                <w:color w:val="auto"/>
                <w:sz w:val="24"/>
                <w:szCs w:val="24"/>
              </w:rPr>
              <w:t>，提供安全设备的原厂技术支持服务承诺书。</w:t>
            </w:r>
          </w:p>
        </w:tc>
        <w:tc>
          <w:tcPr>
            <w:tcW w:w="0" w:type="auto"/>
            <w:vAlign w:val="center"/>
          </w:tcPr>
          <w:p w14:paraId="5C2A28B8">
            <w:pPr>
              <w:snapToGrid w:val="0"/>
              <w:spacing w:line="50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4次/年</w:t>
            </w:r>
          </w:p>
        </w:tc>
        <w:tc>
          <w:tcPr>
            <w:tcW w:w="0" w:type="auto"/>
            <w:vAlign w:val="center"/>
          </w:tcPr>
          <w:p w14:paraId="72D5FAAD">
            <w:pPr>
              <w:snapToGrid w:val="0"/>
              <w:spacing w:line="50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升级记录表</w:t>
            </w:r>
          </w:p>
        </w:tc>
      </w:tr>
      <w:tr w14:paraId="26EC2E03">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81" w:hRule="atLeast"/>
          <w:jc w:val="center"/>
        </w:trPr>
        <w:tc>
          <w:tcPr>
            <w:tcW w:w="0" w:type="auto"/>
            <w:vAlign w:val="center"/>
          </w:tcPr>
          <w:p w14:paraId="43910AE1">
            <w:pPr>
              <w:snapToGrid w:val="0"/>
              <w:spacing w:line="50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现场应急响应服务</w:t>
            </w:r>
          </w:p>
        </w:tc>
        <w:tc>
          <w:tcPr>
            <w:tcW w:w="0" w:type="auto"/>
            <w:vAlign w:val="center"/>
          </w:tcPr>
          <w:p w14:paraId="574C1D10">
            <w:pPr>
              <w:snapToGrid w:val="0"/>
              <w:spacing w:line="500" w:lineRule="exact"/>
              <w:jc w:val="lef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对于突发的安全事件在最短时间内做到应急响应，了解安全事件的基本现象，判断安全事件的原因，进行故障和事件的处理，并针对安全事件形成的破坏做出灾难恢复，为保障现有系统的可靠运行，当发生安全事件时，包括安全事件响应分析，恶意入侵，恶意资源消耗，病毒爆发，内部安全事故，入侵追踪和取证，入侵追踪，犯罪取证，事后安全分析和加固。使用的应急处置工具须具备《计算机软件著作权登记证书》（证书须体现应急相关字样），非服务工具制造商须提供产品授权使用证明。</w:t>
            </w:r>
          </w:p>
        </w:tc>
        <w:tc>
          <w:tcPr>
            <w:tcW w:w="0" w:type="auto"/>
            <w:vAlign w:val="center"/>
          </w:tcPr>
          <w:p w14:paraId="67D0A3C1">
            <w:pPr>
              <w:snapToGrid w:val="0"/>
              <w:spacing w:line="50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7*24小时</w:t>
            </w:r>
          </w:p>
        </w:tc>
        <w:tc>
          <w:tcPr>
            <w:tcW w:w="0" w:type="auto"/>
            <w:vAlign w:val="center"/>
          </w:tcPr>
          <w:p w14:paraId="42725708">
            <w:pPr>
              <w:snapToGrid w:val="0"/>
              <w:spacing w:line="50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应急响应时间记录表</w:t>
            </w:r>
          </w:p>
        </w:tc>
      </w:tr>
      <w:tr w14:paraId="0380A5C2">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81" w:hRule="atLeast"/>
          <w:jc w:val="center"/>
        </w:trPr>
        <w:tc>
          <w:tcPr>
            <w:tcW w:w="0" w:type="auto"/>
            <w:vAlign w:val="center"/>
          </w:tcPr>
          <w:p w14:paraId="34602256">
            <w:pPr>
              <w:snapToGrid w:val="0"/>
              <w:spacing w:line="50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专项安全检查配合服务</w:t>
            </w:r>
          </w:p>
        </w:tc>
        <w:tc>
          <w:tcPr>
            <w:tcW w:w="0" w:type="auto"/>
            <w:vAlign w:val="center"/>
          </w:tcPr>
          <w:p w14:paraId="2A892969">
            <w:pPr>
              <w:snapToGrid w:val="0"/>
              <w:spacing w:line="500" w:lineRule="exact"/>
              <w:jc w:val="lef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针对用户所在行业监管部门下发的专项安全检查要求，或者机构对分支进行专项安全检查，进行相应的配合工作。协助客户一起制定安全检查方案，以及派出技术专家进行配合，促进安全性的改进，满足合规性要求。</w:t>
            </w:r>
          </w:p>
        </w:tc>
        <w:tc>
          <w:tcPr>
            <w:tcW w:w="0" w:type="auto"/>
            <w:vAlign w:val="center"/>
          </w:tcPr>
          <w:p w14:paraId="624686E3">
            <w:pPr>
              <w:snapToGrid w:val="0"/>
              <w:spacing w:line="50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按需执行</w:t>
            </w:r>
          </w:p>
        </w:tc>
        <w:tc>
          <w:tcPr>
            <w:tcW w:w="0" w:type="auto"/>
            <w:vAlign w:val="center"/>
          </w:tcPr>
          <w:p w14:paraId="12CB042A">
            <w:pPr>
              <w:snapToGrid w:val="0"/>
              <w:spacing w:line="50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检查报告</w:t>
            </w:r>
          </w:p>
        </w:tc>
      </w:tr>
      <w:tr w14:paraId="51C6860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81" w:hRule="atLeast"/>
          <w:jc w:val="center"/>
        </w:trPr>
        <w:tc>
          <w:tcPr>
            <w:tcW w:w="0" w:type="auto"/>
            <w:vAlign w:val="center"/>
          </w:tcPr>
          <w:p w14:paraId="3FEDCEB8">
            <w:pPr>
              <w:snapToGrid w:val="0"/>
              <w:spacing w:line="50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网络安全培训</w:t>
            </w:r>
          </w:p>
        </w:tc>
        <w:tc>
          <w:tcPr>
            <w:tcW w:w="0" w:type="auto"/>
            <w:vAlign w:val="center"/>
          </w:tcPr>
          <w:p w14:paraId="4DA15CAC">
            <w:pPr>
              <w:snapToGrid w:val="0"/>
              <w:spacing w:line="500" w:lineRule="exact"/>
              <w:jc w:val="lef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主要从信息安全的基础出发，围绕什么是信息安全、信息安全攻击的常用手段有哪些，以及信息安全中涉及到的标准、协议、技术手段、工具/产品、过程方法等，通过对安全领域和知识的清晰划分和描述，最终能够形成一张信息安全的知识结构图</w:t>
            </w:r>
          </w:p>
          <w:p w14:paraId="426FDE74">
            <w:pPr>
              <w:snapToGrid w:val="0"/>
              <w:spacing w:line="500" w:lineRule="exact"/>
              <w:jc w:val="lef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通过一次完整、完美的黑客攻击过程的实践展示，首先对黑客攻击的一般步骤进行分析，阐明黑客攻防的基本思路，并按照步骤顺序对其中涉及到的工具、平台、弱点、手法进行叙述，对黑客的惯常思维方式进行归纳总结。</w:t>
            </w:r>
          </w:p>
        </w:tc>
        <w:tc>
          <w:tcPr>
            <w:tcW w:w="0" w:type="auto"/>
            <w:vAlign w:val="center"/>
          </w:tcPr>
          <w:p w14:paraId="1C8E40CA">
            <w:pPr>
              <w:snapToGrid w:val="0"/>
              <w:spacing w:line="50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1次/年</w:t>
            </w:r>
          </w:p>
        </w:tc>
        <w:tc>
          <w:tcPr>
            <w:tcW w:w="0" w:type="auto"/>
            <w:vAlign w:val="center"/>
          </w:tcPr>
          <w:p w14:paraId="53BBD3C3">
            <w:pPr>
              <w:snapToGrid w:val="0"/>
              <w:spacing w:line="50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培训报告</w:t>
            </w:r>
          </w:p>
        </w:tc>
      </w:tr>
      <w:tr w14:paraId="761ABCFD">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804" w:hRule="atLeast"/>
          <w:jc w:val="center"/>
        </w:trPr>
        <w:tc>
          <w:tcPr>
            <w:tcW w:w="0" w:type="auto"/>
            <w:vAlign w:val="center"/>
          </w:tcPr>
          <w:p w14:paraId="648FAEC5">
            <w:pPr>
              <w:snapToGrid w:val="0"/>
              <w:spacing w:line="500" w:lineRule="exact"/>
              <w:jc w:val="center"/>
              <w:rPr>
                <w:rFonts w:hint="eastAsia" w:ascii="方正仿宋_GBK" w:hAnsi="方正仿宋_GBK" w:eastAsia="方正仿宋_GBK" w:cs="方正仿宋_GBK"/>
                <w:color w:val="auto"/>
                <w:sz w:val="24"/>
                <w:szCs w:val="24"/>
                <w:lang w:val="en-US" w:eastAsia="zh-CN"/>
              </w:rPr>
            </w:pPr>
            <w:r>
              <w:rPr>
                <w:rFonts w:hint="eastAsia" w:ascii="方正仿宋_GBK" w:hAnsi="方正仿宋_GBK" w:eastAsia="方正仿宋_GBK" w:cs="方正仿宋_GBK"/>
                <w:color w:val="auto"/>
                <w:sz w:val="24"/>
                <w:szCs w:val="24"/>
              </w:rPr>
              <w:t>医院信息系统</w:t>
            </w:r>
            <w:r>
              <w:rPr>
                <w:rFonts w:hint="eastAsia" w:ascii="方正仿宋_GBK" w:hAnsi="方正仿宋_GBK" w:eastAsia="方正仿宋_GBK" w:cs="方正仿宋_GBK"/>
                <w:color w:val="auto"/>
                <w:sz w:val="24"/>
                <w:szCs w:val="24"/>
                <w:lang w:val="en-US" w:eastAsia="zh-CN"/>
              </w:rPr>
              <w:t>辅助测评</w:t>
            </w:r>
          </w:p>
        </w:tc>
        <w:tc>
          <w:tcPr>
            <w:tcW w:w="0" w:type="auto"/>
            <w:vAlign w:val="center"/>
          </w:tcPr>
          <w:p w14:paraId="31B2186E">
            <w:pPr>
              <w:snapToGrid w:val="0"/>
              <w:spacing w:line="500" w:lineRule="exact"/>
              <w:jc w:val="left"/>
              <w:rPr>
                <w:rFonts w:hint="eastAsia" w:ascii="方正仿宋_GBK" w:hAnsi="方正仿宋_GBK" w:eastAsia="方正仿宋_GBK" w:cs="方正仿宋_GBK"/>
                <w:color w:val="auto"/>
                <w:sz w:val="24"/>
                <w:szCs w:val="24"/>
                <w:lang w:val="en-US" w:eastAsia="zh-CN"/>
              </w:rPr>
            </w:pPr>
            <w:r>
              <w:rPr>
                <w:rFonts w:hint="eastAsia" w:ascii="方正仿宋_GBK" w:hAnsi="方正仿宋_GBK" w:eastAsia="方正仿宋_GBK" w:cs="方正仿宋_GBK"/>
                <w:color w:val="auto"/>
                <w:sz w:val="24"/>
                <w:szCs w:val="24"/>
              </w:rPr>
              <w:t>协助我单位对</w:t>
            </w:r>
            <w:r>
              <w:rPr>
                <w:rFonts w:hint="eastAsia" w:ascii="方正仿宋_GBK" w:hAnsi="方正仿宋_GBK" w:eastAsia="方正仿宋_GBK" w:cs="方正仿宋_GBK"/>
                <w:color w:val="auto"/>
                <w:sz w:val="24"/>
                <w:szCs w:val="24"/>
                <w:lang w:val="en-US" w:eastAsia="zh-CN"/>
              </w:rPr>
              <w:t>信息系统</w:t>
            </w:r>
            <w:r>
              <w:rPr>
                <w:rFonts w:hint="eastAsia" w:ascii="方正仿宋_GBK" w:hAnsi="方正仿宋_GBK" w:eastAsia="方正仿宋_GBK" w:cs="方正仿宋_GBK"/>
                <w:color w:val="auto"/>
                <w:sz w:val="24"/>
                <w:szCs w:val="24"/>
              </w:rPr>
              <w:t>进行三级等保备案，并且针对</w:t>
            </w:r>
            <w:r>
              <w:rPr>
                <w:rFonts w:hint="eastAsia" w:ascii="方正仿宋_GBK" w:hAnsi="方正仿宋_GBK" w:eastAsia="方正仿宋_GBK" w:cs="方正仿宋_GBK"/>
                <w:color w:val="auto"/>
                <w:sz w:val="24"/>
                <w:szCs w:val="24"/>
                <w:lang w:val="en-US" w:eastAsia="zh-CN"/>
              </w:rPr>
              <w:t>医院HIS系统</w:t>
            </w:r>
            <w:r>
              <w:rPr>
                <w:rFonts w:hint="eastAsia" w:ascii="方正仿宋_GBK" w:hAnsi="方正仿宋_GBK" w:eastAsia="方正仿宋_GBK" w:cs="方正仿宋_GBK"/>
                <w:color w:val="auto"/>
                <w:sz w:val="24"/>
                <w:szCs w:val="24"/>
              </w:rPr>
              <w:t>后续开展测评</w:t>
            </w:r>
            <w:r>
              <w:rPr>
                <w:rFonts w:hint="eastAsia" w:ascii="方正仿宋_GBK" w:hAnsi="方正仿宋_GBK" w:eastAsia="方正仿宋_GBK" w:cs="方正仿宋_GBK"/>
                <w:color w:val="auto"/>
                <w:sz w:val="24"/>
                <w:szCs w:val="24"/>
                <w:lang w:eastAsia="zh-CN"/>
              </w:rPr>
              <w:t>（</w:t>
            </w:r>
            <w:r>
              <w:rPr>
                <w:rFonts w:hint="eastAsia" w:ascii="方正仿宋_GBK" w:hAnsi="方正仿宋_GBK" w:eastAsia="方正仿宋_GBK" w:cs="方正仿宋_GBK"/>
                <w:color w:val="auto"/>
                <w:sz w:val="24"/>
                <w:szCs w:val="24"/>
                <w:lang w:val="en-US" w:eastAsia="zh-CN"/>
              </w:rPr>
              <w:t>三级</w:t>
            </w:r>
            <w:r>
              <w:rPr>
                <w:rFonts w:hint="eastAsia" w:ascii="方正仿宋_GBK" w:hAnsi="方正仿宋_GBK" w:eastAsia="方正仿宋_GBK" w:cs="方正仿宋_GBK"/>
                <w:color w:val="auto"/>
                <w:sz w:val="24"/>
                <w:szCs w:val="24"/>
                <w:lang w:eastAsia="zh-CN"/>
              </w:rPr>
              <w:t>）</w:t>
            </w:r>
            <w:r>
              <w:rPr>
                <w:rFonts w:hint="eastAsia" w:ascii="方正仿宋_GBK" w:hAnsi="方正仿宋_GBK" w:eastAsia="方正仿宋_GBK" w:cs="方正仿宋_GBK"/>
                <w:color w:val="auto"/>
                <w:sz w:val="24"/>
                <w:szCs w:val="24"/>
              </w:rPr>
              <w:t>。</w:t>
            </w:r>
            <w:r>
              <w:rPr>
                <w:rFonts w:hint="eastAsia" w:ascii="方正仿宋_GBK" w:hAnsi="方正仿宋_GBK" w:eastAsia="方正仿宋_GBK" w:cs="方正仿宋_GBK"/>
                <w:color w:val="auto"/>
                <w:sz w:val="24"/>
                <w:szCs w:val="24"/>
                <w:lang w:val="en-US" w:eastAsia="zh-CN"/>
              </w:rPr>
              <w:t>主要包括：</w:t>
            </w:r>
          </w:p>
          <w:p w14:paraId="6FB38564">
            <w:pPr>
              <w:snapToGrid w:val="0"/>
              <w:spacing w:line="500" w:lineRule="exact"/>
              <w:jc w:val="left"/>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1.技术测评：</w:t>
            </w:r>
            <w:r>
              <w:rPr>
                <w:rFonts w:hint="eastAsia" w:ascii="方正仿宋_GBK" w:hAnsi="方正仿宋_GBK" w:eastAsia="方正仿宋_GBK" w:cs="方正仿宋_GBK"/>
                <w:sz w:val="24"/>
                <w:szCs w:val="24"/>
              </w:rPr>
              <w:tab/>
            </w:r>
          </w:p>
          <w:p w14:paraId="5F448191">
            <w:pPr>
              <w:snapToGrid w:val="0"/>
              <w:spacing w:line="500" w:lineRule="exact"/>
              <w:jc w:val="left"/>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（1）安全物理环境测评（物理位置的选择、物理访问控制、防盗窃和防破坏、防雷击、防火、防水和防潮、防静电、温湿度控制、电力供应、电磁防护）；</w:t>
            </w:r>
          </w:p>
          <w:p w14:paraId="46DA9803">
            <w:pPr>
              <w:snapToGrid w:val="0"/>
              <w:spacing w:line="500" w:lineRule="exact"/>
              <w:jc w:val="left"/>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（2）安全通信网络测评（网络架构、通信传输、可信验证）；</w:t>
            </w:r>
          </w:p>
          <w:p w14:paraId="675CE4AA">
            <w:pPr>
              <w:snapToGrid w:val="0"/>
              <w:spacing w:line="500" w:lineRule="exact"/>
              <w:jc w:val="left"/>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（3）安全区域边界测评（边界防护、访问控制、入侵防范、恶意代码和垃圾邮件防范、安全审计、可信验证）；</w:t>
            </w:r>
          </w:p>
          <w:p w14:paraId="59962001">
            <w:pPr>
              <w:snapToGrid w:val="0"/>
              <w:spacing w:line="500" w:lineRule="exact"/>
              <w:jc w:val="left"/>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（4）安全计算环境测评（身份鉴别、访问控制、安全审计、入侵防范、恶意代码防范、可信验证、数据完整性、数据保密性、数据备份恢复、剩余信息保护、个人信息保护）；</w:t>
            </w:r>
          </w:p>
          <w:p w14:paraId="79FE540B">
            <w:pPr>
              <w:snapToGrid w:val="0"/>
              <w:spacing w:line="500" w:lineRule="exact"/>
              <w:jc w:val="left"/>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（5）安全管理中心测评（系统管理、审计管理、安全管理、集中管控）。</w:t>
            </w:r>
          </w:p>
          <w:p w14:paraId="2CEB63F8">
            <w:pPr>
              <w:snapToGrid w:val="0"/>
              <w:spacing w:line="500" w:lineRule="exact"/>
              <w:jc w:val="left"/>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2.管理测评：</w:t>
            </w:r>
          </w:p>
          <w:p w14:paraId="5CD9F3FF">
            <w:pPr>
              <w:snapToGrid w:val="0"/>
              <w:spacing w:line="500" w:lineRule="exact"/>
              <w:jc w:val="left"/>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（1）安全管理制度测评（安全策略、管理制度、制定和发布、评审和修订）；</w:t>
            </w:r>
          </w:p>
          <w:p w14:paraId="1D13C344">
            <w:pPr>
              <w:snapToGrid w:val="0"/>
              <w:spacing w:line="500" w:lineRule="exact"/>
              <w:jc w:val="left"/>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（2）安全管理机构测评（岗位设置、人员配备、授权和审批、沟通和合作、审核和检查）；</w:t>
            </w:r>
          </w:p>
          <w:p w14:paraId="3C5B693A">
            <w:pPr>
              <w:snapToGrid w:val="0"/>
              <w:spacing w:line="500" w:lineRule="exact"/>
              <w:jc w:val="left"/>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（3）安全管理人员测评（人员录用、人员离岗、安全意识教育和培训、外部人员访问管理）；</w:t>
            </w:r>
          </w:p>
          <w:p w14:paraId="0B7989C1">
            <w:pPr>
              <w:snapToGrid w:val="0"/>
              <w:spacing w:line="500" w:lineRule="exact"/>
              <w:jc w:val="left"/>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（4）安全建设管理测评（定级和备案、安全方案设计、产品采购和使用、自行软件开发、外包软件开发、工程实施、测试验收、系统支付、等级测评、服务测评方选择）；</w:t>
            </w:r>
          </w:p>
          <w:p w14:paraId="4A9E0ED3">
            <w:pPr>
              <w:snapToGrid w:val="0"/>
              <w:spacing w:line="500" w:lineRule="exact"/>
              <w:jc w:val="left"/>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5）安全运维管理测评（环境管理、资产管理、介质管理、设备维护管理、漏洞和风险管理、网络和系统安全管理、恶意代码防范管理、配置管理、密码管理、变更管理、备份与恢复管理、安全事件处置、应急预案管理、外包运维管理）。</w:t>
            </w:r>
          </w:p>
          <w:p w14:paraId="44CA3213">
            <w:pPr>
              <w:snapToGrid w:val="0"/>
              <w:spacing w:line="500" w:lineRule="exact"/>
              <w:jc w:val="left"/>
              <w:rPr>
                <w:rFonts w:hint="eastAsia" w:ascii="方正仿宋_GBK" w:hAnsi="方正仿宋_GBK" w:eastAsia="方正仿宋_GBK" w:cs="方正仿宋_GBK"/>
                <w:color w:val="auto"/>
                <w:sz w:val="24"/>
                <w:szCs w:val="24"/>
                <w:lang w:val="en-US" w:eastAsia="zh-CN"/>
              </w:rPr>
            </w:pPr>
          </w:p>
        </w:tc>
        <w:tc>
          <w:tcPr>
            <w:tcW w:w="0" w:type="auto"/>
            <w:vAlign w:val="center"/>
          </w:tcPr>
          <w:p w14:paraId="2E52D38E">
            <w:pPr>
              <w:snapToGrid w:val="0"/>
              <w:spacing w:line="50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1次/年</w:t>
            </w:r>
          </w:p>
        </w:tc>
        <w:tc>
          <w:tcPr>
            <w:tcW w:w="0" w:type="auto"/>
            <w:vAlign w:val="center"/>
          </w:tcPr>
          <w:p w14:paraId="33B4B8C8">
            <w:pPr>
              <w:snapToGrid w:val="0"/>
              <w:spacing w:line="500" w:lineRule="exact"/>
              <w:jc w:val="center"/>
              <w:rPr>
                <w:rFonts w:hint="eastAsia" w:ascii="方正仿宋_GBK" w:hAnsi="方正仿宋_GBK" w:eastAsia="方正仿宋_GBK" w:cs="方正仿宋_GBK"/>
                <w:color w:val="auto"/>
                <w:sz w:val="24"/>
                <w:szCs w:val="24"/>
                <w:lang w:eastAsia="zh-CN"/>
              </w:rPr>
            </w:pPr>
            <w:r>
              <w:rPr>
                <w:rFonts w:hint="eastAsia" w:ascii="方正仿宋_GBK" w:hAnsi="方正仿宋_GBK" w:eastAsia="方正仿宋_GBK" w:cs="方正仿宋_GBK"/>
                <w:color w:val="auto"/>
                <w:sz w:val="24"/>
                <w:szCs w:val="24"/>
                <w:lang w:val="en-US" w:eastAsia="zh-CN"/>
              </w:rPr>
              <w:t>/</w:t>
            </w:r>
          </w:p>
        </w:tc>
      </w:tr>
      <w:tr w14:paraId="17ECBF1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81" w:hRule="atLeast"/>
          <w:jc w:val="center"/>
        </w:trPr>
        <w:tc>
          <w:tcPr>
            <w:tcW w:w="0" w:type="auto"/>
            <w:vAlign w:val="center"/>
          </w:tcPr>
          <w:p w14:paraId="173CA95F">
            <w:pPr>
              <w:snapToGrid w:val="0"/>
              <w:spacing w:line="50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第三方服务商安全管理</w:t>
            </w:r>
          </w:p>
        </w:tc>
        <w:tc>
          <w:tcPr>
            <w:tcW w:w="0" w:type="auto"/>
            <w:vAlign w:val="center"/>
          </w:tcPr>
          <w:p w14:paraId="27234D78">
            <w:pPr>
              <w:snapToGrid w:val="0"/>
              <w:spacing w:line="500" w:lineRule="exact"/>
              <w:jc w:val="lef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随着信息系统的不断增多，业务结构越来越复杂，第三方（软件运维方，硬件原厂商）接入内部网络的频次越来越多，日常的网络接入管理成为网络安全隐患的重中之重。协助我院对第三方运维服务单位进行日常管理端口授权开通，数据调用开通，业务互访开通，）进行安全风险判定</w:t>
            </w:r>
          </w:p>
        </w:tc>
        <w:tc>
          <w:tcPr>
            <w:tcW w:w="0" w:type="auto"/>
            <w:vAlign w:val="center"/>
          </w:tcPr>
          <w:p w14:paraId="25826BB0">
            <w:pPr>
              <w:snapToGrid w:val="0"/>
              <w:spacing w:line="50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按需执行</w:t>
            </w:r>
          </w:p>
        </w:tc>
        <w:tc>
          <w:tcPr>
            <w:tcW w:w="0" w:type="auto"/>
            <w:vAlign w:val="center"/>
          </w:tcPr>
          <w:p w14:paraId="30D89873">
            <w:pPr>
              <w:snapToGrid w:val="0"/>
              <w:spacing w:line="50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事件处置报告</w:t>
            </w:r>
          </w:p>
        </w:tc>
      </w:tr>
      <w:tr w14:paraId="6362B67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81" w:hRule="atLeast"/>
          <w:jc w:val="center"/>
        </w:trPr>
        <w:tc>
          <w:tcPr>
            <w:tcW w:w="0" w:type="auto"/>
            <w:vAlign w:val="center"/>
          </w:tcPr>
          <w:p w14:paraId="1389E0CE">
            <w:pPr>
              <w:snapToGrid w:val="0"/>
              <w:spacing w:line="50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运维服务保障</w:t>
            </w:r>
          </w:p>
        </w:tc>
        <w:tc>
          <w:tcPr>
            <w:tcW w:w="0" w:type="auto"/>
            <w:vAlign w:val="center"/>
          </w:tcPr>
          <w:p w14:paraId="1F7F5C38">
            <w:pPr>
              <w:snapToGrid w:val="0"/>
              <w:spacing w:line="500" w:lineRule="exact"/>
              <w:jc w:val="lef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为保障</w:t>
            </w:r>
            <w:r>
              <w:rPr>
                <w:rFonts w:hint="eastAsia" w:ascii="方正仿宋_GBK" w:hAnsi="方正仿宋_GBK" w:eastAsia="方正仿宋_GBK" w:cs="方正仿宋_GBK"/>
                <w:color w:val="auto"/>
                <w:sz w:val="24"/>
                <w:szCs w:val="24"/>
                <w:lang w:val="en-US" w:eastAsia="zh-CN"/>
              </w:rPr>
              <w:t>南岸区妇幼保健院</w:t>
            </w:r>
            <w:r>
              <w:rPr>
                <w:rFonts w:hint="eastAsia" w:ascii="方正仿宋_GBK" w:hAnsi="方正仿宋_GBK" w:eastAsia="方正仿宋_GBK" w:cs="方正仿宋_GBK"/>
                <w:color w:val="auto"/>
                <w:sz w:val="24"/>
                <w:szCs w:val="24"/>
              </w:rPr>
              <w:t>网络安全体系，</w:t>
            </w:r>
            <w:r>
              <w:rPr>
                <w:rFonts w:hint="eastAsia" w:ascii="方正仿宋_GBK" w:hAnsi="方正仿宋_GBK" w:eastAsia="方正仿宋_GBK" w:cs="方正仿宋_GBK"/>
                <w:color w:val="auto"/>
                <w:sz w:val="24"/>
                <w:szCs w:val="24"/>
                <w:lang w:val="en-US" w:eastAsia="zh-CN"/>
              </w:rPr>
              <w:t>服务单位</w:t>
            </w:r>
            <w:r>
              <w:rPr>
                <w:rFonts w:hint="eastAsia" w:ascii="方正仿宋_GBK" w:hAnsi="方正仿宋_GBK" w:eastAsia="方正仿宋_GBK" w:cs="方正仿宋_GBK"/>
                <w:color w:val="auto"/>
                <w:sz w:val="24"/>
                <w:szCs w:val="24"/>
              </w:rPr>
              <w:t>须具备中国网络安全审查技术与认证中心颁发的信息系统安全运维服务资质，提供证书复印件及官网截图。</w:t>
            </w:r>
          </w:p>
        </w:tc>
        <w:tc>
          <w:tcPr>
            <w:tcW w:w="0" w:type="auto"/>
            <w:vAlign w:val="center"/>
          </w:tcPr>
          <w:p w14:paraId="2C715D1F">
            <w:pPr>
              <w:snapToGrid w:val="0"/>
              <w:spacing w:line="500" w:lineRule="exact"/>
              <w:jc w:val="center"/>
              <w:rPr>
                <w:rFonts w:hint="eastAsia" w:ascii="方正仿宋_GBK" w:hAnsi="方正仿宋_GBK" w:eastAsia="方正仿宋_GBK" w:cs="方正仿宋_GBK"/>
                <w:color w:val="auto"/>
                <w:sz w:val="24"/>
                <w:szCs w:val="24"/>
                <w:lang w:val="en-US" w:eastAsia="zh-CN"/>
              </w:rPr>
            </w:pPr>
            <w:r>
              <w:rPr>
                <w:rFonts w:hint="eastAsia" w:ascii="方正仿宋_GBK" w:hAnsi="方正仿宋_GBK" w:eastAsia="方正仿宋_GBK" w:cs="方正仿宋_GBK"/>
                <w:color w:val="auto"/>
                <w:sz w:val="24"/>
                <w:szCs w:val="24"/>
                <w:lang w:val="en-US" w:eastAsia="zh-CN"/>
              </w:rPr>
              <w:t>/</w:t>
            </w:r>
          </w:p>
        </w:tc>
        <w:tc>
          <w:tcPr>
            <w:tcW w:w="0" w:type="auto"/>
            <w:vAlign w:val="center"/>
          </w:tcPr>
          <w:p w14:paraId="09C881FA">
            <w:pPr>
              <w:snapToGrid w:val="0"/>
              <w:spacing w:line="500" w:lineRule="exact"/>
              <w:jc w:val="center"/>
              <w:rPr>
                <w:rFonts w:hint="eastAsia" w:ascii="方正仿宋_GBK" w:hAnsi="方正仿宋_GBK" w:eastAsia="方正仿宋_GBK" w:cs="方正仿宋_GBK"/>
                <w:color w:val="auto"/>
                <w:sz w:val="24"/>
                <w:szCs w:val="24"/>
                <w:lang w:val="en-US" w:eastAsia="zh-CN"/>
              </w:rPr>
            </w:pPr>
            <w:r>
              <w:rPr>
                <w:rFonts w:hint="eastAsia" w:ascii="方正仿宋_GBK" w:hAnsi="方正仿宋_GBK" w:eastAsia="方正仿宋_GBK" w:cs="方正仿宋_GBK"/>
                <w:color w:val="auto"/>
                <w:sz w:val="24"/>
                <w:szCs w:val="24"/>
                <w:lang w:val="en-US" w:eastAsia="zh-CN"/>
              </w:rPr>
              <w:t>/</w:t>
            </w:r>
          </w:p>
        </w:tc>
      </w:tr>
      <w:bookmarkEnd w:id="0"/>
      <w:bookmarkEnd w:id="1"/>
      <w:bookmarkEnd w:id="2"/>
      <w:bookmarkEnd w:id="3"/>
      <w:bookmarkEnd w:id="4"/>
      <w:bookmarkEnd w:id="5"/>
    </w:tbl>
    <w:p w14:paraId="1BD315EF">
      <w:pPr>
        <w:tabs>
          <w:tab w:val="left" w:pos="6300"/>
        </w:tabs>
        <w:snapToGrid w:val="0"/>
        <w:spacing w:line="312" w:lineRule="auto"/>
        <w:ind w:right="480" w:firstLine="570"/>
        <w:jc w:val="right"/>
        <w:rPr>
          <w:rFonts w:ascii="宋体" w:hAnsi="宋体" w:cs="宋体"/>
          <w:sz w:val="24"/>
          <w:szCs w:val="24"/>
        </w:rPr>
      </w:pPr>
    </w:p>
    <w:sectPr>
      <w:headerReference r:id="rId3" w:type="default"/>
      <w:footerReference r:id="rId4" w:type="default"/>
      <w:pgSz w:w="11907" w:h="16840"/>
      <w:pgMar w:top="1134" w:right="1191" w:bottom="1134" w:left="1304" w:header="851" w:footer="992" w:gutter="0"/>
      <w:pgNumType w:fmt="numberInDash"/>
      <w:cols w:space="720" w:num="1"/>
      <w:docGrid w:linePitch="380" w:charSpace="-573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AB37B1">
    <w:pPr>
      <w:pStyle w:val="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90500" cy="131445"/>
              <wp:effectExtent l="0" t="0" r="0" b="0"/>
              <wp:wrapNone/>
              <wp:docPr id="1" name="文本框 11"/>
              <wp:cNvGraphicFramePr/>
              <a:graphic xmlns:a="http://schemas.openxmlformats.org/drawingml/2006/main">
                <a:graphicData uri="http://schemas.microsoft.com/office/word/2010/wordprocessingShape">
                  <wps:wsp>
                    <wps:cNvSpPr txBox="1">
                      <a:spLocks noChangeArrowheads="1"/>
                    </wps:cNvSpPr>
                    <wps:spPr bwMode="auto">
                      <a:xfrm>
                        <a:off x="0" y="0"/>
                        <a:ext cx="190500" cy="131445"/>
                      </a:xfrm>
                      <a:prstGeom prst="rect">
                        <a:avLst/>
                      </a:prstGeom>
                      <a:noFill/>
                      <a:ln>
                        <a:noFill/>
                      </a:ln>
                      <a:effectLst/>
                    </wps:spPr>
                    <wps:txbx>
                      <w:txbxContent>
                        <w:p w14:paraId="014B25BF">
                          <w:pPr>
                            <w:pStyle w:val="6"/>
                          </w:pPr>
                          <w:r>
                            <w:rPr>
                              <w:rFonts w:hint="eastAsia"/>
                            </w:rPr>
                            <w:fldChar w:fldCharType="begin"/>
                          </w:r>
                          <w:r>
                            <w:rPr>
                              <w:rFonts w:hint="eastAsia"/>
                            </w:rPr>
                            <w:instrText xml:space="preserve"> PAGE  \* MERGEFORMAT </w:instrText>
                          </w:r>
                          <w:r>
                            <w:rPr>
                              <w:rFonts w:hint="eastAsia"/>
                            </w:rPr>
                            <w:fldChar w:fldCharType="separate"/>
                          </w:r>
                          <w:r>
                            <w:t>- 9 -</w:t>
                          </w:r>
                          <w:r>
                            <w:rPr>
                              <w:rFonts w:hint="eastAsia"/>
                            </w:rPr>
                            <w:fldChar w:fldCharType="end"/>
                          </w:r>
                        </w:p>
                      </w:txbxContent>
                    </wps:txbx>
                    <wps:bodyPr rot="0" vert="horz" wrap="none" lIns="0" tIns="0" rIns="0" bIns="0" anchor="t" anchorCtr="0" upright="1">
                      <a:spAutoFit/>
                    </wps:bodyPr>
                  </wps:wsp>
                </a:graphicData>
              </a:graphic>
            </wp:anchor>
          </w:drawing>
        </mc:Choice>
        <mc:Fallback>
          <w:pict>
            <v:shape id="文本框 11" o:spid="_x0000_s1026" o:spt="202" type="#_x0000_t202" style="position:absolute;left:0pt;margin-top:0pt;height:10.35pt;width:15pt;mso-position-horizontal:center;mso-position-horizontal-relative:margin;mso-wrap-style:none;z-index:251659264;mso-width-relative:page;mso-height-relative:page;" filled="f" stroked="f" coordsize="21600,21600" o:gfxdata="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ipFLs0AAAAAMBAAAPAAAAAAAAAAEAIAAAACIAAABk&#10;cnMvZG93bnJldi54bWxQSwECFAAUAAAACACHTuJAnyXBWQ4CAAARBAAADgAAAAAAAAABACAAAAAf&#10;AQAAZHJzL2Uyb0RvYy54bWxQSwUGAAAAAAYABgBZAQAAnwUAAAAA&#10;">
              <v:fill on="f" focussize="0,0"/>
              <v:stroke on="f"/>
              <v:imagedata o:title=""/>
              <o:lock v:ext="edit" aspectratio="f"/>
              <v:textbox inset="0mm,0mm,0mm,0mm" style="mso-fit-shape-to-text:t;">
                <w:txbxContent>
                  <w:p w14:paraId="014B25BF">
                    <w:pPr>
                      <w:pStyle w:val="6"/>
                    </w:pPr>
                    <w:r>
                      <w:rPr>
                        <w:rFonts w:hint="eastAsia"/>
                      </w:rPr>
                      <w:fldChar w:fldCharType="begin"/>
                    </w:r>
                    <w:r>
                      <w:rPr>
                        <w:rFonts w:hint="eastAsia"/>
                      </w:rPr>
                      <w:instrText xml:space="preserve"> PAGE  \* MERGEFORMAT </w:instrText>
                    </w:r>
                    <w:r>
                      <w:rPr>
                        <w:rFonts w:hint="eastAsia"/>
                      </w:rPr>
                      <w:fldChar w:fldCharType="separate"/>
                    </w:r>
                    <w:r>
                      <w:t>- 9 -</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9913D5">
    <w:pPr>
      <w:pStyle w:val="7"/>
      <w:pBdr>
        <w:bottom w:val="none" w:color="auto" w:sz="0" w:space="1"/>
      </w:pBdr>
      <w:jc w:val="both"/>
      <w:rPr>
        <w:rFonts w:ascii="方正仿宋_GBK" w:eastAsia="方正仿宋_GBK"/>
        <w:sz w:val="21"/>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D"/>
    <w:multiLevelType w:val="singleLevel"/>
    <w:tmpl w:val="0000000D"/>
    <w:lvl w:ilvl="0" w:tentative="0">
      <w:start w:val="1"/>
      <w:numFmt w:val="bullet"/>
      <w:lvlText w:val=""/>
      <w:lvlJc w:val="left"/>
      <w:pPr>
        <w:tabs>
          <w:tab w:val="left" w:pos="1200"/>
        </w:tabs>
        <w:ind w:left="1200" w:hanging="36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0NDc2YWIxY2E0NWM4MzA3NDRjOWYzN2IxMDBkMjMifQ=="/>
  </w:docVars>
  <w:rsids>
    <w:rsidRoot w:val="48522404"/>
    <w:rsid w:val="000019CF"/>
    <w:rsid w:val="000035AF"/>
    <w:rsid w:val="00004CEC"/>
    <w:rsid w:val="00013825"/>
    <w:rsid w:val="00050B87"/>
    <w:rsid w:val="00060985"/>
    <w:rsid w:val="00061D4C"/>
    <w:rsid w:val="0006570A"/>
    <w:rsid w:val="000C7E37"/>
    <w:rsid w:val="000E7671"/>
    <w:rsid w:val="00120A76"/>
    <w:rsid w:val="001668DC"/>
    <w:rsid w:val="001B3F66"/>
    <w:rsid w:val="001E55D5"/>
    <w:rsid w:val="001E6850"/>
    <w:rsid w:val="002101A2"/>
    <w:rsid w:val="00260BE5"/>
    <w:rsid w:val="002C43DD"/>
    <w:rsid w:val="002E6E65"/>
    <w:rsid w:val="00331C78"/>
    <w:rsid w:val="00347296"/>
    <w:rsid w:val="00393DD5"/>
    <w:rsid w:val="003C3DCB"/>
    <w:rsid w:val="00420209"/>
    <w:rsid w:val="0044285D"/>
    <w:rsid w:val="004668DA"/>
    <w:rsid w:val="004E052D"/>
    <w:rsid w:val="005067C5"/>
    <w:rsid w:val="00556186"/>
    <w:rsid w:val="0056608A"/>
    <w:rsid w:val="00650B5D"/>
    <w:rsid w:val="00660936"/>
    <w:rsid w:val="00674B18"/>
    <w:rsid w:val="006C4035"/>
    <w:rsid w:val="0071729E"/>
    <w:rsid w:val="00743D13"/>
    <w:rsid w:val="007A2207"/>
    <w:rsid w:val="007B2A31"/>
    <w:rsid w:val="008064E5"/>
    <w:rsid w:val="008564CA"/>
    <w:rsid w:val="00983537"/>
    <w:rsid w:val="009A1AA2"/>
    <w:rsid w:val="009B47B3"/>
    <w:rsid w:val="00A407BF"/>
    <w:rsid w:val="00A41004"/>
    <w:rsid w:val="00A5797A"/>
    <w:rsid w:val="00A77863"/>
    <w:rsid w:val="00AB3635"/>
    <w:rsid w:val="00AD0468"/>
    <w:rsid w:val="00AE7998"/>
    <w:rsid w:val="00B206E2"/>
    <w:rsid w:val="00B85841"/>
    <w:rsid w:val="00BD0394"/>
    <w:rsid w:val="00BF449C"/>
    <w:rsid w:val="00C12583"/>
    <w:rsid w:val="00C3309F"/>
    <w:rsid w:val="00C83F6D"/>
    <w:rsid w:val="00CD0DAA"/>
    <w:rsid w:val="00D65739"/>
    <w:rsid w:val="00DA6DDB"/>
    <w:rsid w:val="00DB0E31"/>
    <w:rsid w:val="00E012A3"/>
    <w:rsid w:val="00E63661"/>
    <w:rsid w:val="00E77917"/>
    <w:rsid w:val="00EC1800"/>
    <w:rsid w:val="00EE7C37"/>
    <w:rsid w:val="00F16C10"/>
    <w:rsid w:val="00FC5BBD"/>
    <w:rsid w:val="00FE5529"/>
    <w:rsid w:val="00FF5695"/>
    <w:rsid w:val="012F2929"/>
    <w:rsid w:val="01FB2325"/>
    <w:rsid w:val="07C62DC0"/>
    <w:rsid w:val="0F7A1D06"/>
    <w:rsid w:val="120C4BE4"/>
    <w:rsid w:val="122C5464"/>
    <w:rsid w:val="19F40F1D"/>
    <w:rsid w:val="1BE337C6"/>
    <w:rsid w:val="1D29299F"/>
    <w:rsid w:val="1D2A4C7F"/>
    <w:rsid w:val="2304679B"/>
    <w:rsid w:val="26BD735D"/>
    <w:rsid w:val="2F9257C7"/>
    <w:rsid w:val="48522404"/>
    <w:rsid w:val="4C175AA8"/>
    <w:rsid w:val="4DBD2A0A"/>
    <w:rsid w:val="50027F96"/>
    <w:rsid w:val="54F211DA"/>
    <w:rsid w:val="554116DF"/>
    <w:rsid w:val="5C691560"/>
    <w:rsid w:val="61515CF9"/>
    <w:rsid w:val="62A0377C"/>
    <w:rsid w:val="654C711C"/>
    <w:rsid w:val="65D83425"/>
    <w:rsid w:val="69E63827"/>
    <w:rsid w:val="6E912B18"/>
    <w:rsid w:val="7D571055"/>
    <w:rsid w:val="7DEE6F41"/>
    <w:rsid w:val="7FC67A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0" w:semiHidden="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8"/>
      <w:lang w:val="en-US" w:eastAsia="zh-CN" w:bidi="ar-SA"/>
    </w:rPr>
  </w:style>
  <w:style w:type="paragraph" w:styleId="2">
    <w:name w:val="heading 1"/>
    <w:basedOn w:val="1"/>
    <w:next w:val="1"/>
    <w:qFormat/>
    <w:uiPriority w:val="0"/>
    <w:pPr>
      <w:keepNext/>
      <w:snapToGrid w:val="0"/>
      <w:spacing w:line="360" w:lineRule="atLeast"/>
      <w:outlineLvl w:val="0"/>
    </w:pPr>
    <w:rPr>
      <w:rFonts w:ascii="宋体"/>
    </w:rPr>
  </w:style>
  <w:style w:type="paragraph" w:styleId="3">
    <w:name w:val="heading 3"/>
    <w:basedOn w:val="1"/>
    <w:next w:val="1"/>
    <w:qFormat/>
    <w:uiPriority w:val="0"/>
    <w:pPr>
      <w:keepNext/>
      <w:keepLines/>
      <w:spacing w:before="260" w:after="260" w:line="413" w:lineRule="auto"/>
      <w:outlineLvl w:val="2"/>
    </w:pPr>
    <w:rPr>
      <w:b/>
      <w:sz w:val="32"/>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4">
    <w:name w:val="Body Text Indent"/>
    <w:basedOn w:val="1"/>
    <w:qFormat/>
    <w:uiPriority w:val="0"/>
    <w:pPr>
      <w:spacing w:line="700" w:lineRule="exact"/>
      <w:ind w:left="960"/>
    </w:pPr>
    <w:rPr>
      <w:sz w:val="44"/>
    </w:rPr>
  </w:style>
  <w:style w:type="paragraph" w:styleId="5">
    <w:name w:val="Balloon Text"/>
    <w:basedOn w:val="1"/>
    <w:link w:val="17"/>
    <w:qFormat/>
    <w:uiPriority w:val="0"/>
    <w:rPr>
      <w:sz w:val="18"/>
      <w:szCs w:val="18"/>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rPr>
  </w:style>
  <w:style w:type="paragraph" w:styleId="8">
    <w:name w:val="toc 1"/>
    <w:basedOn w:val="1"/>
    <w:next w:val="1"/>
    <w:qFormat/>
    <w:uiPriority w:val="0"/>
    <w:pPr>
      <w:spacing w:line="180" w:lineRule="auto"/>
      <w:jc w:val="center"/>
    </w:pPr>
    <w:rPr>
      <w:sz w:val="30"/>
    </w:rPr>
  </w:style>
  <w:style w:type="paragraph" w:customStyle="1" w:styleId="11">
    <w:name w:val="标题 1（绿盟科技）"/>
    <w:basedOn w:val="2"/>
    <w:next w:val="12"/>
    <w:qFormat/>
    <w:uiPriority w:val="0"/>
    <w:pPr>
      <w:keepLines/>
      <w:pBdr>
        <w:bottom w:val="single" w:color="auto" w:sz="48" w:space="1"/>
      </w:pBdr>
      <w:tabs>
        <w:tab w:val="left" w:pos="425"/>
      </w:tabs>
      <w:snapToGrid/>
      <w:spacing w:before="600" w:after="330" w:line="576" w:lineRule="auto"/>
      <w:ind w:left="425" w:hanging="425"/>
      <w:jc w:val="left"/>
    </w:pPr>
    <w:rPr>
      <w:rFonts w:ascii="Arial" w:hAnsi="Arial" w:eastAsia="黑体" w:cs="Calibri"/>
      <w:b/>
      <w:bCs/>
      <w:kern w:val="44"/>
      <w:sz w:val="44"/>
      <w:szCs w:val="44"/>
    </w:rPr>
  </w:style>
  <w:style w:type="paragraph" w:customStyle="1" w:styleId="12">
    <w:name w:val="正文（绿盟科技）"/>
    <w:qFormat/>
    <w:uiPriority w:val="0"/>
    <w:pPr>
      <w:spacing w:line="300" w:lineRule="auto"/>
    </w:pPr>
    <w:rPr>
      <w:rFonts w:ascii="Arial" w:hAnsi="Arial" w:eastAsia="宋体" w:cs="Times New Roman"/>
      <w:sz w:val="21"/>
      <w:szCs w:val="21"/>
      <w:lang w:val="en-US" w:eastAsia="zh-CN" w:bidi="ar-SA"/>
    </w:rPr>
  </w:style>
  <w:style w:type="paragraph" w:customStyle="1" w:styleId="13">
    <w:name w:val="样式 绿盟科技--列表（编号二级） + 段后: 0.5 行"/>
    <w:qFormat/>
    <w:uiPriority w:val="0"/>
    <w:pPr>
      <w:numPr>
        <w:ilvl w:val="1"/>
        <w:numId w:val="1"/>
      </w:numPr>
      <w:tabs>
        <w:tab w:val="left" w:pos="0"/>
        <w:tab w:val="left" w:pos="1200"/>
      </w:tabs>
      <w:spacing w:line="300" w:lineRule="auto"/>
      <w:ind w:left="1260"/>
    </w:pPr>
    <w:rPr>
      <w:rFonts w:ascii="Calibri" w:hAnsi="Calibri" w:eastAsia="宋体" w:cs="Times New Roman"/>
      <w:sz w:val="21"/>
      <w:lang w:val="en-US" w:eastAsia="zh-CN" w:bidi="ar-SA"/>
    </w:rPr>
  </w:style>
  <w:style w:type="paragraph" w:customStyle="1" w:styleId="14">
    <w:name w:val="正文首行缩进（绿盟科技）"/>
    <w:basedOn w:val="12"/>
    <w:qFormat/>
    <w:uiPriority w:val="0"/>
    <w:pPr>
      <w:spacing w:after="50"/>
      <w:ind w:firstLine="200" w:firstLineChars="200"/>
    </w:pPr>
  </w:style>
  <w:style w:type="character" w:customStyle="1" w:styleId="15">
    <w:name w:val="font11"/>
    <w:qFormat/>
    <w:uiPriority w:val="0"/>
    <w:rPr>
      <w:rFonts w:hint="eastAsia" w:ascii="微软雅黑" w:hAnsi="微软雅黑" w:eastAsia="微软雅黑" w:cs="微软雅黑"/>
      <w:color w:val="000000"/>
      <w:sz w:val="21"/>
      <w:szCs w:val="21"/>
      <w:u w:val="none"/>
    </w:rPr>
  </w:style>
  <w:style w:type="character" w:customStyle="1" w:styleId="16">
    <w:name w:val="font21"/>
    <w:qFormat/>
    <w:uiPriority w:val="0"/>
    <w:rPr>
      <w:rFonts w:hint="default" w:ascii="Times New Roman" w:hAnsi="Times New Roman" w:cs="Times New Roman"/>
      <w:color w:val="000000"/>
      <w:sz w:val="24"/>
      <w:szCs w:val="24"/>
      <w:u w:val="none"/>
    </w:rPr>
  </w:style>
  <w:style w:type="character" w:customStyle="1" w:styleId="17">
    <w:name w:val="批注框文本 字符"/>
    <w:basedOn w:val="10"/>
    <w:link w:val="5"/>
    <w:qFormat/>
    <w:uiPriority w:val="0"/>
    <w:rPr>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5</Pages>
  <Words>3235</Words>
  <Characters>3564</Characters>
  <Lines>36</Lines>
  <Paragraphs>10</Paragraphs>
  <TotalTime>5</TotalTime>
  <ScaleCrop>false</ScaleCrop>
  <LinksUpToDate>false</LinksUpToDate>
  <CharactersWithSpaces>3593</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2019-06-17T04:09:00Z</dcterms:created>
  <dc:creator>斜杠青年</dc:creator>
  <cp:lastModifiedBy>張詩畵Verse</cp:lastModifiedBy>
  <cp:lastPrinted>2019-06-17T04:53:00Z</cp:lastPrinted>
  <dcterms:modified xsi:type="dcterms:W3CDTF">2025-11-18T08:13:32Z</dcterms:modified>
  <cp:revision>54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08A7C6BF31AF4D33A180886E6E7F5BA5_13</vt:lpwstr>
  </property>
</Properties>
</file>