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重庆市垫江县中医院</w:t>
      </w:r>
    </w:p>
    <w:p>
      <w:pPr>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val="en-US" w:eastAsia="zh-CN"/>
        </w:rPr>
        <w:t>药品集采</w:t>
      </w:r>
      <w:r>
        <w:rPr>
          <w:rFonts w:hint="eastAsia" w:ascii="方正小标宋_GBK" w:hAnsi="方正小标宋_GBK" w:eastAsia="方正小标宋_GBK" w:cs="方正小标宋_GBK"/>
          <w:bCs/>
          <w:sz w:val="44"/>
          <w:szCs w:val="44"/>
          <w:lang w:eastAsia="zh-CN"/>
        </w:rPr>
        <w:t>系统</w:t>
      </w:r>
      <w:r>
        <w:rPr>
          <w:rFonts w:hint="eastAsia" w:ascii="方正小标宋_GBK" w:hAnsi="方正小标宋_GBK" w:eastAsia="方正小标宋_GBK" w:cs="方正小标宋_GBK"/>
          <w:bCs/>
          <w:sz w:val="44"/>
          <w:szCs w:val="44"/>
        </w:rPr>
        <w:t>市场调查</w:t>
      </w:r>
    </w:p>
    <w:p>
      <w:pPr>
        <w:jc w:val="left"/>
        <w:rPr>
          <w:rFonts w:ascii="Times New Roman" w:hAnsi="Times New Roman" w:eastAsia="方正仿宋_GBK" w:cs="Times New Roman"/>
          <w:sz w:val="32"/>
          <w:szCs w:val="32"/>
        </w:rPr>
      </w:pPr>
      <w:r>
        <w:rPr>
          <w:rFonts w:hint="eastAsia" w:ascii="方正仿宋_GBK" w:hAnsi="方正仿宋_GBK" w:eastAsia="方正仿宋_GBK" w:cs="方正仿宋_GBK"/>
          <w:sz w:val="32"/>
          <w:szCs w:val="32"/>
        </w:rPr>
        <w:t>各潜在</w:t>
      </w:r>
      <w:r>
        <w:rPr>
          <w:rFonts w:ascii="Times New Roman" w:hAnsi="Times New Roman" w:eastAsia="方正仿宋_GBK" w:cs="Times New Roman"/>
          <w:sz w:val="32"/>
          <w:szCs w:val="32"/>
        </w:rPr>
        <w:t>供应商：</w:t>
      </w:r>
    </w:p>
    <w:p>
      <w:pPr>
        <w:ind w:firstLine="54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我院</w:t>
      </w:r>
      <w:r>
        <w:rPr>
          <w:rFonts w:hint="eastAsia" w:ascii="Times New Roman" w:hAnsi="Times New Roman" w:eastAsia="方正仿宋_GBK" w:cs="Times New Roman"/>
          <w:sz w:val="32"/>
          <w:szCs w:val="32"/>
        </w:rPr>
        <w:t>开展</w:t>
      </w:r>
      <w:r>
        <w:rPr>
          <w:rFonts w:hint="eastAsia" w:ascii="Times New Roman" w:hAnsi="Times New Roman" w:eastAsia="方正仿宋_GBK" w:cs="Times New Roman"/>
          <w:sz w:val="32"/>
          <w:szCs w:val="32"/>
          <w:lang w:val="en-US" w:eastAsia="zh-CN"/>
        </w:rPr>
        <w:t>药品集采</w:t>
      </w:r>
      <w:r>
        <w:rPr>
          <w:rFonts w:hint="eastAsia" w:ascii="Times New Roman" w:hAnsi="Times New Roman" w:eastAsia="方正仿宋_GBK" w:cs="Times New Roman"/>
          <w:sz w:val="32"/>
          <w:szCs w:val="32"/>
          <w:lang w:eastAsia="zh-CN"/>
        </w:rPr>
        <w:t>系统</w:t>
      </w:r>
      <w:r>
        <w:rPr>
          <w:rFonts w:hint="eastAsia" w:ascii="Times New Roman" w:hAnsi="Times New Roman" w:eastAsia="方正仿宋_GBK" w:cs="Times New Roman"/>
          <w:sz w:val="32"/>
          <w:szCs w:val="32"/>
        </w:rPr>
        <w:t>市场调查</w:t>
      </w:r>
      <w:r>
        <w:rPr>
          <w:rFonts w:ascii="Times New Roman" w:hAnsi="Times New Roman" w:eastAsia="方正仿宋_GBK" w:cs="Times New Roman"/>
          <w:sz w:val="32"/>
          <w:szCs w:val="32"/>
        </w:rPr>
        <w:t>，欢迎具有合格资质的供应商前来参与。</w:t>
      </w:r>
    </w:p>
    <w:p>
      <w:pPr>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1.资料收集提交时间： 202</w:t>
      </w:r>
      <w:r>
        <w:rPr>
          <w:rFonts w:hint="eastAsia" w:ascii="Times New Roman" w:hAnsi="Times New Roman" w:eastAsia="方正仿宋_GBK" w:cs="Times New Roman"/>
          <w:kern w:val="0"/>
          <w:sz w:val="32"/>
          <w:szCs w:val="32"/>
          <w:lang w:val="en-US" w:eastAsia="zh-CN"/>
        </w:rPr>
        <w:t>5</w:t>
      </w:r>
      <w:r>
        <w:rPr>
          <w:rFonts w:ascii="Times New Roman" w:hAnsi="Times New Roman" w:eastAsia="方正仿宋_GBK" w:cs="Times New Roman"/>
          <w:kern w:val="0"/>
          <w:sz w:val="32"/>
          <w:szCs w:val="32"/>
        </w:rPr>
        <w:t>年</w:t>
      </w:r>
      <w:r>
        <w:rPr>
          <w:rFonts w:hint="eastAsia" w:ascii="Times New Roman" w:hAnsi="Times New Roman" w:eastAsia="方正仿宋_GBK" w:cs="Times New Roman"/>
          <w:kern w:val="0"/>
          <w:sz w:val="32"/>
          <w:szCs w:val="32"/>
          <w:lang w:val="en-US" w:eastAsia="zh-CN"/>
        </w:rPr>
        <w:t>10</w:t>
      </w:r>
      <w:r>
        <w:rPr>
          <w:rFonts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rPr>
        <w:t>1</w:t>
      </w:r>
      <w:r>
        <w:rPr>
          <w:rFonts w:hint="eastAsia" w:ascii="Times New Roman" w:hAnsi="Times New Roman" w:eastAsia="方正仿宋_GBK" w:cs="Times New Roman"/>
          <w:kern w:val="0"/>
          <w:sz w:val="32"/>
          <w:szCs w:val="32"/>
          <w:lang w:val="en-US" w:eastAsia="zh-CN"/>
        </w:rPr>
        <w:t>5</w:t>
      </w:r>
      <w:r>
        <w:rPr>
          <w:rFonts w:ascii="Times New Roman" w:hAnsi="Times New Roman" w:eastAsia="方正仿宋_GBK" w:cs="Times New Roman"/>
          <w:kern w:val="0"/>
          <w:sz w:val="32"/>
          <w:szCs w:val="32"/>
        </w:rPr>
        <w:t>日——</w:t>
      </w:r>
      <w:r>
        <w:rPr>
          <w:rFonts w:hint="eastAsia" w:ascii="Times New Roman" w:hAnsi="Times New Roman" w:eastAsia="方正仿宋_GBK" w:cs="Times New Roman"/>
          <w:kern w:val="0"/>
          <w:sz w:val="32"/>
          <w:szCs w:val="32"/>
        </w:rPr>
        <w:t>202</w:t>
      </w:r>
      <w:r>
        <w:rPr>
          <w:rFonts w:hint="eastAsia" w:ascii="Times New Roman" w:hAnsi="Times New Roman" w:eastAsia="方正仿宋_GBK" w:cs="Times New Roman"/>
          <w:kern w:val="0"/>
          <w:sz w:val="32"/>
          <w:szCs w:val="32"/>
          <w:lang w:val="en-US" w:eastAsia="zh-CN"/>
        </w:rPr>
        <w:t>5</w:t>
      </w:r>
      <w:r>
        <w:rPr>
          <w:rFonts w:hint="eastAsia" w:ascii="Times New Roman" w:hAnsi="Times New Roman" w:eastAsia="方正仿宋_GBK" w:cs="Times New Roman"/>
          <w:kern w:val="0"/>
          <w:sz w:val="32"/>
          <w:szCs w:val="32"/>
        </w:rPr>
        <w:t>年</w:t>
      </w:r>
      <w:r>
        <w:rPr>
          <w:rFonts w:hint="eastAsia" w:ascii="Times New Roman" w:hAnsi="Times New Roman" w:eastAsia="方正仿宋_GBK" w:cs="Times New Roman"/>
          <w:kern w:val="0"/>
          <w:sz w:val="32"/>
          <w:szCs w:val="32"/>
          <w:lang w:val="en-US" w:eastAsia="zh-CN"/>
        </w:rPr>
        <w:t>10</w:t>
      </w:r>
      <w:r>
        <w:rPr>
          <w:rFonts w:hint="eastAsia" w:ascii="Times New Roman" w:hAnsi="Times New Roman" w:eastAsia="方正仿宋_GBK" w:cs="Times New Roman"/>
          <w:kern w:val="0"/>
          <w:sz w:val="32"/>
          <w:szCs w:val="32"/>
        </w:rPr>
        <w:t>月2</w:t>
      </w:r>
      <w:r>
        <w:rPr>
          <w:rFonts w:hint="eastAsia" w:ascii="Times New Roman" w:hAnsi="Times New Roman" w:eastAsia="方正仿宋_GBK" w:cs="Times New Roman"/>
          <w:kern w:val="0"/>
          <w:sz w:val="32"/>
          <w:szCs w:val="32"/>
          <w:lang w:val="en-US" w:eastAsia="zh-CN"/>
        </w:rPr>
        <w:t>0</w:t>
      </w:r>
      <w:r>
        <w:rPr>
          <w:rFonts w:hint="eastAsia" w:ascii="Times New Roman" w:hAnsi="Times New Roman" w:eastAsia="方正仿宋_GBK" w:cs="Times New Roman"/>
          <w:kern w:val="0"/>
          <w:sz w:val="32"/>
          <w:szCs w:val="32"/>
        </w:rPr>
        <w:t>日</w:t>
      </w:r>
    </w:p>
    <w:p>
      <w:pPr>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2.请提供单位营业执照复印件、报价表（参照需求描述及附件加盖公章）。</w:t>
      </w:r>
    </w:p>
    <w:p>
      <w:pPr>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3.报送方式：在规定时限内填写</w:t>
      </w:r>
      <w:r>
        <w:rPr>
          <w:rFonts w:ascii="Times New Roman" w:hAnsi="Times New Roman" w:eastAsia="方正仿宋_GBK" w:cs="Times New Roman"/>
          <w:kern w:val="0"/>
          <w:sz w:val="32"/>
          <w:szCs w:val="32"/>
        </w:rPr>
        <w:t>附</w:t>
      </w:r>
      <w:r>
        <w:rPr>
          <w:rFonts w:ascii="Times New Roman" w:hAnsi="Times New Roman" w:eastAsia="方正仿宋_GBK" w:cs="Times New Roman"/>
          <w:sz w:val="32"/>
          <w:szCs w:val="32"/>
        </w:rPr>
        <w:t>件</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药品集采</w:t>
      </w:r>
      <w:r>
        <w:rPr>
          <w:rFonts w:hint="eastAsia" w:ascii="Times New Roman" w:hAnsi="Times New Roman" w:eastAsia="方正仿宋_GBK" w:cs="Times New Roman"/>
          <w:sz w:val="32"/>
          <w:szCs w:val="32"/>
          <w:lang w:eastAsia="zh-CN"/>
        </w:rPr>
        <w:t>系统</w:t>
      </w:r>
      <w:r>
        <w:rPr>
          <w:rFonts w:hint="eastAsia" w:ascii="Times New Roman" w:hAnsi="Times New Roman" w:eastAsia="方正仿宋_GBK" w:cs="Times New Roman"/>
          <w:sz w:val="32"/>
          <w:szCs w:val="32"/>
        </w:rPr>
        <w:t>市场调查</w:t>
      </w:r>
      <w:r>
        <w:rPr>
          <w:rFonts w:hint="eastAsia" w:ascii="Times New Roman" w:hAnsi="Times New Roman" w:eastAsia="方正仿宋_GBK" w:cs="Times New Roman"/>
          <w:kern w:val="0"/>
          <w:sz w:val="32"/>
          <w:szCs w:val="32"/>
        </w:rPr>
        <w:t>》并按报送清单要求将产品相关材料打包上传至“行采家”平台（https://www.gec123.com）。上传文件名称为“报送单位名称”。</w:t>
      </w:r>
    </w:p>
    <w:p>
      <w:pPr>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4.联系电话：023-74573120</w:t>
      </w:r>
    </w:p>
    <w:p>
      <w:pPr>
        <w:ind w:firstLine="640" w:firstLineChars="2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5.附件《</w:t>
      </w:r>
      <w:r>
        <w:rPr>
          <w:rFonts w:hint="eastAsia" w:ascii="Times New Roman" w:hAnsi="Times New Roman" w:eastAsia="方正仿宋_GBK" w:cs="Times New Roman"/>
          <w:sz w:val="32"/>
          <w:szCs w:val="32"/>
          <w:lang w:val="en-US" w:eastAsia="zh-CN"/>
        </w:rPr>
        <w:t>药品集采系统</w:t>
      </w:r>
      <w:r>
        <w:rPr>
          <w:rFonts w:hint="eastAsia" w:ascii="Times New Roman" w:hAnsi="Times New Roman" w:eastAsia="方正仿宋_GBK" w:cs="Times New Roman"/>
          <w:sz w:val="32"/>
          <w:szCs w:val="32"/>
        </w:rPr>
        <w:t>市场调查</w:t>
      </w:r>
      <w:r>
        <w:rPr>
          <w:rFonts w:hint="eastAsia" w:ascii="Times New Roman" w:hAnsi="Times New Roman" w:eastAsia="方正仿宋_GBK" w:cs="Times New Roman"/>
          <w:kern w:val="0"/>
          <w:sz w:val="32"/>
          <w:szCs w:val="32"/>
        </w:rPr>
        <w:t>》需加盖公章扫描件</w:t>
      </w:r>
      <w:r>
        <w:rPr>
          <w:rFonts w:ascii="Times New Roman" w:hAnsi="Times New Roman" w:eastAsia="方正仿宋_GBK" w:cs="Times New Roman"/>
          <w:kern w:val="0"/>
          <w:sz w:val="32"/>
          <w:szCs w:val="32"/>
        </w:rPr>
        <w:t>1</w:t>
      </w:r>
      <w:r>
        <w:rPr>
          <w:rFonts w:hint="eastAsia" w:ascii="Times New Roman" w:hAnsi="Times New Roman" w:eastAsia="方正仿宋_GBK" w:cs="Times New Roman"/>
          <w:kern w:val="0"/>
          <w:sz w:val="32"/>
          <w:szCs w:val="32"/>
        </w:rPr>
        <w:t>套，以及可编辑的</w:t>
      </w:r>
      <w:r>
        <w:rPr>
          <w:rFonts w:ascii="Times New Roman" w:hAnsi="Times New Roman" w:eastAsia="方正仿宋_GBK" w:cs="Times New Roman"/>
          <w:kern w:val="0"/>
          <w:sz w:val="32"/>
          <w:szCs w:val="32"/>
        </w:rPr>
        <w:t>word</w:t>
      </w:r>
      <w:r>
        <w:rPr>
          <w:rFonts w:hint="eastAsia" w:ascii="Times New Roman" w:hAnsi="Times New Roman" w:eastAsia="方正仿宋_GBK" w:cs="Times New Roman"/>
          <w:kern w:val="0"/>
          <w:sz w:val="32"/>
          <w:szCs w:val="32"/>
        </w:rPr>
        <w:t>或</w:t>
      </w:r>
      <w:r>
        <w:rPr>
          <w:rFonts w:ascii="Times New Roman" w:hAnsi="Times New Roman" w:eastAsia="方正仿宋_GBK" w:cs="Times New Roman"/>
          <w:kern w:val="0"/>
          <w:sz w:val="32"/>
          <w:szCs w:val="32"/>
        </w:rPr>
        <w:t>excel</w:t>
      </w:r>
      <w:r>
        <w:rPr>
          <w:rFonts w:hint="eastAsia" w:ascii="Times New Roman" w:hAnsi="Times New Roman" w:eastAsia="方正仿宋_GBK" w:cs="Times New Roman"/>
          <w:kern w:val="0"/>
          <w:sz w:val="32"/>
          <w:szCs w:val="32"/>
        </w:rPr>
        <w:t>文件</w:t>
      </w:r>
      <w:r>
        <w:rPr>
          <w:rFonts w:ascii="Times New Roman" w:hAnsi="Times New Roman" w:eastAsia="方正仿宋_GBK" w:cs="Times New Roman"/>
          <w:kern w:val="0"/>
          <w:sz w:val="32"/>
          <w:szCs w:val="32"/>
        </w:rPr>
        <w:t>1</w:t>
      </w:r>
      <w:r>
        <w:rPr>
          <w:rFonts w:hint="eastAsia" w:ascii="Times New Roman" w:hAnsi="Times New Roman" w:eastAsia="方正仿宋_GBK" w:cs="Times New Roman"/>
          <w:kern w:val="0"/>
          <w:sz w:val="32"/>
          <w:szCs w:val="32"/>
        </w:rPr>
        <w:t>套，</w:t>
      </w:r>
      <w:r>
        <w:rPr>
          <w:rFonts w:ascii="Times New Roman" w:hAnsi="Times New Roman" w:eastAsia="方正仿宋_GBK" w:cs="Times New Roman"/>
          <w:kern w:val="0"/>
          <w:sz w:val="32"/>
          <w:szCs w:val="32"/>
        </w:rPr>
        <w:t>2</w:t>
      </w:r>
      <w:r>
        <w:rPr>
          <w:rFonts w:hint="eastAsia" w:ascii="Times New Roman" w:hAnsi="Times New Roman" w:eastAsia="方正仿宋_GBK" w:cs="Times New Roman"/>
          <w:kern w:val="0"/>
          <w:sz w:val="32"/>
          <w:szCs w:val="32"/>
        </w:rPr>
        <w:t>套文件内容应保持一致。</w:t>
      </w:r>
    </w:p>
    <w:p>
      <w:pPr>
        <w:spacing w:line="560" w:lineRule="exact"/>
        <w:ind w:firstLine="560" w:firstLineChars="200"/>
        <w:rPr>
          <w:rFonts w:ascii="Times New Roman" w:hAnsi="Times New Roman" w:eastAsia="方正仿宋_GBK" w:cs="Times New Roman"/>
          <w:sz w:val="32"/>
          <w:szCs w:val="32"/>
        </w:rPr>
      </w:pPr>
      <w:r>
        <w:rPr>
          <w:rFonts w:ascii="Times New Roman" w:hAnsi="Times New Roman" w:eastAsia="方正仿宋_GBK" w:cs="Times New Roman"/>
          <w:sz w:val="28"/>
          <w:szCs w:val="28"/>
        </w:rPr>
        <w:t>特别提醒：本次市场</w:t>
      </w:r>
      <w:r>
        <w:rPr>
          <w:rFonts w:hint="eastAsia" w:ascii="Times New Roman" w:hAnsi="Times New Roman" w:eastAsia="方正仿宋_GBK" w:cs="Times New Roman"/>
          <w:sz w:val="28"/>
          <w:szCs w:val="28"/>
        </w:rPr>
        <w:t>调查</w:t>
      </w:r>
      <w:r>
        <w:rPr>
          <w:rFonts w:ascii="Times New Roman" w:hAnsi="Times New Roman" w:eastAsia="方正仿宋_GBK" w:cs="Times New Roman"/>
          <w:sz w:val="28"/>
          <w:szCs w:val="28"/>
        </w:rPr>
        <w:t>不是正式采购活动，具体采购项目情况以最终发布的采购公告和采购文件为准。</w:t>
      </w:r>
    </w:p>
    <w:p>
      <w:pPr>
        <w:ind w:firstLine="540"/>
        <w:jc w:val="left"/>
        <w:rPr>
          <w:rFonts w:ascii="Times New Roman" w:hAnsi="Times New Roman" w:eastAsia="方正仿宋_GBK" w:cs="Times New Roman"/>
          <w:sz w:val="32"/>
          <w:szCs w:val="32"/>
        </w:rPr>
      </w:pPr>
      <w:r>
        <w:rPr>
          <w:rFonts w:hint="eastAsia" w:ascii="方正仿宋_GBK" w:hAnsi="方正仿宋_GBK" w:eastAsia="方正仿宋_GBK" w:cs="方正仿宋_GBK"/>
          <w:sz w:val="32"/>
          <w:szCs w:val="32"/>
        </w:rPr>
        <w:t xml:space="preserve">                          </w:t>
      </w:r>
      <w:r>
        <w:rPr>
          <w:rFonts w:ascii="Times New Roman" w:hAnsi="Times New Roman" w:eastAsia="方正仿宋_GBK" w:cs="Times New Roman"/>
          <w:sz w:val="32"/>
          <w:szCs w:val="32"/>
        </w:rPr>
        <w:t xml:space="preserve">   重庆市</w:t>
      </w:r>
      <w:r>
        <w:rPr>
          <w:rFonts w:hint="eastAsia" w:ascii="Times New Roman" w:hAnsi="Times New Roman" w:eastAsia="方正仿宋_GBK" w:cs="Times New Roman"/>
          <w:sz w:val="32"/>
          <w:szCs w:val="32"/>
        </w:rPr>
        <w:t>垫江县</w:t>
      </w:r>
      <w:r>
        <w:rPr>
          <w:rFonts w:ascii="Times New Roman" w:hAnsi="Times New Roman" w:eastAsia="方正仿宋_GBK" w:cs="Times New Roman"/>
          <w:sz w:val="32"/>
          <w:szCs w:val="32"/>
        </w:rPr>
        <w:t>中医院</w:t>
      </w:r>
    </w:p>
    <w:p>
      <w:pPr>
        <w:ind w:firstLine="540"/>
        <w:jc w:val="left"/>
        <w:rPr>
          <w:rFonts w:ascii="方正小标宋_GBK" w:hAnsi="方正小标宋_GBK" w:eastAsia="方正小标宋_GBK" w:cs="方正小标宋_GBK"/>
          <w:b/>
          <w:bCs/>
          <w:sz w:val="36"/>
          <w:szCs w:val="36"/>
        </w:rPr>
      </w:pPr>
      <w:r>
        <w:rPr>
          <w:rFonts w:ascii="Times New Roman" w:hAnsi="Times New Roman" w:eastAsia="方正仿宋_GBK" w:cs="Times New Roman"/>
          <w:sz w:val="32"/>
          <w:szCs w:val="32"/>
        </w:rPr>
        <w:t xml:space="preserve">                              202</w:t>
      </w: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10</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日</w:t>
      </w:r>
      <w:r>
        <w:rPr>
          <w:rFonts w:ascii="方正小标宋_GBK" w:hAnsi="方正小标宋_GBK" w:eastAsia="方正小标宋_GBK" w:cs="方正小标宋_GBK"/>
          <w:b/>
          <w:bCs/>
          <w:sz w:val="36"/>
          <w:szCs w:val="36"/>
        </w:rPr>
        <w:br w:type="page"/>
      </w:r>
    </w:p>
    <w:p>
      <w:pPr>
        <w:pStyle w:val="13"/>
        <w:rPr>
          <w:rFonts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rPr>
        <w:t>技术要求</w:t>
      </w:r>
    </w:p>
    <w:tbl>
      <w:tblPr>
        <w:tblStyle w:val="15"/>
        <w:tblW w:w="7944" w:type="dxa"/>
        <w:jc w:val="center"/>
        <w:tblLayout w:type="autofit"/>
        <w:tblCellMar>
          <w:top w:w="0" w:type="dxa"/>
          <w:left w:w="108" w:type="dxa"/>
          <w:bottom w:w="0" w:type="dxa"/>
          <w:right w:w="108" w:type="dxa"/>
        </w:tblCellMar>
      </w:tblPr>
      <w:tblGrid>
        <w:gridCol w:w="715"/>
        <w:gridCol w:w="1134"/>
        <w:gridCol w:w="6095"/>
      </w:tblGrid>
      <w:tr>
        <w:tblPrEx>
          <w:tblCellMar>
            <w:top w:w="0" w:type="dxa"/>
            <w:left w:w="108" w:type="dxa"/>
            <w:bottom w:w="0" w:type="dxa"/>
            <w:right w:w="108" w:type="dxa"/>
          </w:tblCellMar>
        </w:tblPrEx>
        <w:trPr>
          <w:trHeight w:val="499" w:hRule="atLeast"/>
          <w:jc w:val="center"/>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b/>
                <w:bCs/>
                <w:color w:val="auto"/>
                <w:kern w:val="0"/>
                <w:szCs w:val="21"/>
              </w:rPr>
            </w:pPr>
            <w:r>
              <w:rPr>
                <w:rFonts w:hint="eastAsia" w:ascii="方正仿宋_GBK" w:hAnsi="方正仿宋_GBK" w:eastAsia="方正仿宋_GBK" w:cs="方正仿宋_GBK"/>
                <w:b/>
                <w:bCs/>
                <w:color w:val="auto"/>
                <w:kern w:val="0"/>
                <w:szCs w:val="21"/>
              </w:rPr>
              <w:t>序号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b/>
                <w:bCs/>
                <w:color w:val="auto"/>
                <w:kern w:val="0"/>
                <w:szCs w:val="21"/>
              </w:rPr>
            </w:pPr>
            <w:r>
              <w:rPr>
                <w:rFonts w:hint="eastAsia" w:ascii="方正仿宋_GBK" w:hAnsi="方正仿宋_GBK" w:eastAsia="方正仿宋_GBK" w:cs="方正仿宋_GBK"/>
                <w:b/>
                <w:bCs/>
                <w:color w:val="auto"/>
                <w:kern w:val="0"/>
                <w:szCs w:val="21"/>
                <w:lang w:val="en-US" w:eastAsia="zh-CN"/>
              </w:rPr>
              <w:t>模块</w:t>
            </w:r>
            <w:r>
              <w:rPr>
                <w:rFonts w:hint="eastAsia" w:ascii="方正仿宋_GBK" w:hAnsi="方正仿宋_GBK" w:eastAsia="方正仿宋_GBK" w:cs="方正仿宋_GBK"/>
                <w:b/>
                <w:bCs/>
                <w:color w:val="auto"/>
                <w:kern w:val="0"/>
                <w:szCs w:val="21"/>
              </w:rPr>
              <w:t>名称</w:t>
            </w:r>
          </w:p>
        </w:tc>
        <w:tc>
          <w:tcPr>
            <w:tcW w:w="60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方正仿宋_GBK" w:hAnsi="方正仿宋_GBK" w:eastAsia="方正仿宋_GBK" w:cs="方正仿宋_GBK"/>
                <w:b/>
                <w:bCs/>
                <w:color w:val="auto"/>
                <w:kern w:val="0"/>
                <w:szCs w:val="21"/>
              </w:rPr>
            </w:pPr>
            <w:r>
              <w:rPr>
                <w:rFonts w:hint="eastAsia" w:ascii="方正仿宋_GBK" w:hAnsi="方正仿宋_GBK" w:eastAsia="方正仿宋_GBK" w:cs="方正仿宋_GBK"/>
                <w:b/>
                <w:bCs/>
                <w:color w:val="auto"/>
                <w:kern w:val="0"/>
                <w:szCs w:val="21"/>
              </w:rPr>
              <w:t>技术参数</w:t>
            </w:r>
          </w:p>
        </w:tc>
      </w:tr>
      <w:tr>
        <w:tblPrEx>
          <w:tblCellMar>
            <w:top w:w="0" w:type="dxa"/>
            <w:left w:w="108" w:type="dxa"/>
            <w:bottom w:w="0" w:type="dxa"/>
            <w:right w:w="108" w:type="dxa"/>
          </w:tblCellMar>
        </w:tblPrEx>
        <w:trPr>
          <w:trHeight w:val="2970" w:hRule="atLeast"/>
          <w:jc w:val="center"/>
        </w:trPr>
        <w:tc>
          <w:tcPr>
            <w:tcW w:w="71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目录管理</w:t>
            </w:r>
          </w:p>
        </w:tc>
        <w:tc>
          <w:tcPr>
            <w:tcW w:w="6095" w:type="dxa"/>
            <w:tcBorders>
              <w:top w:val="nil"/>
              <w:left w:val="nil"/>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提供中标药品目录管理功能，支持设置医院中标药品目录、药品执行周期、批次、待完成任务量、年任务参考周期、月任务参考周期、合并考核药品目录及同类药品目录等；</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支持设置同类药品类别，如非中选药品、疗效近似药品、价低药品等；</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支持通过excel表格的方式导入中标药品目录；</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支持批量复制药品生成新批次的集采目录；</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支持批量设置药品用量任务分配参考周期；</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b w:val="0"/>
                <w:bCs w:val="0"/>
                <w:color w:val="auto"/>
                <w:kern w:val="0"/>
                <w:sz w:val="21"/>
                <w:szCs w:val="21"/>
                <w:lang w:val="en-US" w:eastAsia="zh-CN" w:bidi="ar-SA"/>
              </w:rPr>
              <w:t>支持导出中标药品目录；</w:t>
            </w:r>
          </w:p>
        </w:tc>
      </w:tr>
      <w:tr>
        <w:tblPrEx>
          <w:tblCellMar>
            <w:top w:w="0" w:type="dxa"/>
            <w:left w:w="108" w:type="dxa"/>
            <w:bottom w:w="0" w:type="dxa"/>
            <w:right w:w="108" w:type="dxa"/>
          </w:tblCellMar>
        </w:tblPrEx>
        <w:trPr>
          <w:trHeight w:val="540" w:hRule="atLeast"/>
          <w:jc w:val="center"/>
        </w:trPr>
        <w:tc>
          <w:tcPr>
            <w:tcW w:w="71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用量管理</w:t>
            </w:r>
          </w:p>
        </w:tc>
        <w:tc>
          <w:tcPr>
            <w:tcW w:w="6095" w:type="dxa"/>
            <w:tcBorders>
              <w:top w:val="nil"/>
              <w:left w:val="nil"/>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支持根据中标药品年任务及月任务参考周期，自动计算本周期每个科室医生的年任务量和月任务量，实现集采药品任务量的智能设定；</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支持根据上月任务完成量及剩余任务量自动计算和调整剩余月份任务量；</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支持删除某医生任务量后，自动按比例将任务分配给其他医生；</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支持医院根据实际用药情况设置各科室及医生年任务量及每月任务量；</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支持查看药品历史任务量设置情况；</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支持导出药品用量任务；</w:t>
            </w:r>
          </w:p>
          <w:p>
            <w:pPr>
              <w:widowControl/>
              <w:jc w:val="left"/>
              <w:rPr>
                <w:rFonts w:hint="default"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支持医生通过HIS系统查看当月任务量。</w:t>
            </w:r>
          </w:p>
        </w:tc>
      </w:tr>
      <w:tr>
        <w:tblPrEx>
          <w:tblCellMar>
            <w:top w:w="0" w:type="dxa"/>
            <w:left w:w="108" w:type="dxa"/>
            <w:bottom w:w="0" w:type="dxa"/>
            <w:right w:w="108" w:type="dxa"/>
          </w:tblCellMar>
        </w:tblPrEx>
        <w:trPr>
          <w:trHeight w:val="1080" w:hRule="atLeast"/>
          <w:jc w:val="center"/>
        </w:trPr>
        <w:tc>
          <w:tcPr>
            <w:tcW w:w="71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同类药品权限管理</w:t>
            </w:r>
          </w:p>
        </w:tc>
        <w:tc>
          <w:tcPr>
            <w:tcW w:w="6095" w:type="dxa"/>
            <w:tcBorders>
              <w:top w:val="nil"/>
              <w:left w:val="nil"/>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提供同类药品处方权限管理功能，可通过处方权限的全局设置和药品设置配置可开具同类药品的处方/医嘱条件，不满足条件设置的药品不允许开具；</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对于全局设置，可设置条件包括患者号、患者年龄、患者姓名、患者状态、付费方式、结算方式、科室名称、医生姓名、医生职称、处方日期、药品类别、价低药品、中标药品本月用量（全院/科室/医生）、同类药品本月用量（全院/科室/医生）、中标药品本月用量占比（科室/医生/医生门诊/医生住院）、中标药品本月金额占比（科室/医生）、非中选药品本月用量占比（科室/医生）、中标药品累计用量（全院/科室/医生）、中标药品累计用量占比（医生/科室/医生门诊/医生住院）、中标药品累计金额占比（医生/科室）；</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对于药品设置，可设置条件包括患者号、患者年龄、患者姓名、患者状态、付费方式、结算方式、诊断名称、诊断编码、医生姓名、医生职称、科室名称、药品名称、处方日期、药品类别、价低药品、同类药品本月用量（全院/科室/医生）、中标药品本月用量（全院/科室/医生）、中标药品本月用量占比（全院/科室/医生/医生门诊/医生住院）、中标药品本月金额占比（科室/医生）、非中选药品本月用量占比（科室/医生）、中标药品累计用量（全院/科室/医生）、中标药品累计用量占比（全院/科室/医生/医生门诊/医生住院）、中标药品累计金额占比（医生/科室）；</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支持白名单设置，支持满足条件的同类药品不受处方权限设置的管控，可设置条件包括患者号、患者姓名、患者状态、患者身份证号、医生姓名、药品名称、药品类别；（非必要不开放）</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支持自动匹配药品执行周期，对处方日期/医嘱日期在药品执行周期范围内的处方/医嘱进行自动管控；</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支持在医生开方阶段对不符合处方权限设置的药品进行实时拦截，并弹窗提醒</w:t>
            </w:r>
          </w:p>
        </w:tc>
      </w:tr>
      <w:tr>
        <w:tblPrEx>
          <w:tblCellMar>
            <w:top w:w="0" w:type="dxa"/>
            <w:left w:w="108" w:type="dxa"/>
            <w:bottom w:w="0" w:type="dxa"/>
            <w:right w:w="108" w:type="dxa"/>
          </w:tblCellMar>
        </w:tblPrEx>
        <w:trPr>
          <w:trHeight w:val="2700" w:hRule="atLeast"/>
          <w:jc w:val="center"/>
        </w:trPr>
        <w:tc>
          <w:tcPr>
            <w:tcW w:w="71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集采药品权限管理</w:t>
            </w:r>
          </w:p>
        </w:tc>
        <w:tc>
          <w:tcPr>
            <w:tcW w:w="6095" w:type="dxa"/>
            <w:tcBorders>
              <w:top w:val="nil"/>
              <w:left w:val="nil"/>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提供集采药品处方权限管理功能，支持按药品设置处方权限；</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可设置条件包括药品名称、中标药品本月用量（全院/科室/医生）、中标药品本月金额（全院/科室/医生）、中标药品累计用量（全院/科室/医生）、中标药品累计金额（全院/医生/科室）；</w:t>
            </w:r>
          </w:p>
          <w:p>
            <w:pPr>
              <w:widowControl/>
              <w:jc w:val="left"/>
              <w:rPr>
                <w:rFonts w:hint="eastAsia"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支持自动匹配药品执行周期，对处方日期/医嘱日期在药品执行周期范围内的处方/医嘱进行管控；</w:t>
            </w:r>
          </w:p>
          <w:p>
            <w:pPr>
              <w:widowControl/>
              <w:jc w:val="left"/>
              <w:rPr>
                <w:rFonts w:hint="default" w:ascii="方正仿宋_GBK" w:hAnsi="方正仿宋_GBK" w:eastAsia="方正仿宋_GBK" w:cs="方正仿宋_GBK"/>
                <w:b w:val="0"/>
                <w:bCs w:val="0"/>
                <w:color w:val="auto"/>
                <w:kern w:val="0"/>
                <w:sz w:val="21"/>
                <w:szCs w:val="21"/>
                <w:lang w:val="en-US" w:eastAsia="zh-CN" w:bidi="ar-SA"/>
              </w:rPr>
            </w:pPr>
            <w:r>
              <w:rPr>
                <w:rFonts w:hint="eastAsia" w:ascii="方正仿宋_GBK" w:hAnsi="方正仿宋_GBK" w:eastAsia="方正仿宋_GBK" w:cs="方正仿宋_GBK"/>
                <w:b w:val="0"/>
                <w:bCs w:val="0"/>
                <w:color w:val="auto"/>
                <w:kern w:val="0"/>
                <w:sz w:val="21"/>
                <w:szCs w:val="21"/>
                <w:lang w:val="en-US" w:eastAsia="zh-CN" w:bidi="ar-SA"/>
              </w:rPr>
              <w:t>支持在医生开方阶段对不符合处方权限设置的药品进行实时拦截，并弹窗提醒</w:t>
            </w:r>
          </w:p>
        </w:tc>
      </w:tr>
      <w:tr>
        <w:tblPrEx>
          <w:tblCellMar>
            <w:top w:w="0" w:type="dxa"/>
            <w:left w:w="108" w:type="dxa"/>
            <w:bottom w:w="0" w:type="dxa"/>
            <w:right w:w="108" w:type="dxa"/>
          </w:tblCellMar>
        </w:tblPrEx>
        <w:trPr>
          <w:trHeight w:val="540" w:hRule="atLeast"/>
          <w:jc w:val="center"/>
        </w:trPr>
        <w:tc>
          <w:tcPr>
            <w:tcW w:w="71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5</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科室管理</w:t>
            </w:r>
          </w:p>
        </w:tc>
        <w:tc>
          <w:tcPr>
            <w:tcW w:w="6095" w:type="dxa"/>
            <w:tcBorders>
              <w:top w:val="nil"/>
              <w:left w:val="nil"/>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提供合并科室设置功能，可新增合并科室，并关联门诊及住院子科室；</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支持通过excel导入合并科室数据；</w:t>
            </w:r>
          </w:p>
          <w:p>
            <w:pPr>
              <w:widowControl/>
              <w:jc w:val="left"/>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lang w:val="en-US" w:eastAsia="zh-CN"/>
              </w:rPr>
              <w:t>支持根据设置的合并科室进行任务量分配及报表数据统计；</w:t>
            </w:r>
          </w:p>
        </w:tc>
      </w:tr>
      <w:tr>
        <w:tblPrEx>
          <w:tblCellMar>
            <w:top w:w="0" w:type="dxa"/>
            <w:left w:w="108" w:type="dxa"/>
            <w:bottom w:w="0" w:type="dxa"/>
            <w:right w:w="108" w:type="dxa"/>
          </w:tblCellMar>
        </w:tblPrEx>
        <w:trPr>
          <w:trHeight w:val="540" w:hRule="atLeast"/>
          <w:jc w:val="center"/>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6</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报量管理</w:t>
            </w:r>
          </w:p>
          <w:p>
            <w:pPr>
              <w:widowControl/>
              <w:jc w:val="left"/>
              <w:rPr>
                <w:rFonts w:hint="eastAsia" w:ascii="方正仿宋_GBK" w:hAnsi="方正仿宋_GBK" w:eastAsia="方正仿宋_GBK" w:cs="方正仿宋_GBK"/>
                <w:color w:val="auto"/>
                <w:kern w:val="0"/>
                <w:szCs w:val="21"/>
              </w:rPr>
            </w:pPr>
          </w:p>
        </w:tc>
        <w:tc>
          <w:tcPr>
            <w:tcW w:w="6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提供报量管理功能，支持集采药品报量；</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支持通过excel表格的方式导入集采报量药品目录；</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支持根据导入的药品目录自动匹配医院在用药品，并支持人工修改；</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支持设置报量数据的参考时间范围，并支持根据预设公式计算采购量；</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支持根据药品实际使用情况修改预报量；</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支持根据预报量自动计算增降幅，并支持输入增降幅说明；</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支持集采报量数据导出；</w:t>
            </w:r>
          </w:p>
        </w:tc>
      </w:tr>
      <w:tr>
        <w:tblPrEx>
          <w:tblCellMar>
            <w:top w:w="0" w:type="dxa"/>
            <w:left w:w="108" w:type="dxa"/>
            <w:bottom w:w="0" w:type="dxa"/>
            <w:right w:w="108" w:type="dxa"/>
          </w:tblCellMar>
        </w:tblPrEx>
        <w:trPr>
          <w:trHeight w:val="540" w:hRule="atLeast"/>
          <w:jc w:val="center"/>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7</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统计分析</w:t>
            </w:r>
          </w:p>
          <w:p>
            <w:pPr>
              <w:widowControl/>
              <w:jc w:val="left"/>
              <w:rPr>
                <w:rFonts w:hint="eastAsia" w:ascii="方正仿宋_GBK" w:hAnsi="方正仿宋_GBK" w:eastAsia="方正仿宋_GBK" w:cs="方正仿宋_GBK"/>
                <w:color w:val="auto"/>
                <w:kern w:val="0"/>
                <w:szCs w:val="21"/>
              </w:rPr>
            </w:pPr>
          </w:p>
        </w:tc>
        <w:tc>
          <w:tcPr>
            <w:tcW w:w="6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图形化展示医院中标药品使用情况，包括月任务完成药品占比、总任务完成药品占比、任务未完成药品前10名；支持查看前10名药品任务完成率趋势图、月任务完成情况及总任务完成情况，并支持按药品切换查看；支持按批次统计中标药品任务完成情况；</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统计所有中标药品使用情况，包括中标药品任务量、累计使用量、累计使用金额、累计完成率、同类药品累计使用量、同类药品累计使用金额、中标药品累计金额占比、中标药品累计用量占比、中标药品当月任务量、当月使用量、当月使用金额、当月完成率、同类药品当月使用量、同类药品当月使用金额、中标药品当月金额占比、中标药品当月用量占比、非中选药品累计使用量、使用金额及疗效近似药品累计使用量、使用金额等；</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按用户管理院区，统计全院、科室、科室-医生及医生中标药品使用情况，包括中标药品任务量、累计使用量、累计使用金额、累计完成率、同类药品累计使用量、同类药品累计使用金额、中标药品累计金额占比、中标药品累计用量占比、中标药品当月任务量、当月使用量、当月使用金额、当月完成率、同类药品当月使用量、同类药品当月使用金额、中标药品当月金额占比、中标药品当月用量占比、非中选药品累计使用量、使用金额及疗效近似药品累计使用量、使用金额等；</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支持按用户管理院区，统计各批次药品任务完成情况，包括执行品规数、完成品规数、累计任务量、累计任务量完成率、中标药品累计使用金额、集采通用名药品费用增长率等；</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科室主任，查看本科室中标药品使用情况，包括中标药品任务量、累计使用量、累计使用金额、累计完成率、同类药品累计使用量、同类药品累计使用金额、中标药品累计金额占比、中标药品累计用量占比、中标药品当月任务量、当月使用量、当月使用金额、当月完成率、同类药品当月使用量、同类药品当月使用金额、中标药品当月金额占比、中标药品当月用量占比、非中选药品累计使用量、使用金额及疗效近似药品累计使用量、使用金额等；</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临床医生，查看本人中标药品使用情况，包括中标药品任务量、累计使用量、累计使用金额、累计完成率、同类药品累计使用量、同类药品累计使用金额、中标药品累计金额占比、中标药品累计用量占比、中标药品当月任务量、当月使用量、当月使用金额、当月完成率、同类药品当月使用量、同类药品当月使用金额、中标药品当月金额占比、中标药品当月用量占比、非中选药品累计使用量、使用金额及疗效近似药品累计使用量、使用金额等；</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支持统计所有中标药品采购情况及采购任务完成情况，包括采购量、采购金额、采购完成率、非中选药品采购量、非中选药品采购金额、非中选药品采购金额占比等；（非必要不开放）</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浙江省药事质控相关集采指标统计，包括国家组织药品集中采购中选药品采购量占比、中选药品采购量占比（口服剂型）、中选药品采购量占比(非口服剂型)、中选药品采购金额(万元)、同种药品采购金额(万元)、中选药品采购金额占比、中选药品完成比例及具体中选药品采购情况汇总；（非必要不开放）</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支持按条件筛选报表统计结果，包括批次、月份、药品名称、周期达标情况及当月达标情况等；</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支持自定义设置报表显示指标及指标展示顺序；</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支持报表指标排序及统计数据导出。</w:t>
            </w:r>
          </w:p>
        </w:tc>
      </w:tr>
      <w:tr>
        <w:tblPrEx>
          <w:tblCellMar>
            <w:top w:w="0" w:type="dxa"/>
            <w:left w:w="108" w:type="dxa"/>
            <w:bottom w:w="0" w:type="dxa"/>
            <w:right w:w="108" w:type="dxa"/>
          </w:tblCellMar>
        </w:tblPrEx>
        <w:trPr>
          <w:trHeight w:val="540" w:hRule="atLeast"/>
          <w:jc w:val="center"/>
        </w:trPr>
        <w:tc>
          <w:tcPr>
            <w:tcW w:w="7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9</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数据查询</w:t>
            </w:r>
          </w:p>
          <w:p>
            <w:pPr>
              <w:widowControl/>
              <w:jc w:val="left"/>
              <w:rPr>
                <w:rFonts w:hint="eastAsia" w:ascii="方正仿宋_GBK" w:hAnsi="方正仿宋_GBK" w:eastAsia="方正仿宋_GBK" w:cs="方正仿宋_GBK"/>
                <w:color w:val="auto"/>
                <w:kern w:val="0"/>
                <w:szCs w:val="21"/>
              </w:rPr>
            </w:pPr>
          </w:p>
        </w:tc>
        <w:tc>
          <w:tcPr>
            <w:tcW w:w="6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支持处方/医嘱集采审查结果的自动采集和保存；</w:t>
            </w:r>
          </w:p>
          <w:p>
            <w:pPr>
              <w:widowControl/>
              <w:jc w:val="left"/>
              <w:rPr>
                <w:rFonts w:hint="eastAsia" w:ascii="方正仿宋_GBK" w:hAnsi="方正仿宋_GBK" w:eastAsia="方正仿宋_GBK" w:cs="方正仿宋_GBK"/>
                <w:color w:val="auto"/>
                <w:kern w:val="0"/>
                <w:szCs w:val="21"/>
                <w:lang w:val="en-US" w:eastAsia="zh-CN"/>
              </w:rPr>
            </w:pPr>
            <w:r>
              <w:rPr>
                <w:rFonts w:hint="eastAsia" w:ascii="方正仿宋_GBK" w:hAnsi="方正仿宋_GBK" w:eastAsia="方正仿宋_GBK" w:cs="方正仿宋_GBK"/>
                <w:color w:val="auto"/>
                <w:kern w:val="0"/>
                <w:szCs w:val="21"/>
                <w:lang w:val="en-US" w:eastAsia="zh-CN"/>
              </w:rPr>
              <w:t>支持药师实时查看集采系统拦截的处方/医嘱信息及集采管控信息。</w:t>
            </w:r>
          </w:p>
        </w:tc>
      </w:tr>
    </w:tbl>
    <w:p>
      <w:pPr>
        <w:spacing w:line="360" w:lineRule="auto"/>
        <w:jc w:val="left"/>
        <w:rPr>
          <w:rFonts w:hint="eastAsia" w:ascii="方正仿宋_GBK" w:hAnsi="方正仿宋_GBK" w:eastAsia="方正仿宋_GBK" w:cs="方正仿宋_GBK"/>
          <w:color w:val="auto"/>
          <w:kern w:val="0"/>
          <w:sz w:val="32"/>
          <w:szCs w:val="32"/>
          <w:lang w:eastAsia="zh-CN"/>
        </w:rPr>
      </w:pPr>
      <w:r>
        <w:rPr>
          <w:rFonts w:hint="eastAsia" w:ascii="方正仿宋_GBK" w:hAnsi="方正仿宋_GBK" w:eastAsia="方正仿宋_GBK" w:cs="方正仿宋_GBK"/>
          <w:color w:val="auto"/>
          <w:kern w:val="0"/>
          <w:sz w:val="32"/>
          <w:szCs w:val="32"/>
          <w:lang w:eastAsia="zh-CN"/>
        </w:rPr>
        <w:t>备注：</w:t>
      </w:r>
    </w:p>
    <w:p>
      <w:pPr>
        <w:ind w:firstLine="420" w:firstLineChars="200"/>
        <w:rPr>
          <w:rFonts w:hint="eastAsia" w:ascii="方正仿宋_GBK" w:hAnsi="方正仿宋_GBK" w:eastAsia="方正仿宋_GBK" w:cs="方正仿宋_GBK"/>
          <w:color w:val="auto"/>
          <w:sz w:val="21"/>
          <w:szCs w:val="21"/>
          <w:lang w:eastAsia="zh-CN"/>
        </w:rPr>
      </w:pPr>
      <w:r>
        <w:rPr>
          <w:rFonts w:hint="eastAsia" w:ascii="方正仿宋_GBK" w:hAnsi="方正仿宋_GBK" w:eastAsia="方正仿宋_GBK" w:cs="方正仿宋_GBK"/>
          <w:color w:val="auto"/>
          <w:sz w:val="21"/>
          <w:szCs w:val="21"/>
          <w:lang w:eastAsia="zh-CN"/>
        </w:rPr>
        <w:t>为完成上述功能需与其他系统对接（包括不限于</w:t>
      </w:r>
      <w:r>
        <w:rPr>
          <w:rFonts w:hint="eastAsia" w:ascii="方正仿宋_GBK" w:hAnsi="方正仿宋_GBK" w:eastAsia="方正仿宋_GBK" w:cs="方正仿宋_GBK"/>
          <w:color w:val="auto"/>
          <w:sz w:val="21"/>
          <w:szCs w:val="21"/>
          <w:lang w:val="en-US" w:eastAsia="zh-CN"/>
        </w:rPr>
        <w:t>HIS</w:t>
      </w:r>
      <w:r>
        <w:rPr>
          <w:rFonts w:hint="eastAsia" w:ascii="方正仿宋_GBK" w:hAnsi="方正仿宋_GBK" w:eastAsia="方正仿宋_GBK" w:cs="方正仿宋_GBK"/>
          <w:color w:val="auto"/>
          <w:sz w:val="21"/>
          <w:szCs w:val="21"/>
          <w:lang w:eastAsia="zh-CN"/>
        </w:rPr>
        <w:t>），所产生的接口服务费用，自行承担。</w:t>
      </w:r>
    </w:p>
    <w:p>
      <w:pPr>
        <w:ind w:firstLine="420" w:firstLineChars="200"/>
        <w:rPr>
          <w:rFonts w:hint="eastAsia" w:ascii="方正仿宋_GBK" w:hAnsi="方正仿宋_GBK" w:eastAsia="方正仿宋_GBK" w:cs="方正仿宋_GBK"/>
          <w:color w:val="auto"/>
          <w:sz w:val="21"/>
          <w:szCs w:val="21"/>
          <w:lang w:eastAsia="zh-CN"/>
        </w:rPr>
      </w:pPr>
      <w:r>
        <w:rPr>
          <w:rFonts w:hint="eastAsia" w:ascii="方正仿宋_GBK" w:hAnsi="方正仿宋_GBK" w:eastAsia="方正仿宋_GBK" w:cs="方正仿宋_GBK"/>
          <w:color w:val="auto"/>
          <w:sz w:val="21"/>
          <w:szCs w:val="21"/>
          <w:lang w:eastAsia="zh-CN"/>
        </w:rPr>
        <w:t>项目需配备系统所需的服务器等硬件环境资源。</w:t>
      </w:r>
    </w:p>
    <w:p>
      <w:pPr>
        <w:spacing w:line="360" w:lineRule="auto"/>
        <w:jc w:val="left"/>
        <w:rPr>
          <w:rFonts w:ascii="Times New Roman" w:hAnsi="Times New Roman" w:eastAsia="方正仿宋_GBK" w:cs="Times New Roman"/>
          <w:kern w:val="0"/>
          <w:sz w:val="32"/>
          <w:szCs w:val="32"/>
        </w:rPr>
      </w:pPr>
    </w:p>
    <w:p>
      <w:pPr>
        <w:pStyle w:val="13"/>
        <w:rPr>
          <w:rFonts w:ascii="方正小标宋_GBK" w:hAnsi="方正小标宋_GBK" w:eastAsia="方正小标宋_GBK" w:cs="方正小标宋_GBK"/>
          <w:b/>
          <w:bCs/>
          <w:sz w:val="36"/>
          <w:szCs w:val="36"/>
        </w:rPr>
      </w:pPr>
      <w:r>
        <w:rPr>
          <w:rFonts w:ascii="方正小标宋_GBK" w:hAnsi="方正小标宋_GBK" w:eastAsia="方正小标宋_GBK" w:cs="方正小标宋_GBK"/>
          <w:b/>
          <w:bCs/>
          <w:sz w:val="36"/>
          <w:szCs w:val="36"/>
        </w:rPr>
        <w:t>商务需求</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1</w:t>
      </w:r>
      <w:r>
        <w:rPr>
          <w:rFonts w:hint="eastAsia" w:ascii="方正仿宋_GBK" w:hAnsi="宋体" w:eastAsia="方正仿宋_GBK" w:cs="宋体"/>
          <w:sz w:val="28"/>
          <w:szCs w:val="28"/>
        </w:rPr>
        <w:t>、</w:t>
      </w:r>
      <w:r>
        <w:rPr>
          <w:rFonts w:hint="eastAsia" w:ascii="方正仿宋_GBK" w:hAnsi="宋体" w:eastAsia="方正仿宋_GBK" w:cs="宋体"/>
          <w:color w:val="000000"/>
          <w:sz w:val="28"/>
          <w:szCs w:val="28"/>
        </w:rPr>
        <w:t>产品质量保证期</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（1）所提供从验收合格后起</w:t>
      </w:r>
      <w:r>
        <w:rPr>
          <w:rFonts w:hint="eastAsia" w:ascii="方正仿宋_GBK" w:hAnsi="宋体" w:eastAsia="方正仿宋_GBK" w:cs="宋体"/>
          <w:color w:val="FF0000"/>
          <w:sz w:val="28"/>
          <w:szCs w:val="28"/>
          <w:lang w:val="en-US" w:eastAsia="zh-CN"/>
        </w:rPr>
        <w:t>5</w:t>
      </w:r>
      <w:r>
        <w:rPr>
          <w:rFonts w:hint="eastAsia" w:ascii="方正仿宋_GBK" w:hAnsi="宋体" w:eastAsia="方正仿宋_GBK" w:cs="宋体"/>
          <w:color w:val="000000"/>
          <w:sz w:val="28"/>
          <w:szCs w:val="28"/>
        </w:rPr>
        <w:t>年免费维护</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（2）故障报修的响应时间：1小时；若电话中无法解决，4小时内到达现场进行维护。</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2</w:t>
      </w:r>
      <w:r>
        <w:rPr>
          <w:rFonts w:hint="eastAsia" w:ascii="方正仿宋_GBK" w:hAnsi="宋体" w:eastAsia="方正仿宋_GBK" w:cs="宋体"/>
          <w:sz w:val="28"/>
          <w:szCs w:val="28"/>
        </w:rPr>
        <w:t>、</w:t>
      </w:r>
      <w:r>
        <w:rPr>
          <w:rFonts w:hint="eastAsia" w:ascii="方正仿宋_GBK" w:hAnsi="宋体" w:eastAsia="方正仿宋_GBK" w:cs="宋体"/>
          <w:color w:val="000000"/>
          <w:sz w:val="28"/>
          <w:szCs w:val="28"/>
        </w:rPr>
        <w:t>履约保证金</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履约保证金为中标金额10%，在验收合格后无息退还。</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3</w:t>
      </w:r>
      <w:r>
        <w:rPr>
          <w:rFonts w:hint="eastAsia" w:ascii="方正仿宋_GBK" w:hAnsi="宋体" w:eastAsia="方正仿宋_GBK" w:cs="宋体"/>
          <w:sz w:val="28"/>
          <w:szCs w:val="28"/>
        </w:rPr>
        <w:t>、</w:t>
      </w:r>
      <w:r>
        <w:rPr>
          <w:rFonts w:hint="eastAsia" w:ascii="方正仿宋_GBK" w:hAnsi="宋体" w:eastAsia="方正仿宋_GBK" w:cs="宋体"/>
          <w:color w:val="000000"/>
          <w:sz w:val="28"/>
          <w:szCs w:val="28"/>
        </w:rPr>
        <w:t>付款方式</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 xml:space="preserve">本项目验收合格试运行三个月后支付合同总款的50%；在无质量及售后服务问题的前提下，验收合格试运行六个月后支付合同总款的40%；无质量及售后服务问题的前提下, </w:t>
      </w:r>
      <w:r>
        <w:rPr>
          <w:rFonts w:hint="eastAsia" w:ascii="方正仿宋_GBK" w:hAnsi="宋体" w:eastAsia="方正仿宋_GBK" w:cs="宋体"/>
          <w:color w:val="FF0000"/>
          <w:sz w:val="28"/>
          <w:szCs w:val="28"/>
          <w:lang w:eastAsia="zh-CN"/>
        </w:rPr>
        <w:t>五</w:t>
      </w:r>
      <w:r>
        <w:rPr>
          <w:rFonts w:hint="eastAsia" w:ascii="方正仿宋_GBK" w:hAnsi="宋体" w:eastAsia="方正仿宋_GBK" w:cs="宋体"/>
          <w:color w:val="000000"/>
          <w:sz w:val="28"/>
          <w:szCs w:val="28"/>
        </w:rPr>
        <w:t>年后支付合同总</w:t>
      </w:r>
      <w:bookmarkStart w:id="0" w:name="_GoBack"/>
      <w:bookmarkEnd w:id="0"/>
      <w:r>
        <w:rPr>
          <w:rFonts w:hint="eastAsia" w:ascii="方正仿宋_GBK" w:hAnsi="宋体" w:eastAsia="方正仿宋_GBK" w:cs="宋体"/>
          <w:color w:val="000000"/>
          <w:sz w:val="28"/>
          <w:szCs w:val="28"/>
        </w:rPr>
        <w:t>款的10%。</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4</w:t>
      </w:r>
      <w:r>
        <w:rPr>
          <w:rFonts w:hint="eastAsia" w:ascii="方正仿宋_GBK" w:hAnsi="宋体" w:eastAsia="方正仿宋_GBK" w:cs="宋体"/>
          <w:sz w:val="28"/>
          <w:szCs w:val="28"/>
        </w:rPr>
        <w:t>、</w:t>
      </w:r>
      <w:r>
        <w:rPr>
          <w:rFonts w:hint="eastAsia" w:ascii="方正仿宋_GBK" w:hAnsi="宋体" w:eastAsia="方正仿宋_GBK" w:cs="宋体"/>
          <w:color w:val="000000"/>
          <w:sz w:val="28"/>
          <w:szCs w:val="28"/>
        </w:rPr>
        <w:t>质保期后维保费要求</w:t>
      </w:r>
    </w:p>
    <w:p>
      <w:pPr>
        <w:ind w:firstLine="560" w:firstLineChars="200"/>
        <w:rPr>
          <w:rFonts w:ascii="方正仿宋_GBK" w:hAnsi="宋体" w:eastAsia="方正仿宋_GBK" w:cs="宋体"/>
          <w:color w:val="000000"/>
          <w:sz w:val="30"/>
          <w:szCs w:val="30"/>
        </w:rPr>
      </w:pPr>
      <w:r>
        <w:rPr>
          <w:rFonts w:hint="eastAsia" w:ascii="方正仿宋_GBK" w:hAnsi="宋体" w:eastAsia="方正仿宋_GBK" w:cs="宋体"/>
          <w:color w:val="000000"/>
          <w:sz w:val="28"/>
          <w:szCs w:val="28"/>
        </w:rPr>
        <w:t>质量保证期过后，采购人需要继续由原中标人或厂家提供售后服务的，年维护费为中标金额的4%</w:t>
      </w:r>
      <w:r>
        <w:rPr>
          <w:rFonts w:hint="eastAsia" w:ascii="方正仿宋_GBK" w:hAnsi="宋体" w:eastAsia="方正仿宋_GBK" w:cs="宋体"/>
          <w:color w:val="000000"/>
          <w:sz w:val="30"/>
          <w:szCs w:val="30"/>
        </w:rPr>
        <w:t>。</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5、系统报价</w:t>
      </w:r>
    </w:p>
    <w:p>
      <w:pPr>
        <w:ind w:firstLine="560" w:firstLineChars="200"/>
        <w:rPr>
          <w:rFonts w:ascii="方正仿宋_GBK" w:hAnsi="宋体" w:eastAsia="方正仿宋_GBK" w:cs="宋体"/>
          <w:color w:val="000000"/>
          <w:sz w:val="28"/>
          <w:szCs w:val="28"/>
        </w:rPr>
      </w:pPr>
      <w:r>
        <w:rPr>
          <w:rFonts w:hint="eastAsia" w:ascii="方正仿宋_GBK" w:hAnsi="宋体" w:eastAsia="方正仿宋_GBK" w:cs="宋体"/>
          <w:color w:val="000000"/>
          <w:sz w:val="28"/>
          <w:szCs w:val="28"/>
        </w:rPr>
        <w:t>报价包含但不限于：产品价、运输费（含装卸费）、保险费、</w:t>
      </w:r>
      <w:r>
        <w:rPr>
          <w:rFonts w:hint="eastAsia" w:ascii="方正仿宋_GBK" w:hAnsi="宋体" w:eastAsia="方正仿宋_GBK" w:cs="宋体"/>
          <w:b/>
          <w:color w:val="000000"/>
          <w:sz w:val="28"/>
          <w:szCs w:val="28"/>
        </w:rPr>
        <w:t>第三方接口费</w:t>
      </w:r>
      <w:r>
        <w:rPr>
          <w:rFonts w:hint="eastAsia" w:ascii="方正仿宋_GBK" w:hAnsi="宋体" w:eastAsia="方正仿宋_GBK" w:cs="宋体"/>
          <w:color w:val="000000"/>
          <w:sz w:val="28"/>
          <w:szCs w:val="28"/>
        </w:rPr>
        <w:t>、安装调试费、税费、验收费、培训费等送货到采购人指定地点并完成安装、调试的所有费用。</w:t>
      </w:r>
    </w:p>
    <w:p>
      <w:pPr>
        <w:ind w:firstLine="560" w:firstLineChars="200"/>
      </w:pPr>
      <w:r>
        <w:rPr>
          <w:rFonts w:hint="eastAsia" w:ascii="方正仿宋_GBK" w:hAnsi="宋体" w:eastAsia="方正仿宋_GBK" w:cs="宋体"/>
          <w:color w:val="000000"/>
          <w:sz w:val="28"/>
          <w:szCs w:val="28"/>
        </w:rPr>
        <w:t>（上述服务需求、商务需求不作为最终招标技术、商务需求，仅做为市场调查使用）</w:t>
      </w:r>
      <w:r>
        <w:br w:type="page"/>
      </w:r>
    </w:p>
    <w:p>
      <w:pPr>
        <w:pStyle w:val="14"/>
        <w:rPr>
          <w:sz w:val="36"/>
          <w:szCs w:val="36"/>
        </w:rPr>
      </w:pPr>
      <w:r>
        <w:rPr>
          <w:sz w:val="36"/>
          <w:szCs w:val="36"/>
        </w:rPr>
        <w:t>附件：</w:t>
      </w:r>
    </w:p>
    <w:p>
      <w:pPr>
        <w:pStyle w:val="13"/>
        <w:jc w:val="center"/>
        <w:rPr>
          <w:sz w:val="28"/>
          <w:szCs w:val="44"/>
        </w:rPr>
      </w:pPr>
      <w:r>
        <w:rPr>
          <w:rFonts w:hint="eastAsia" w:ascii="方正小标宋_GBK" w:hAnsi="方正小标宋_GBK" w:eastAsia="方正小标宋_GBK" w:cs="方正小标宋_GBK"/>
          <w:b/>
          <w:bCs/>
          <w:sz w:val="36"/>
          <w:szCs w:val="36"/>
          <w:lang w:val="en-US" w:eastAsia="zh-CN"/>
        </w:rPr>
        <w:t>药品集采</w:t>
      </w:r>
      <w:r>
        <w:rPr>
          <w:rFonts w:hint="eastAsia" w:ascii="方正小标宋_GBK" w:hAnsi="方正小标宋_GBK" w:eastAsia="方正小标宋_GBK" w:cs="方正小标宋_GBK"/>
          <w:b/>
          <w:bCs/>
          <w:sz w:val="36"/>
          <w:szCs w:val="36"/>
          <w:lang w:eastAsia="zh-CN"/>
        </w:rPr>
        <w:t>系统</w:t>
      </w:r>
      <w:r>
        <w:rPr>
          <w:rFonts w:hint="eastAsia" w:ascii="方正小标宋_GBK" w:hAnsi="方正小标宋_GBK" w:eastAsia="方正小标宋_GBK" w:cs="方正小标宋_GBK"/>
          <w:b/>
          <w:bCs/>
          <w:sz w:val="36"/>
          <w:szCs w:val="36"/>
        </w:rPr>
        <w:t>市场调查</w:t>
      </w:r>
    </w:p>
    <w:p>
      <w:pPr>
        <w:pStyle w:val="13"/>
        <w:spacing w:after="0" w:line="240" w:lineRule="auto"/>
        <w:rPr>
          <w:rFonts w:ascii="方正仿宋_GBK" w:hAnsi="宋体" w:eastAsia="方正仿宋_GBK" w:cs="宋体"/>
          <w:b/>
          <w:bCs/>
          <w:color w:val="000000"/>
          <w:kern w:val="0"/>
          <w:sz w:val="32"/>
          <w:szCs w:val="32"/>
        </w:rPr>
      </w:pPr>
      <w:r>
        <w:rPr>
          <w:rFonts w:hint="eastAsia" w:ascii="方正仿宋_GBK" w:hAnsi="宋体" w:eastAsia="方正仿宋_GBK" w:cs="宋体"/>
          <w:b/>
          <w:bCs/>
          <w:color w:val="000000"/>
          <w:kern w:val="0"/>
          <w:sz w:val="32"/>
          <w:szCs w:val="32"/>
        </w:rPr>
        <w:t>重庆市垫江县中医院：</w:t>
      </w:r>
    </w:p>
    <w:p>
      <w:pPr>
        <w:pStyle w:val="48"/>
        <w:spacing w:line="440" w:lineRule="exact"/>
        <w:ind w:firstLine="560"/>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符合贵院上述功能系统推荐信息如下：</w:t>
      </w:r>
    </w:p>
    <w:tbl>
      <w:tblPr>
        <w:tblStyle w:val="15"/>
        <w:tblpPr w:leftFromText="180" w:rightFromText="180" w:vertAnchor="text" w:horzAnchor="margin" w:tblpY="307"/>
        <w:tblOverlap w:val="never"/>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2386"/>
        <w:gridCol w:w="2126"/>
        <w:gridCol w:w="1134"/>
        <w:gridCol w:w="113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41" w:type="dxa"/>
            <w:shd w:val="clear" w:color="auto" w:fill="auto"/>
            <w:noWrap/>
            <w:vAlign w:val="center"/>
          </w:tcPr>
          <w:p>
            <w:pPr>
              <w:jc w:val="center"/>
              <w:rPr>
                <w:rFonts w:ascii="方正仿宋_GBK" w:eastAsia="方正仿宋_GBK"/>
                <w:sz w:val="24"/>
                <w:szCs w:val="24"/>
              </w:rPr>
            </w:pPr>
            <w:r>
              <w:rPr>
                <w:rFonts w:hint="eastAsia" w:ascii="方正仿宋_GBK" w:eastAsia="方正仿宋_GBK"/>
                <w:sz w:val="24"/>
                <w:szCs w:val="24"/>
              </w:rPr>
              <w:t>序号</w:t>
            </w:r>
          </w:p>
        </w:tc>
        <w:tc>
          <w:tcPr>
            <w:tcW w:w="2386" w:type="dxa"/>
            <w:shd w:val="clear" w:color="000000" w:fill="FFFFFF"/>
            <w:noWrap/>
            <w:vAlign w:val="center"/>
          </w:tcPr>
          <w:p>
            <w:pPr>
              <w:rPr>
                <w:rFonts w:ascii="方正仿宋_GBK" w:eastAsia="方正仿宋_GBK"/>
                <w:sz w:val="24"/>
                <w:szCs w:val="24"/>
              </w:rPr>
            </w:pPr>
            <w:r>
              <w:rPr>
                <w:rFonts w:hint="eastAsia" w:ascii="方正仿宋_GBK" w:eastAsia="方正仿宋_GBK"/>
                <w:sz w:val="24"/>
                <w:szCs w:val="24"/>
              </w:rPr>
              <w:t>系统名称</w:t>
            </w:r>
          </w:p>
        </w:tc>
        <w:tc>
          <w:tcPr>
            <w:tcW w:w="2126" w:type="dxa"/>
            <w:shd w:val="clear" w:color="000000" w:fill="FFFFFF"/>
            <w:noWrap/>
            <w:vAlign w:val="center"/>
          </w:tcPr>
          <w:p>
            <w:pPr>
              <w:jc w:val="center"/>
              <w:rPr>
                <w:rFonts w:ascii="方正仿宋_GBK" w:eastAsia="方正仿宋_GBK"/>
                <w:sz w:val="24"/>
                <w:szCs w:val="24"/>
              </w:rPr>
            </w:pPr>
            <w:r>
              <w:rPr>
                <w:rFonts w:hint="eastAsia" w:ascii="方正仿宋_GBK" w:eastAsia="方正仿宋_GBK"/>
                <w:sz w:val="24"/>
                <w:szCs w:val="24"/>
              </w:rPr>
              <w:t>单位</w:t>
            </w:r>
          </w:p>
        </w:tc>
        <w:tc>
          <w:tcPr>
            <w:tcW w:w="1134" w:type="dxa"/>
            <w:shd w:val="clear" w:color="000000" w:fill="FFFFFF"/>
            <w:vAlign w:val="center"/>
          </w:tcPr>
          <w:p>
            <w:pPr>
              <w:jc w:val="center"/>
              <w:rPr>
                <w:rFonts w:ascii="方正仿宋_GBK" w:eastAsia="方正仿宋_GBK"/>
                <w:sz w:val="24"/>
                <w:szCs w:val="24"/>
              </w:rPr>
            </w:pPr>
            <w:r>
              <w:rPr>
                <w:rFonts w:hint="eastAsia" w:ascii="方正仿宋_GBK" w:eastAsia="方正仿宋_GBK"/>
                <w:sz w:val="24"/>
                <w:szCs w:val="24"/>
              </w:rPr>
              <w:t>数量</w:t>
            </w:r>
          </w:p>
        </w:tc>
        <w:tc>
          <w:tcPr>
            <w:tcW w:w="1134" w:type="dxa"/>
            <w:shd w:val="clear" w:color="000000" w:fill="FFFFFF"/>
            <w:vAlign w:val="center"/>
          </w:tcPr>
          <w:p>
            <w:pPr>
              <w:jc w:val="center"/>
              <w:rPr>
                <w:rFonts w:ascii="方正仿宋_GBK" w:eastAsia="方正仿宋_GBK"/>
                <w:sz w:val="24"/>
                <w:szCs w:val="24"/>
              </w:rPr>
            </w:pPr>
            <w:r>
              <w:rPr>
                <w:rFonts w:hint="eastAsia" w:ascii="方正仿宋_GBK" w:eastAsia="方正仿宋_GBK"/>
                <w:sz w:val="24"/>
                <w:szCs w:val="24"/>
              </w:rPr>
              <w:t>单价</w:t>
            </w:r>
          </w:p>
        </w:tc>
        <w:tc>
          <w:tcPr>
            <w:tcW w:w="992" w:type="dxa"/>
            <w:shd w:val="clear" w:color="000000" w:fill="FFFFFF"/>
            <w:noWrap/>
            <w:vAlign w:val="center"/>
          </w:tcPr>
          <w:p>
            <w:pPr>
              <w:jc w:val="center"/>
              <w:rPr>
                <w:rFonts w:ascii="方正仿宋_GBK" w:eastAsia="方正仿宋_GBK"/>
                <w:sz w:val="24"/>
                <w:szCs w:val="24"/>
              </w:rPr>
            </w:pPr>
            <w:r>
              <w:rPr>
                <w:rFonts w:hint="eastAsia" w:ascii="方正仿宋_GBK" w:eastAsia="方正仿宋_GBK"/>
                <w:sz w:val="24"/>
                <w:szCs w:val="24"/>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841" w:type="dxa"/>
            <w:shd w:val="clear" w:color="auto" w:fill="auto"/>
            <w:noWrap/>
            <w:vAlign w:val="center"/>
          </w:tcPr>
          <w:p>
            <w:pPr>
              <w:rPr>
                <w:rFonts w:ascii="方正仿宋_GBK" w:eastAsia="方正仿宋_GBK"/>
                <w:sz w:val="24"/>
                <w:szCs w:val="24"/>
              </w:rPr>
            </w:pPr>
            <w:r>
              <w:rPr>
                <w:rFonts w:hint="eastAsia" w:ascii="方正仿宋_GBK" w:eastAsia="方正仿宋_GBK"/>
                <w:sz w:val="24"/>
                <w:szCs w:val="24"/>
              </w:rPr>
              <w:t>1</w:t>
            </w:r>
          </w:p>
        </w:tc>
        <w:tc>
          <w:tcPr>
            <w:tcW w:w="2386" w:type="dxa"/>
            <w:shd w:val="clear" w:color="000000" w:fill="FFFFFF"/>
            <w:noWrap/>
            <w:vAlign w:val="center"/>
          </w:tcPr>
          <w:p>
            <w:pPr>
              <w:rPr>
                <w:rFonts w:hint="eastAsia" w:ascii="方正仿宋_GBK" w:eastAsia="方正仿宋_GBK"/>
                <w:sz w:val="24"/>
                <w:szCs w:val="24"/>
                <w:lang w:eastAsia="zh-CN"/>
              </w:rPr>
            </w:pPr>
            <w:r>
              <w:rPr>
                <w:rFonts w:hint="eastAsia" w:ascii="方正仿宋_GBK" w:eastAsia="方正仿宋_GBK"/>
                <w:sz w:val="24"/>
                <w:szCs w:val="24"/>
                <w:lang w:val="en-US" w:eastAsia="zh-CN"/>
              </w:rPr>
              <w:t>药品集采</w:t>
            </w:r>
            <w:r>
              <w:rPr>
                <w:rFonts w:hint="eastAsia" w:ascii="方正仿宋_GBK" w:eastAsia="方正仿宋_GBK"/>
                <w:sz w:val="24"/>
                <w:szCs w:val="24"/>
                <w:lang w:eastAsia="zh-CN"/>
              </w:rPr>
              <w:t>系统</w:t>
            </w:r>
          </w:p>
        </w:tc>
        <w:tc>
          <w:tcPr>
            <w:tcW w:w="2126" w:type="dxa"/>
            <w:shd w:val="clear" w:color="000000" w:fill="FFFFFF"/>
            <w:noWrap/>
            <w:vAlign w:val="center"/>
          </w:tcPr>
          <w:p>
            <w:pPr>
              <w:rPr>
                <w:rFonts w:ascii="方正仿宋_GBK" w:eastAsia="方正仿宋_GBK"/>
                <w:sz w:val="24"/>
                <w:szCs w:val="24"/>
              </w:rPr>
            </w:pPr>
          </w:p>
        </w:tc>
        <w:tc>
          <w:tcPr>
            <w:tcW w:w="1134" w:type="dxa"/>
            <w:shd w:val="clear" w:color="000000" w:fill="FFFFFF"/>
          </w:tcPr>
          <w:p>
            <w:pPr>
              <w:rPr>
                <w:rFonts w:ascii="方正仿宋_GBK" w:eastAsia="方正仿宋_GBK"/>
                <w:sz w:val="24"/>
                <w:szCs w:val="24"/>
              </w:rPr>
            </w:pPr>
          </w:p>
        </w:tc>
        <w:tc>
          <w:tcPr>
            <w:tcW w:w="1134" w:type="dxa"/>
            <w:shd w:val="clear" w:color="000000" w:fill="FFFFFF"/>
          </w:tcPr>
          <w:p>
            <w:pPr>
              <w:rPr>
                <w:rFonts w:ascii="方正仿宋_GBK" w:eastAsia="方正仿宋_GBK"/>
                <w:sz w:val="24"/>
                <w:szCs w:val="24"/>
              </w:rPr>
            </w:pPr>
          </w:p>
        </w:tc>
        <w:tc>
          <w:tcPr>
            <w:tcW w:w="992" w:type="dxa"/>
            <w:shd w:val="clear" w:color="000000" w:fill="FFFFFF"/>
            <w:noWrap/>
            <w:vAlign w:val="center"/>
          </w:tcPr>
          <w:p>
            <w:pPr>
              <w:rPr>
                <w:rFonts w:ascii="方正仿宋_GBK" w:eastAsia="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621" w:type="dxa"/>
            <w:gridSpan w:val="5"/>
            <w:shd w:val="clear" w:color="auto" w:fill="auto"/>
            <w:noWrap/>
            <w:vAlign w:val="center"/>
          </w:tcPr>
          <w:p>
            <w:pPr>
              <w:jc w:val="center"/>
              <w:rPr>
                <w:rFonts w:ascii="方正仿宋_GBK" w:eastAsia="方正仿宋_GBK"/>
                <w:sz w:val="24"/>
                <w:szCs w:val="24"/>
              </w:rPr>
            </w:pPr>
            <w:r>
              <w:rPr>
                <w:rFonts w:hint="eastAsia" w:ascii="方正仿宋_GBK" w:eastAsia="方正仿宋_GBK"/>
                <w:sz w:val="24"/>
                <w:szCs w:val="24"/>
              </w:rPr>
              <w:t>合计</w:t>
            </w:r>
          </w:p>
        </w:tc>
        <w:tc>
          <w:tcPr>
            <w:tcW w:w="992" w:type="dxa"/>
            <w:shd w:val="clear" w:color="000000" w:fill="FFFFFF"/>
            <w:noWrap/>
            <w:vAlign w:val="center"/>
          </w:tcPr>
          <w:p>
            <w:pPr>
              <w:rPr>
                <w:rFonts w:ascii="方正仿宋_GBK" w:eastAsia="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8613" w:type="dxa"/>
            <w:gridSpan w:val="6"/>
            <w:shd w:val="clear" w:color="auto" w:fill="auto"/>
            <w:noWrap/>
            <w:vAlign w:val="center"/>
          </w:tcPr>
          <w:p>
            <w:pPr>
              <w:rPr>
                <w:rFonts w:ascii="方正仿宋_GBK" w:eastAsia="方正仿宋_GBK"/>
                <w:sz w:val="24"/>
                <w:szCs w:val="24"/>
              </w:rPr>
            </w:pPr>
            <w:r>
              <w:rPr>
                <w:rFonts w:hint="eastAsia" w:ascii="方正仿宋_GBK" w:eastAsia="方正仿宋_GBK"/>
                <w:sz w:val="24"/>
                <w:szCs w:val="24"/>
              </w:rPr>
              <w:t>表格可自行扩展</w:t>
            </w:r>
          </w:p>
        </w:tc>
      </w:tr>
    </w:tbl>
    <w:p>
      <w:pPr>
        <w:pStyle w:val="48"/>
        <w:numPr>
          <w:ilvl w:val="0"/>
          <w:numId w:val="1"/>
        </w:numPr>
        <w:spacing w:line="440" w:lineRule="exact"/>
        <w:ind w:firstLineChars="0"/>
        <w:rPr>
          <w:rFonts w:ascii="方正仿宋_GBK" w:hAnsi="方正仿宋_GBK" w:eastAsia="方正仿宋_GBK" w:cs="方正仿宋_GBK"/>
          <w:sz w:val="28"/>
          <w:szCs w:val="28"/>
        </w:rPr>
      </w:pPr>
      <w:r>
        <w:rPr>
          <w:rFonts w:hint="eastAsia" w:ascii="方正仿宋_GBK" w:hAnsi="方正仿宋_GBK" w:eastAsia="方正仿宋_GBK" w:cs="方正仿宋_GBK"/>
          <w:b/>
          <w:bCs/>
          <w:sz w:val="28"/>
          <w:szCs w:val="28"/>
        </w:rPr>
        <w:t>供应商资料</w:t>
      </w:r>
    </w:p>
    <w:p>
      <w:pPr>
        <w:pStyle w:val="48"/>
        <w:spacing w:line="440" w:lineRule="exact"/>
        <w:ind w:firstLine="560"/>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供应商名称、公司地址、联系人、联系电话、具备提供该服务的技术能力，经营范围，并提供营业执照复印件。</w:t>
      </w:r>
      <w:r>
        <w:rPr>
          <w:rFonts w:ascii="方正仿宋_GBK" w:hAnsi="方正仿宋_GBK" w:eastAsia="方正仿宋_GBK" w:cs="方正仿宋_GBK"/>
          <w:bCs/>
          <w:sz w:val="28"/>
          <w:szCs w:val="28"/>
        </w:rPr>
        <w:t>……</w:t>
      </w:r>
    </w:p>
    <w:p>
      <w:pPr>
        <w:pStyle w:val="48"/>
        <w:numPr>
          <w:ilvl w:val="0"/>
          <w:numId w:val="1"/>
        </w:numPr>
        <w:spacing w:line="440" w:lineRule="exact"/>
        <w:ind w:firstLineChars="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系统功能参数</w:t>
      </w:r>
    </w:p>
    <w:p>
      <w:pPr>
        <w:pStyle w:val="48"/>
        <w:spacing w:line="440" w:lineRule="exact"/>
        <w:ind w:firstLine="560"/>
        <w:rPr>
          <w:rFonts w:ascii="方正仿宋_GBK" w:hAnsi="方正仿宋_GBK" w:eastAsia="方正仿宋_GBK" w:cs="方正仿宋_GBK"/>
          <w:bCs/>
          <w:sz w:val="28"/>
          <w:szCs w:val="28"/>
        </w:rPr>
      </w:pPr>
      <w:r>
        <w:rPr>
          <w:rFonts w:ascii="方正仿宋_GBK" w:hAnsi="方正仿宋_GBK" w:eastAsia="方正仿宋_GBK" w:cs="方正仿宋_GBK"/>
          <w:bCs/>
          <w:sz w:val="28"/>
          <w:szCs w:val="28"/>
        </w:rPr>
        <w:t>……</w:t>
      </w:r>
    </w:p>
    <w:p>
      <w:pPr>
        <w:pStyle w:val="48"/>
        <w:numPr>
          <w:ilvl w:val="0"/>
          <w:numId w:val="1"/>
        </w:numPr>
        <w:spacing w:line="440" w:lineRule="exact"/>
        <w:ind w:firstLineChars="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案例信息</w:t>
      </w:r>
    </w:p>
    <w:p>
      <w:pPr>
        <w:pStyle w:val="48"/>
        <w:spacing w:line="440" w:lineRule="exact"/>
        <w:ind w:firstLine="562"/>
        <w:rPr>
          <w:rFonts w:ascii="方正仿宋_GBK" w:hAnsi="方正仿宋_GBK" w:eastAsia="方正仿宋_GBK" w:cs="方正仿宋_GBK"/>
          <w:bCs/>
          <w:sz w:val="28"/>
          <w:szCs w:val="28"/>
        </w:rPr>
      </w:pPr>
      <w:r>
        <w:rPr>
          <w:rFonts w:hint="eastAsia" w:ascii="方正仿宋_GBK" w:hAnsi="方正仿宋_GBK" w:eastAsia="方正仿宋_GBK" w:cs="方正仿宋_GBK"/>
          <w:b/>
          <w:bCs/>
          <w:sz w:val="28"/>
          <w:szCs w:val="28"/>
        </w:rPr>
        <w:t>提供所报系统案例（必须是类似项目的案例），且提供实际案例联系人姓名及电话</w:t>
      </w:r>
      <w:r>
        <w:rPr>
          <w:rFonts w:hint="eastAsia" w:ascii="方正仿宋_GBK" w:hAnsi="方正仿宋_GBK" w:eastAsia="方正仿宋_GBK" w:cs="方正仿宋_GBK"/>
          <w:bCs/>
          <w:sz w:val="28"/>
          <w:szCs w:val="28"/>
        </w:rPr>
        <w:t>。</w:t>
      </w:r>
      <w:r>
        <w:rPr>
          <w:rFonts w:ascii="方正仿宋_GBK" w:hAnsi="方正仿宋_GBK" w:eastAsia="方正仿宋_GBK" w:cs="方正仿宋_GBK"/>
          <w:bCs/>
          <w:sz w:val="28"/>
          <w:szCs w:val="28"/>
        </w:rPr>
        <w:t>……</w:t>
      </w:r>
    </w:p>
    <w:p>
      <w:pPr>
        <w:pStyle w:val="13"/>
        <w:spacing w:line="440" w:lineRule="exact"/>
        <w:rPr>
          <w:rFonts w:ascii="方正仿宋_GBK" w:hAnsi="宋体" w:eastAsia="方正仿宋_GBK" w:cs="宋体"/>
          <w:color w:val="000000"/>
          <w:kern w:val="0"/>
        </w:rPr>
      </w:pPr>
      <w:r>
        <w:rPr>
          <w:rFonts w:hint="eastAsia" w:ascii="方正仿宋_GBK" w:eastAsia="方正仿宋_GBK"/>
          <w:b/>
          <w:bCs/>
        </w:rPr>
        <w:t xml:space="preserve">                                             </w:t>
      </w:r>
      <w:r>
        <w:rPr>
          <w:rFonts w:hint="eastAsia" w:ascii="方正仿宋_GBK" w:hAnsi="宋体" w:eastAsia="方正仿宋_GBK" w:cs="宋体"/>
          <w:color w:val="000000"/>
          <w:kern w:val="0"/>
        </w:rPr>
        <w:t>推荐单位：</w:t>
      </w:r>
    </w:p>
    <w:p>
      <w:pPr>
        <w:pStyle w:val="13"/>
        <w:spacing w:line="440" w:lineRule="exact"/>
        <w:rPr>
          <w:rFonts w:ascii="方正仿宋_GBK" w:hAnsi="宋体" w:eastAsia="方正仿宋_GBK" w:cs="宋体"/>
          <w:color w:val="000000"/>
          <w:kern w:val="0"/>
        </w:rPr>
      </w:pPr>
      <w:r>
        <w:rPr>
          <w:rFonts w:hint="eastAsia" w:ascii="方正仿宋_GBK" w:hAnsi="宋体" w:eastAsia="方正仿宋_GBK" w:cs="宋体"/>
          <w:color w:val="000000"/>
          <w:kern w:val="0"/>
        </w:rPr>
        <w:t xml:space="preserve">                                              联 系 人：</w:t>
      </w:r>
    </w:p>
    <w:p>
      <w:pPr>
        <w:pStyle w:val="13"/>
        <w:spacing w:line="440" w:lineRule="exact"/>
        <w:rPr>
          <w:rFonts w:ascii="方正仿宋_GBK" w:hAnsi="宋体" w:eastAsia="方正仿宋_GBK" w:cs="宋体"/>
          <w:color w:val="000000"/>
          <w:kern w:val="0"/>
        </w:rPr>
      </w:pPr>
      <w:r>
        <w:rPr>
          <w:rFonts w:hint="eastAsia" w:ascii="方正仿宋_GBK" w:hAnsi="宋体" w:eastAsia="方正仿宋_GBK" w:cs="宋体"/>
          <w:color w:val="000000"/>
          <w:kern w:val="0"/>
        </w:rPr>
        <w:t xml:space="preserve">                                              联系方式：</w:t>
      </w:r>
    </w:p>
    <w:p>
      <w:pPr>
        <w:pStyle w:val="13"/>
        <w:spacing w:line="440" w:lineRule="exact"/>
        <w:rPr>
          <w:rFonts w:ascii="方正仿宋_GBK" w:hAnsi="宋体" w:eastAsia="方正仿宋_GBK" w:cs="宋体"/>
          <w:color w:val="000000"/>
          <w:kern w:val="0"/>
        </w:rPr>
      </w:pPr>
      <w:r>
        <w:rPr>
          <w:rFonts w:hint="eastAsia" w:ascii="方正仿宋_GBK" w:hAnsi="宋体" w:eastAsia="方正仿宋_GBK" w:cs="宋体"/>
          <w:color w:val="000000"/>
          <w:kern w:val="0"/>
        </w:rPr>
        <w:t xml:space="preserve">                                              日    期：</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Arial Unicode MS">
    <w:altName w:val="Times New Roman"/>
    <w:panose1 w:val="020B0604020202020204"/>
    <w:charset w:val="86"/>
    <w:family w:val="swiss"/>
    <w:pitch w:val="default"/>
    <w:sig w:usb0="00000000" w:usb1="00000000" w:usb2="0000003F" w:usb3="00000000" w:csb0="603F01FF" w:csb1="FFFF0000"/>
  </w:font>
  <w:font w:name="华文仿宋">
    <w:altName w:val="汉仪仿宋简"/>
    <w:panose1 w:val="02010600040101010101"/>
    <w:charset w:val="86"/>
    <w:family w:val="auto"/>
    <w:pitch w:val="default"/>
    <w:sig w:usb0="00000000" w:usb1="00000000" w:usb2="00000000" w:usb3="00000000" w:csb0="0004009F" w:csb1="DFD70000"/>
  </w:font>
  <w:font w:name="汉仪仿宋简">
    <w:panose1 w:val="02010600000101010101"/>
    <w:charset w:val="86"/>
    <w:family w:val="auto"/>
    <w:pitch w:val="default"/>
    <w:sig w:usb0="00000001" w:usb1="080E0800" w:usb2="00000002"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Noto Sans Symbols2">
    <w:panose1 w:val="020B0502040504020204"/>
    <w:charset w:val="00"/>
    <w:family w:val="auto"/>
    <w:pitch w:val="default"/>
    <w:sig w:usb0="80000003" w:usb1="0200E3E4" w:usb2="00040020" w:usb3="0580A048"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8"/>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0316CA"/>
    <w:multiLevelType w:val="multilevel"/>
    <w:tmpl w:val="460316CA"/>
    <w:lvl w:ilvl="0" w:tentative="0">
      <w:start w:val="1"/>
      <w:numFmt w:val="chineseCountingThousand"/>
      <w:lvlText w:val="%1、"/>
      <w:lvlJc w:val="left"/>
      <w:pPr>
        <w:ind w:left="982" w:hanging="420"/>
      </w:p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zMTBmNGI2N2I3ODNmMTMyNjkzYmI0YjZjN2M2ZmUifQ=="/>
  </w:docVars>
  <w:rsids>
    <w:rsidRoot w:val="00CC5341"/>
    <w:rsid w:val="00003E04"/>
    <w:rsid w:val="000076BA"/>
    <w:rsid w:val="000334A6"/>
    <w:rsid w:val="000561BF"/>
    <w:rsid w:val="00060044"/>
    <w:rsid w:val="00061280"/>
    <w:rsid w:val="000774D4"/>
    <w:rsid w:val="000A42D4"/>
    <w:rsid w:val="000B3FF9"/>
    <w:rsid w:val="000B54D0"/>
    <w:rsid w:val="000B7856"/>
    <w:rsid w:val="000C09B1"/>
    <w:rsid w:val="000C2F7B"/>
    <w:rsid w:val="000C5310"/>
    <w:rsid w:val="000E0CE3"/>
    <w:rsid w:val="000E3059"/>
    <w:rsid w:val="000F1739"/>
    <w:rsid w:val="000F3112"/>
    <w:rsid w:val="000F7A83"/>
    <w:rsid w:val="001143C8"/>
    <w:rsid w:val="00116EA6"/>
    <w:rsid w:val="00135512"/>
    <w:rsid w:val="00135AF5"/>
    <w:rsid w:val="0013770B"/>
    <w:rsid w:val="00152223"/>
    <w:rsid w:val="00192C0F"/>
    <w:rsid w:val="001A17A2"/>
    <w:rsid w:val="001A7DA5"/>
    <w:rsid w:val="001B584E"/>
    <w:rsid w:val="001B74C2"/>
    <w:rsid w:val="001C7E30"/>
    <w:rsid w:val="001D2C75"/>
    <w:rsid w:val="00211154"/>
    <w:rsid w:val="002251C2"/>
    <w:rsid w:val="00225FCB"/>
    <w:rsid w:val="00227006"/>
    <w:rsid w:val="00243289"/>
    <w:rsid w:val="002524AB"/>
    <w:rsid w:val="00254C56"/>
    <w:rsid w:val="0026098B"/>
    <w:rsid w:val="00283335"/>
    <w:rsid w:val="00294DC9"/>
    <w:rsid w:val="002951D8"/>
    <w:rsid w:val="002C5497"/>
    <w:rsid w:val="002E1ADC"/>
    <w:rsid w:val="002F390E"/>
    <w:rsid w:val="00310722"/>
    <w:rsid w:val="003119B1"/>
    <w:rsid w:val="0031538B"/>
    <w:rsid w:val="00325352"/>
    <w:rsid w:val="00343607"/>
    <w:rsid w:val="00352533"/>
    <w:rsid w:val="003545FE"/>
    <w:rsid w:val="00364021"/>
    <w:rsid w:val="00366804"/>
    <w:rsid w:val="00370DB0"/>
    <w:rsid w:val="00380EB4"/>
    <w:rsid w:val="00391085"/>
    <w:rsid w:val="00394C71"/>
    <w:rsid w:val="003A1F57"/>
    <w:rsid w:val="003A361C"/>
    <w:rsid w:val="003B05C0"/>
    <w:rsid w:val="003C497F"/>
    <w:rsid w:val="003E1656"/>
    <w:rsid w:val="003E1AF3"/>
    <w:rsid w:val="003F4D8E"/>
    <w:rsid w:val="004033D0"/>
    <w:rsid w:val="00412B64"/>
    <w:rsid w:val="00426604"/>
    <w:rsid w:val="00427A0C"/>
    <w:rsid w:val="00430948"/>
    <w:rsid w:val="0043471A"/>
    <w:rsid w:val="00444757"/>
    <w:rsid w:val="0045318C"/>
    <w:rsid w:val="00457DD5"/>
    <w:rsid w:val="00460D06"/>
    <w:rsid w:val="00462EBC"/>
    <w:rsid w:val="00463E53"/>
    <w:rsid w:val="00465359"/>
    <w:rsid w:val="004711A0"/>
    <w:rsid w:val="00474092"/>
    <w:rsid w:val="00474E54"/>
    <w:rsid w:val="00487914"/>
    <w:rsid w:val="004A1B36"/>
    <w:rsid w:val="004B39CB"/>
    <w:rsid w:val="004B78BD"/>
    <w:rsid w:val="004D625F"/>
    <w:rsid w:val="004F168F"/>
    <w:rsid w:val="00506E4D"/>
    <w:rsid w:val="00520FB2"/>
    <w:rsid w:val="0053202D"/>
    <w:rsid w:val="005330F3"/>
    <w:rsid w:val="00553ED4"/>
    <w:rsid w:val="005571D1"/>
    <w:rsid w:val="0057239A"/>
    <w:rsid w:val="00575915"/>
    <w:rsid w:val="00594DEF"/>
    <w:rsid w:val="005B4C49"/>
    <w:rsid w:val="005B64F3"/>
    <w:rsid w:val="005B7F19"/>
    <w:rsid w:val="005F4961"/>
    <w:rsid w:val="00601F5E"/>
    <w:rsid w:val="00611E09"/>
    <w:rsid w:val="00613A58"/>
    <w:rsid w:val="0062477A"/>
    <w:rsid w:val="00631AD1"/>
    <w:rsid w:val="00652418"/>
    <w:rsid w:val="0065320E"/>
    <w:rsid w:val="0065345C"/>
    <w:rsid w:val="0065433E"/>
    <w:rsid w:val="00662DAB"/>
    <w:rsid w:val="0067445B"/>
    <w:rsid w:val="0068095D"/>
    <w:rsid w:val="006C6EB7"/>
    <w:rsid w:val="006D2DFE"/>
    <w:rsid w:val="006E186A"/>
    <w:rsid w:val="006F180B"/>
    <w:rsid w:val="007205BA"/>
    <w:rsid w:val="00725A3C"/>
    <w:rsid w:val="00727038"/>
    <w:rsid w:val="0074629F"/>
    <w:rsid w:val="0075091E"/>
    <w:rsid w:val="0075193B"/>
    <w:rsid w:val="00770C9C"/>
    <w:rsid w:val="007861F5"/>
    <w:rsid w:val="007932A3"/>
    <w:rsid w:val="007A1BC6"/>
    <w:rsid w:val="007B5ABD"/>
    <w:rsid w:val="007C1B53"/>
    <w:rsid w:val="007D1F1C"/>
    <w:rsid w:val="007D2258"/>
    <w:rsid w:val="007D65D9"/>
    <w:rsid w:val="007E4E62"/>
    <w:rsid w:val="008012A1"/>
    <w:rsid w:val="00804C5F"/>
    <w:rsid w:val="0082378E"/>
    <w:rsid w:val="00830755"/>
    <w:rsid w:val="00832610"/>
    <w:rsid w:val="00833975"/>
    <w:rsid w:val="00851104"/>
    <w:rsid w:val="008840AC"/>
    <w:rsid w:val="00895723"/>
    <w:rsid w:val="008A5D1A"/>
    <w:rsid w:val="008C38C8"/>
    <w:rsid w:val="008D6402"/>
    <w:rsid w:val="008E004C"/>
    <w:rsid w:val="008E5FEC"/>
    <w:rsid w:val="00900C3D"/>
    <w:rsid w:val="009034D3"/>
    <w:rsid w:val="00911383"/>
    <w:rsid w:val="00914E1E"/>
    <w:rsid w:val="00924386"/>
    <w:rsid w:val="00950094"/>
    <w:rsid w:val="009540B2"/>
    <w:rsid w:val="009569EC"/>
    <w:rsid w:val="00957EE1"/>
    <w:rsid w:val="00967B63"/>
    <w:rsid w:val="00967C4D"/>
    <w:rsid w:val="009804E6"/>
    <w:rsid w:val="009A243B"/>
    <w:rsid w:val="009D33D6"/>
    <w:rsid w:val="009D34E6"/>
    <w:rsid w:val="009F1531"/>
    <w:rsid w:val="00A053C1"/>
    <w:rsid w:val="00A10222"/>
    <w:rsid w:val="00A15F64"/>
    <w:rsid w:val="00A25EEC"/>
    <w:rsid w:val="00A550F7"/>
    <w:rsid w:val="00A570C1"/>
    <w:rsid w:val="00A61E41"/>
    <w:rsid w:val="00A70745"/>
    <w:rsid w:val="00A742A4"/>
    <w:rsid w:val="00A7440E"/>
    <w:rsid w:val="00A773FE"/>
    <w:rsid w:val="00A821D9"/>
    <w:rsid w:val="00A83A1B"/>
    <w:rsid w:val="00A8521F"/>
    <w:rsid w:val="00A9583D"/>
    <w:rsid w:val="00AB3222"/>
    <w:rsid w:val="00AC7252"/>
    <w:rsid w:val="00AD05A4"/>
    <w:rsid w:val="00AE089C"/>
    <w:rsid w:val="00AE20FF"/>
    <w:rsid w:val="00B2107E"/>
    <w:rsid w:val="00B21E37"/>
    <w:rsid w:val="00B24376"/>
    <w:rsid w:val="00B3753D"/>
    <w:rsid w:val="00B46FD6"/>
    <w:rsid w:val="00B663CF"/>
    <w:rsid w:val="00B80935"/>
    <w:rsid w:val="00B80A84"/>
    <w:rsid w:val="00B819E3"/>
    <w:rsid w:val="00BD1793"/>
    <w:rsid w:val="00C01335"/>
    <w:rsid w:val="00C07438"/>
    <w:rsid w:val="00C12282"/>
    <w:rsid w:val="00C316A4"/>
    <w:rsid w:val="00C4193F"/>
    <w:rsid w:val="00C4380F"/>
    <w:rsid w:val="00C50820"/>
    <w:rsid w:val="00C511A3"/>
    <w:rsid w:val="00C55357"/>
    <w:rsid w:val="00C66318"/>
    <w:rsid w:val="00C8547B"/>
    <w:rsid w:val="00C876E5"/>
    <w:rsid w:val="00C90AF7"/>
    <w:rsid w:val="00C93857"/>
    <w:rsid w:val="00C9457A"/>
    <w:rsid w:val="00CA7E03"/>
    <w:rsid w:val="00CB3DE0"/>
    <w:rsid w:val="00CC5341"/>
    <w:rsid w:val="00CE157C"/>
    <w:rsid w:val="00CE3191"/>
    <w:rsid w:val="00D004DC"/>
    <w:rsid w:val="00D122D0"/>
    <w:rsid w:val="00D1341C"/>
    <w:rsid w:val="00D20E90"/>
    <w:rsid w:val="00D67294"/>
    <w:rsid w:val="00D70153"/>
    <w:rsid w:val="00D727B3"/>
    <w:rsid w:val="00D77BBD"/>
    <w:rsid w:val="00D8260A"/>
    <w:rsid w:val="00D84E34"/>
    <w:rsid w:val="00DA2D9E"/>
    <w:rsid w:val="00DA30D3"/>
    <w:rsid w:val="00DA339F"/>
    <w:rsid w:val="00DC3496"/>
    <w:rsid w:val="00DD04A9"/>
    <w:rsid w:val="00DE4D25"/>
    <w:rsid w:val="00E01ED8"/>
    <w:rsid w:val="00E03EFF"/>
    <w:rsid w:val="00E044E6"/>
    <w:rsid w:val="00E05CCC"/>
    <w:rsid w:val="00E138C6"/>
    <w:rsid w:val="00E2272B"/>
    <w:rsid w:val="00E34C0A"/>
    <w:rsid w:val="00E50C8C"/>
    <w:rsid w:val="00E86A0E"/>
    <w:rsid w:val="00EA2E15"/>
    <w:rsid w:val="00EB247D"/>
    <w:rsid w:val="00EB43BE"/>
    <w:rsid w:val="00EC0AF9"/>
    <w:rsid w:val="00ED0692"/>
    <w:rsid w:val="00ED2049"/>
    <w:rsid w:val="00EE1F5D"/>
    <w:rsid w:val="00EF5968"/>
    <w:rsid w:val="00F23C39"/>
    <w:rsid w:val="00F27B83"/>
    <w:rsid w:val="00F30E46"/>
    <w:rsid w:val="00F505F8"/>
    <w:rsid w:val="00F704E2"/>
    <w:rsid w:val="00F772D9"/>
    <w:rsid w:val="00F85FB7"/>
    <w:rsid w:val="00F875D7"/>
    <w:rsid w:val="00F97F47"/>
    <w:rsid w:val="00FB5B6F"/>
    <w:rsid w:val="00FC6B39"/>
    <w:rsid w:val="00FC78BF"/>
    <w:rsid w:val="00FD0D9A"/>
    <w:rsid w:val="03EC7FCC"/>
    <w:rsid w:val="07462C5E"/>
    <w:rsid w:val="09376339"/>
    <w:rsid w:val="0B013844"/>
    <w:rsid w:val="0B9D61FB"/>
    <w:rsid w:val="0ED14BFA"/>
    <w:rsid w:val="15F110CB"/>
    <w:rsid w:val="1A9F48C4"/>
    <w:rsid w:val="1C70786F"/>
    <w:rsid w:val="1DBF0013"/>
    <w:rsid w:val="1DEB365A"/>
    <w:rsid w:val="1EC90D65"/>
    <w:rsid w:val="28596C8E"/>
    <w:rsid w:val="29543F45"/>
    <w:rsid w:val="2E83420B"/>
    <w:rsid w:val="334825E0"/>
    <w:rsid w:val="33687E82"/>
    <w:rsid w:val="36165188"/>
    <w:rsid w:val="36F37C80"/>
    <w:rsid w:val="375FB950"/>
    <w:rsid w:val="3A1B07A0"/>
    <w:rsid w:val="3A4F7797"/>
    <w:rsid w:val="3B3079A7"/>
    <w:rsid w:val="40082C37"/>
    <w:rsid w:val="45165E0E"/>
    <w:rsid w:val="4A3E237C"/>
    <w:rsid w:val="4E461558"/>
    <w:rsid w:val="56E64D0B"/>
    <w:rsid w:val="590255F7"/>
    <w:rsid w:val="5E47433A"/>
    <w:rsid w:val="5E640788"/>
    <w:rsid w:val="5FBD8CE1"/>
    <w:rsid w:val="5FFF01F4"/>
    <w:rsid w:val="623559A1"/>
    <w:rsid w:val="69D872B5"/>
    <w:rsid w:val="6FDBF9FF"/>
    <w:rsid w:val="70327E46"/>
    <w:rsid w:val="73082C93"/>
    <w:rsid w:val="7B4F425E"/>
    <w:rsid w:val="7B594C70"/>
    <w:rsid w:val="7C073890"/>
    <w:rsid w:val="7C86EDF9"/>
    <w:rsid w:val="7D37902E"/>
    <w:rsid w:val="7DD7EA0A"/>
    <w:rsid w:val="7F4E5BEA"/>
    <w:rsid w:val="7F6270B3"/>
    <w:rsid w:val="7FFFEA84"/>
    <w:rsid w:val="9F4FC813"/>
    <w:rsid w:val="9FBDB5C9"/>
    <w:rsid w:val="BFFF64AE"/>
    <w:rsid w:val="D8BFE261"/>
    <w:rsid w:val="DBDF089C"/>
    <w:rsid w:val="FCBB5764"/>
    <w:rsid w:val="FCF7120B"/>
    <w:rsid w:val="FCFEA1E2"/>
    <w:rsid w:val="FFAF5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34"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next w:val="1"/>
    <w:link w:val="27"/>
    <w:unhideWhenUsed/>
    <w:qFormat/>
    <w:uiPriority w:val="99"/>
    <w:pPr>
      <w:spacing w:after="120"/>
      <w:ind w:left="420" w:leftChars="200"/>
    </w:pPr>
  </w:style>
  <w:style w:type="paragraph" w:styleId="6">
    <w:name w:val="Date"/>
    <w:basedOn w:val="1"/>
    <w:next w:val="1"/>
    <w:link w:val="23"/>
    <w:semiHidden/>
    <w:unhideWhenUsed/>
    <w:qFormat/>
    <w:uiPriority w:val="99"/>
    <w:pPr>
      <w:ind w:left="100" w:leftChars="2500"/>
    </w:pPr>
  </w:style>
  <w:style w:type="paragraph" w:styleId="7">
    <w:name w:val="Balloon Text"/>
    <w:basedOn w:val="1"/>
    <w:link w:val="24"/>
    <w:semiHidden/>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tabs>
        <w:tab w:val="left" w:pos="1260"/>
        <w:tab w:val="left" w:pos="1685"/>
        <w:tab w:val="right" w:leader="dot" w:pos="8400"/>
      </w:tabs>
      <w:spacing w:line="320" w:lineRule="exact"/>
      <w:ind w:firstLine="280" w:firstLineChars="100"/>
    </w:pPr>
    <w:rPr>
      <w:rFonts w:ascii="Times New Roman" w:hAnsi="Times New Roman" w:eastAsia="宋体" w:cs="Times New Roman"/>
      <w:sz w:val="28"/>
      <w:szCs w:val="20"/>
    </w:rPr>
  </w:style>
  <w:style w:type="paragraph" w:styleId="11">
    <w:name w:val="List"/>
    <w:basedOn w:val="1"/>
    <w:next w:val="12"/>
    <w:link w:val="51"/>
    <w:qFormat/>
    <w:uiPriority w:val="34"/>
    <w:pPr>
      <w:autoSpaceDE w:val="0"/>
      <w:autoSpaceDN w:val="0"/>
      <w:jc w:val="left"/>
    </w:pPr>
    <w:rPr>
      <w:rFonts w:ascii="Arial Unicode MS" w:hAnsi="Arial Unicode MS" w:eastAsia="Arial Unicode MS" w:cs="Arial Unicode MS"/>
      <w:kern w:val="0"/>
      <w:sz w:val="22"/>
      <w:lang w:val="zh-CN" w:bidi="zh-CN"/>
    </w:rPr>
  </w:style>
  <w:style w:type="paragraph" w:styleId="12">
    <w:name w:val="List Paragraph"/>
    <w:basedOn w:val="1"/>
    <w:qFormat/>
    <w:uiPriority w:val="34"/>
    <w:pPr>
      <w:ind w:firstLine="420" w:firstLineChars="200"/>
    </w:pPr>
  </w:style>
  <w:style w:type="paragraph" w:styleId="13">
    <w:name w:val="Body Text 2"/>
    <w:basedOn w:val="1"/>
    <w:link w:val="47"/>
    <w:semiHidden/>
    <w:unhideWhenUsed/>
    <w:qFormat/>
    <w:uiPriority w:val="99"/>
    <w:pPr>
      <w:spacing w:after="120" w:line="480" w:lineRule="auto"/>
    </w:pPr>
  </w:style>
  <w:style w:type="paragraph" w:styleId="14">
    <w:name w:val="Body Text First Indent 2"/>
    <w:basedOn w:val="5"/>
    <w:next w:val="1"/>
    <w:link w:val="28"/>
    <w:unhideWhenUsed/>
    <w:qFormat/>
    <w:uiPriority w:val="99"/>
    <w:pPr>
      <w:ind w:left="0" w:leftChars="0"/>
    </w:pPr>
    <w:rPr>
      <w:rFonts w:ascii="宋体" w:hAnsi="宋体"/>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rPr>
  </w:style>
  <w:style w:type="character" w:styleId="19">
    <w:name w:val="FollowedHyperlink"/>
    <w:basedOn w:val="17"/>
    <w:semiHidden/>
    <w:unhideWhenUsed/>
    <w:qFormat/>
    <w:uiPriority w:val="99"/>
    <w:rPr>
      <w:color w:val="800080"/>
      <w:u w:val="single"/>
    </w:rPr>
  </w:style>
  <w:style w:type="character" w:styleId="20">
    <w:name w:val="Hyperlink"/>
    <w:basedOn w:val="17"/>
    <w:unhideWhenUsed/>
    <w:qFormat/>
    <w:uiPriority w:val="99"/>
    <w:rPr>
      <w:color w:val="0000FF"/>
      <w:u w:val="single"/>
    </w:rPr>
  </w:style>
  <w:style w:type="character" w:customStyle="1" w:styleId="21">
    <w:name w:val="页眉 Char"/>
    <w:basedOn w:val="17"/>
    <w:link w:val="9"/>
    <w:qFormat/>
    <w:uiPriority w:val="99"/>
    <w:rPr>
      <w:sz w:val="18"/>
      <w:szCs w:val="18"/>
    </w:rPr>
  </w:style>
  <w:style w:type="character" w:customStyle="1" w:styleId="22">
    <w:name w:val="页脚 Char"/>
    <w:basedOn w:val="17"/>
    <w:link w:val="8"/>
    <w:qFormat/>
    <w:uiPriority w:val="99"/>
    <w:rPr>
      <w:sz w:val="18"/>
      <w:szCs w:val="18"/>
    </w:rPr>
  </w:style>
  <w:style w:type="character" w:customStyle="1" w:styleId="23">
    <w:name w:val="日期 Char"/>
    <w:basedOn w:val="17"/>
    <w:link w:val="6"/>
    <w:semiHidden/>
    <w:qFormat/>
    <w:uiPriority w:val="99"/>
  </w:style>
  <w:style w:type="character" w:customStyle="1" w:styleId="24">
    <w:name w:val="批注框文本 Char"/>
    <w:basedOn w:val="17"/>
    <w:link w:val="7"/>
    <w:semiHidden/>
    <w:qFormat/>
    <w:uiPriority w:val="99"/>
    <w:rPr>
      <w:sz w:val="18"/>
      <w:szCs w:val="18"/>
    </w:rPr>
  </w:style>
  <w:style w:type="paragraph" w:styleId="25">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6">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27">
    <w:name w:val="正文文本缩进 Char"/>
    <w:basedOn w:val="17"/>
    <w:link w:val="5"/>
    <w:qFormat/>
    <w:uiPriority w:val="99"/>
    <w:rPr>
      <w:rFonts w:asciiTheme="minorHAnsi" w:hAnsiTheme="minorHAnsi" w:eastAsiaTheme="minorEastAsia" w:cstheme="minorBidi"/>
      <w:kern w:val="2"/>
      <w:sz w:val="21"/>
      <w:szCs w:val="22"/>
    </w:rPr>
  </w:style>
  <w:style w:type="character" w:customStyle="1" w:styleId="28">
    <w:name w:val="正文首行缩进 2 Char"/>
    <w:basedOn w:val="27"/>
    <w:link w:val="14"/>
    <w:qFormat/>
    <w:uiPriority w:val="99"/>
    <w:rPr>
      <w:rFonts w:ascii="宋体" w:hAnsi="宋体" w:eastAsiaTheme="minorEastAsia" w:cstheme="minorBidi"/>
      <w:kern w:val="2"/>
      <w:sz w:val="21"/>
      <w:szCs w:val="22"/>
    </w:rPr>
  </w:style>
  <w:style w:type="paragraph" w:customStyle="1" w:styleId="29">
    <w:name w:val="font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0">
    <w:name w:val="xl6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3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FF0000"/>
      <w:kern w:val="0"/>
      <w:sz w:val="20"/>
      <w:szCs w:val="20"/>
    </w:rPr>
  </w:style>
  <w:style w:type="paragraph" w:customStyle="1" w:styleId="3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仿宋" w:hAnsi="华文仿宋" w:eastAsia="华文仿宋" w:cs="宋体"/>
      <w:color w:val="000000"/>
      <w:kern w:val="0"/>
      <w:sz w:val="20"/>
      <w:szCs w:val="20"/>
    </w:rPr>
  </w:style>
  <w:style w:type="paragraph" w:customStyle="1" w:styleId="3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000000"/>
      <w:kern w:val="0"/>
      <w:sz w:val="20"/>
      <w:szCs w:val="20"/>
    </w:rPr>
  </w:style>
  <w:style w:type="paragraph" w:customStyle="1" w:styleId="3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000000"/>
      <w:kern w:val="0"/>
      <w:sz w:val="20"/>
      <w:szCs w:val="20"/>
    </w:rPr>
  </w:style>
  <w:style w:type="paragraph" w:customStyle="1" w:styleId="3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3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4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eastAsia="宋体" w:cs="宋体"/>
      <w:color w:val="0D0D0D"/>
      <w:kern w:val="0"/>
      <w:sz w:val="20"/>
      <w:szCs w:val="20"/>
    </w:rPr>
  </w:style>
  <w:style w:type="paragraph" w:customStyle="1" w:styleId="4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D0D0D"/>
      <w:kern w:val="0"/>
      <w:sz w:val="20"/>
      <w:szCs w:val="20"/>
    </w:rPr>
  </w:style>
  <w:style w:type="paragraph" w:customStyle="1" w:styleId="43">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D0D0D"/>
      <w:kern w:val="0"/>
      <w:sz w:val="20"/>
      <w:szCs w:val="20"/>
    </w:rPr>
  </w:style>
  <w:style w:type="paragraph" w:customStyle="1" w:styleId="4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4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4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character" w:customStyle="1" w:styleId="47">
    <w:name w:val="正文文本 2 Char"/>
    <w:basedOn w:val="17"/>
    <w:link w:val="13"/>
    <w:semiHidden/>
    <w:qFormat/>
    <w:uiPriority w:val="99"/>
    <w:rPr>
      <w:rFonts w:asciiTheme="minorHAnsi" w:hAnsiTheme="minorHAnsi" w:eastAsiaTheme="minorEastAsia" w:cstheme="minorBidi"/>
      <w:kern w:val="2"/>
      <w:sz w:val="21"/>
      <w:szCs w:val="22"/>
    </w:rPr>
  </w:style>
  <w:style w:type="paragraph" w:customStyle="1" w:styleId="48">
    <w:name w:val="列出段落1"/>
    <w:basedOn w:val="1"/>
    <w:qFormat/>
    <w:uiPriority w:val="34"/>
    <w:pPr>
      <w:ind w:firstLine="420" w:firstLineChars="200"/>
    </w:pPr>
    <w:rPr>
      <w:rFonts w:ascii="Calibri" w:hAnsi="Calibri" w:eastAsia="宋体" w:cs="Times New Roman"/>
      <w:szCs w:val="24"/>
    </w:rPr>
  </w:style>
  <w:style w:type="character" w:customStyle="1" w:styleId="49">
    <w:name w:val="标题 2 Char"/>
    <w:basedOn w:val="17"/>
    <w:link w:val="3"/>
    <w:semiHidden/>
    <w:qFormat/>
    <w:uiPriority w:val="9"/>
    <w:rPr>
      <w:rFonts w:asciiTheme="majorHAnsi" w:hAnsiTheme="majorHAnsi" w:eastAsiaTheme="majorEastAsia" w:cstheme="majorBidi"/>
      <w:b/>
      <w:bCs/>
      <w:kern w:val="2"/>
      <w:sz w:val="32"/>
      <w:szCs w:val="32"/>
    </w:rPr>
  </w:style>
  <w:style w:type="paragraph" w:customStyle="1" w:styleId="50">
    <w:name w:val="Table Paragraph"/>
    <w:basedOn w:val="1"/>
    <w:qFormat/>
    <w:uiPriority w:val="1"/>
    <w:pPr>
      <w:autoSpaceDE w:val="0"/>
      <w:autoSpaceDN w:val="0"/>
      <w:jc w:val="left"/>
    </w:pPr>
    <w:rPr>
      <w:rFonts w:ascii="Arial Unicode MS" w:hAnsi="Arial Unicode MS" w:eastAsia="Arial Unicode MS" w:cs="Arial Unicode MS"/>
      <w:kern w:val="0"/>
      <w:sz w:val="22"/>
      <w:lang w:val="zh-CN" w:bidi="zh-CN"/>
    </w:rPr>
  </w:style>
  <w:style w:type="character" w:customStyle="1" w:styleId="51">
    <w:name w:val="列表 Char"/>
    <w:link w:val="11"/>
    <w:qFormat/>
    <w:locked/>
    <w:uiPriority w:val="34"/>
    <w:rPr>
      <w:rFonts w:ascii="Arial Unicode MS" w:hAnsi="Arial Unicode MS" w:eastAsia="Arial Unicode MS" w:cs="Arial Unicode MS"/>
      <w:sz w:val="22"/>
      <w:szCs w:val="22"/>
      <w:lang w:val="zh-CN" w:bidi="zh-CN"/>
    </w:rPr>
  </w:style>
  <w:style w:type="paragraph" w:customStyle="1" w:styleId="52">
    <w:name w:val="null3"/>
    <w:hidden/>
    <w:qFormat/>
    <w:uiPriority w:val="0"/>
    <w:rPr>
      <w:rFonts w:hint="eastAsia" w:ascii="华文中宋" w:hAnsi="华文中宋" w:eastAsia="华文中宋"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6</Pages>
  <Words>502</Words>
  <Characters>567</Characters>
  <Lines>16</Lines>
  <Paragraphs>4</Paragraphs>
  <TotalTime>0</TotalTime>
  <ScaleCrop>false</ScaleCrop>
  <LinksUpToDate>false</LinksUpToDate>
  <CharactersWithSpaces>627</CharactersWithSpaces>
  <Application>WPS Office_11.8.2.12320_F1E327BC-269C-435d-A152-05C5408002CA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2023-03-30T19:22:00Z</dcterms:created>
  <dc:creator>lenovo</dc:creator>
  <cp:lastModifiedBy>zhang</cp:lastModifiedBy>
  <cp:lastPrinted>2023-11-18T17:25:00Z</cp:lastPrinted>
  <dcterms:modified xsi:type="dcterms:W3CDTF">2025-10-15T14:17:59Z</dcterms:modified>
  <cp:revision>226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2052-11.8.2.12320</vt:lpwstr>
  </property>
  <property fmtid="{D5CDD505-2E9C-101B-9397-08002B2CF9AE}" pid="3" name="ICV">
    <vt:lpwstr>DCD901F645D64EA99335537647EA00E6_13</vt:lpwstr>
  </property>
  <property fmtid="{D5CDD505-2E9C-101B-9397-08002B2CF9AE}" pid="4" name="KSOTemplateDocerSaveRecord">
    <vt:lpwstr>eyJoZGlkIjoiNjJkZjM0NTIzNDY5OTkyZGFiMTY5NmZjYmQ2ZDljNWUiLCJ1c2VySWQiOiIyOTI1MjgxOTAifQ==</vt:lpwstr>
  </property>
</Properties>
</file>