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重庆市垫江县中医院</w:t>
      </w:r>
    </w:p>
    <w:p>
      <w:pPr>
        <w:jc w:val="center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lang w:val="en-US" w:eastAsia="zh-CN"/>
        </w:rPr>
        <w:t>药学监护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lang w:eastAsia="zh-CN"/>
        </w:rPr>
        <w:t>系统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市场调查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各潜在</w:t>
      </w:r>
      <w:r>
        <w:rPr>
          <w:rFonts w:ascii="Times New Roman" w:hAnsi="Times New Roman" w:eastAsia="方正仿宋_GBK" w:cs="Times New Roman"/>
          <w:sz w:val="32"/>
          <w:szCs w:val="32"/>
        </w:rPr>
        <w:t>供应商：</w:t>
      </w:r>
    </w:p>
    <w:p>
      <w:pPr>
        <w:ind w:firstLine="54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我院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开展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药学监护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系统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市场调查</w:t>
      </w:r>
      <w:r>
        <w:rPr>
          <w:rFonts w:ascii="Times New Roman" w:hAnsi="Times New Roman" w:eastAsia="方正仿宋_GBK" w:cs="Times New Roman"/>
          <w:sz w:val="32"/>
          <w:szCs w:val="32"/>
        </w:rPr>
        <w:t>，欢迎具有合格资质的供应商前来参与。</w:t>
      </w:r>
    </w:p>
    <w:p>
      <w:pPr>
        <w:ind w:firstLine="640" w:firstLineChars="200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</w:rPr>
        <w:t>1.资料收集提交时间： 202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10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1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日——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10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月2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日</w:t>
      </w:r>
    </w:p>
    <w:p>
      <w:pPr>
        <w:ind w:firstLine="640" w:firstLineChars="200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</w:rPr>
        <w:t>2.请提供单位营业执照复印件、报价表（参照需求描述及附件加盖公章）。</w:t>
      </w:r>
    </w:p>
    <w:p>
      <w:pPr>
        <w:ind w:firstLine="640" w:firstLineChars="200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3.报送方式：在规定时限内填写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附</w:t>
      </w:r>
      <w:r>
        <w:rPr>
          <w:rFonts w:ascii="Times New Roman" w:hAnsi="Times New Roman" w:eastAsia="方正仿宋_GBK" w:cs="Times New Roman"/>
          <w:sz w:val="32"/>
          <w:szCs w:val="32"/>
        </w:rPr>
        <w:t>件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《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药学监护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系统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市场调查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》并按报送清单要求将产品相关材料打包上传至“行采家”平台（https://www.gec123.com）。上传文件名称为“报送单位名称”。</w:t>
      </w:r>
    </w:p>
    <w:p>
      <w:pPr>
        <w:ind w:firstLine="640" w:firstLineChars="200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4.联系电话：023-74573120</w:t>
      </w:r>
    </w:p>
    <w:p>
      <w:pPr>
        <w:ind w:firstLine="640" w:firstLineChars="200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5.附件《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药学监护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系统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市场调查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》需加盖公章扫描件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1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套，以及可编辑的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word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或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excel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文件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1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套，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2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套文件内容应保持一致。</w:t>
      </w:r>
    </w:p>
    <w:p>
      <w:pPr>
        <w:spacing w:line="560" w:lineRule="exact"/>
        <w:ind w:firstLine="56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特别提醒：本次市场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调查</w:t>
      </w:r>
      <w:r>
        <w:rPr>
          <w:rFonts w:ascii="Times New Roman" w:hAnsi="Times New Roman" w:eastAsia="方正仿宋_GBK" w:cs="Times New Roman"/>
          <w:sz w:val="28"/>
          <w:szCs w:val="28"/>
        </w:rPr>
        <w:t>不是正式采购活动，具体采购项目情况以最终发布的采购公告和采购文件为准。</w:t>
      </w:r>
    </w:p>
    <w:p>
      <w:pPr>
        <w:ind w:firstLine="54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  重庆市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垫江县</w:t>
      </w:r>
      <w:r>
        <w:rPr>
          <w:rFonts w:ascii="Times New Roman" w:hAnsi="Times New Roman" w:eastAsia="方正仿宋_GBK" w:cs="Times New Roman"/>
          <w:sz w:val="32"/>
          <w:szCs w:val="32"/>
        </w:rPr>
        <w:t>中医院</w:t>
      </w:r>
    </w:p>
    <w:p>
      <w:pPr>
        <w:ind w:firstLine="540"/>
        <w:jc w:val="left"/>
        <w:rPr>
          <w:rFonts w:ascii="方正小标宋_GBK" w:hAnsi="方正小标宋_GBK" w:eastAsia="方正小标宋_GBK" w:cs="方正小标宋_GBK"/>
          <w:b/>
          <w:bCs/>
          <w:sz w:val="36"/>
          <w:szCs w:val="36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                          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10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1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  <w:r>
        <w:rPr>
          <w:rFonts w:ascii="方正小标宋_GBK" w:hAnsi="方正小标宋_GBK" w:eastAsia="方正小标宋_GBK" w:cs="方正小标宋_GBK"/>
          <w:b/>
          <w:bCs/>
          <w:sz w:val="36"/>
          <w:szCs w:val="36"/>
        </w:rPr>
        <w:br w:type="page"/>
      </w:r>
    </w:p>
    <w:p>
      <w:pPr>
        <w:pStyle w:val="13"/>
        <w:rPr>
          <w:rFonts w:ascii="方正小标宋_GBK" w:hAnsi="方正小标宋_GBK" w:eastAsia="方正小标宋_GBK" w:cs="方正小标宋_GBK"/>
          <w:b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</w:rPr>
        <w:t>技术要求</w:t>
      </w:r>
    </w:p>
    <w:tbl>
      <w:tblPr>
        <w:tblStyle w:val="15"/>
        <w:tblW w:w="815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1134"/>
        <w:gridCol w:w="63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color w:val="auto"/>
                <w:kern w:val="0"/>
                <w:szCs w:val="21"/>
              </w:rPr>
              <w:t>序号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模块</w:t>
            </w:r>
            <w:r>
              <w:rPr>
                <w:rFonts w:hint="eastAsia" w:ascii="方正仿宋_GBK" w:hAnsi="宋体" w:eastAsia="方正仿宋_GBK" w:cs="宋体"/>
                <w:b/>
                <w:bCs/>
                <w:color w:val="auto"/>
                <w:kern w:val="0"/>
                <w:szCs w:val="21"/>
              </w:rPr>
              <w:t>名称</w:t>
            </w:r>
          </w:p>
        </w:tc>
        <w:tc>
          <w:tcPr>
            <w:tcW w:w="63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color w:val="auto"/>
                <w:kern w:val="0"/>
                <w:szCs w:val="21"/>
              </w:rPr>
              <w:t>技术参数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5" w:hRule="atLeast"/>
          <w:jc w:val="center"/>
        </w:trPr>
        <w:tc>
          <w:tcPr>
            <w:tcW w:w="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住院患者诊疗信息调阅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6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both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系统提供住院患者诊疗信息调阅平台，通过与HIS/平台进行对接，支持药师通过卡片与列表形式查看在院患者与出院患者，并可通过多种查询条件定位到患者；支持药师查看患者本次住院期间全部临床诊疗信息，包括医嘱信息、检验信息、检查信息、手术信息、生命体征、电子病历、诊疗记录等，辅助药师开展药学监护服务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医嘱信息</w:t>
            </w:r>
          </w:p>
        </w:tc>
        <w:tc>
          <w:tcPr>
            <w:tcW w:w="6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1） 支持查看患者本次住院期间的药嘱信息，并支持通过医嘱状态、药品名称、开嘱时间进行医嘱信息查询；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2） 支持药师对患者本次住院期间的医嘱进行审核，并支持查看住院医嘱审核记录与审核状态；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3） 支持将审核结果通过沟通工具推送（支持定时推送）给医生、医生可在医生端沟通工具对记录单进行查看、回复，实现药师-医生的在线沟通；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4） 支持自定义配置医嘱列表展示字段与字段排序；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5） 支持临床药师快速查看药品说明书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检验信息</w:t>
            </w:r>
          </w:p>
        </w:tc>
        <w:tc>
          <w:tcPr>
            <w:tcW w:w="6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1） 支持查看患者本次住院期间的检验报告，并支持通过项目名称、指标名称查询检验信息；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2） 若患者检验结果存在异常时，支持展示异常标识；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3） 支持查看检验指标趋势变化图；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4） 药师可根据患者实际情况，对检验指标进行关注，关注指标可在患者主页查看检验结果；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检查信息</w:t>
            </w:r>
          </w:p>
        </w:tc>
        <w:tc>
          <w:tcPr>
            <w:tcW w:w="6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1） 支持查看患者本次住院期间的检查报告，并支持通过项目名称进行查询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手术信息</w:t>
            </w:r>
          </w:p>
        </w:tc>
        <w:tc>
          <w:tcPr>
            <w:tcW w:w="6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1） 支持查看患者本次住院期间的手术信息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电子病历</w:t>
            </w:r>
          </w:p>
        </w:tc>
        <w:tc>
          <w:tcPr>
            <w:tcW w:w="6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  <w:t>1）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支持查看患者本次住院期间的病程记录信息，并支持通过病程记录名称进行查询；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生命体征</w:t>
            </w:r>
          </w:p>
        </w:tc>
        <w:tc>
          <w:tcPr>
            <w:tcW w:w="6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1） 支持根据患者体温、脉搏、心率、疼痛评分等信息生成患者生命体征趋势图，并支持查看患者血压、24小时出入量、尿量等生命体征测量结果；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诊疗记录</w:t>
            </w:r>
          </w:p>
        </w:tc>
        <w:tc>
          <w:tcPr>
            <w:tcW w:w="6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1） 支持查看患者历史诊疗记录，包括门诊、急诊、住院</w:t>
            </w:r>
          </w:p>
          <w:p>
            <w:pPr>
              <w:widowControl/>
              <w:jc w:val="both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2） 支持查看患者就诊详情信息，包括医嘱/处方、检验</w:t>
            </w:r>
          </w:p>
          <w:p>
            <w:pPr>
              <w:widowControl/>
              <w:ind w:left="420" w:leftChars="200" w:firstLine="0" w:firstLineChars="0"/>
              <w:jc w:val="both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手术、诊断等；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  <w:t>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监护患者筛选</w:t>
            </w:r>
          </w:p>
        </w:tc>
        <w:tc>
          <w:tcPr>
            <w:tcW w:w="6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1） 支持临床药师根据患者状态、警示类型、年龄、用药情况、住院天数、诊断、手术、切口类型、检验检查指标、生理指标等自定义设置筛选方案，自动筛选待监护患者；</w:t>
            </w:r>
          </w:p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2） 支持临床药师将待监护的患者一键纳入监护；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药学监护分级</w:t>
            </w:r>
          </w:p>
        </w:tc>
        <w:tc>
          <w:tcPr>
            <w:tcW w:w="6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1） 按照分级药学监护的要求，提供患者状态规则库，支持根据患者状态将患者自动划分为一级药学监护、二级药学监护和三级药学监护；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2） 支持临床药师根据患者状态、警示类型、患者标签等条件自定义设置患者监护分级标准；</w:t>
            </w:r>
          </w:p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3） 支持药师手动修改患者监护等级，并支持药师对监护患者进行人工标记，如“肝功能异常”、“肾功能异常”等，并支持按标签进行筛选，方便患者管理；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  <w:t>11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监护计划</w:t>
            </w:r>
          </w:p>
        </w:tc>
        <w:tc>
          <w:tcPr>
            <w:tcW w:w="6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1） 系统支持根据患者情况、监护等级等信息，每日自动生成患者入院评估、用药监护、药物重整、用药教育等监护计划；</w:t>
            </w:r>
          </w:p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2） 支持药师手动为患者添加监护计划，并支持设置任务执行时间，提醒药师为患者执行监护计划；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  <w:t>12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药学查房</w:t>
            </w:r>
          </w:p>
        </w:tc>
        <w:tc>
          <w:tcPr>
            <w:tcW w:w="6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1） 系统支持根据患者监护等级，自动为患者生成药学查房任务，提醒药师定期进行药学查房；并支持不同时期（入院、在院、即将出院）选择不同的查房类型；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2） 支持新增药学查房时自动带入患者今日监护计划，并支持查房过程中添加或删除监护计划；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3） 支持查房表单内容自动填充，如主诉与体征、辅助检查、用药方案变更等；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4） 支持快捷引用患者临床诊疗信息，包括检验信息、医嘱信息、手术信息、电子病历信息；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5） 支持快捷引用患者的药学服务信息，包括查房记录、评估记录、监护记录、宣教记录、药师反馈；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6） 支持快捷引用常用语，辅助药师快速完成编辑；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7） 支持查看历史查房记录，并支持通过病区、患者姓名、床位号、查房类型、查房时间查询查房记录。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8） 支持药师导出查房记录，并支持自定义选择导出查房记录字段信息；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9） 支持将已归档的查房记录通过沟通工具推送（工作站通知支持定时推送）给医生，医生可在医生端沟通工具对记录单进行查看、回复，实现药师-医生的在线沟通;</w:t>
            </w:r>
          </w:p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10）支持自定义设置查房常用语及查房记录表单，并根据国家规范提供标准化查房表单模板供药师使用；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  <w:t>13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用药监护</w:t>
            </w:r>
          </w:p>
        </w:tc>
        <w:tc>
          <w:tcPr>
            <w:tcW w:w="6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1） 支持根据患者监护等级，自动为患者生成用药监护计划，提醒药师进行用药监护；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2） 支持根据患者的诊断及用药信息匹配监护方案，对患者进行有效性及不良反应评估，并生成监护结果供药师查看；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3） 支持调用合理用药规则库，提供合理用药自动审查结果；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4） 支持根据诊断和监护药品查看关联的生命体征、检验检查信息及症状；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5） 提供诊断及药品不良反应相关症状信息，支持药师在查房过程中与患者确认，并支持根据患者症状表现自动进行有效性和不良反应评估；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6）支持查看用药监护时序图，支持查看指标趋势及检查报告信息；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7）支持根据总结报告自动生成监护日志，并支持用户编辑监护日志；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8）支持用户编辑监护日志时快捷引用患者临床诊疗信息，包括检验信息、医嘱信息、手术信息、电子病历信息；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9）支持用户编辑监护日志时快捷引用患者的药学服务信息，包括查房记录、评估记录、监护记录、宣教记录、药师反馈；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10）支持用户编辑监护日志时引用常用语信息；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11）支持用药监护记录导出;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12）支持药师查看历史监护记录，并支持通过病区、病案号、患者姓名、床位号、监护等级查询监护记录；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13）支持药师补录往日的患者用药监护记录；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14）支持药师手动添加监护方案/指标，包含诊断、生命体征、实验室指标；</w:t>
            </w:r>
          </w:p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15）支持将已归档的监护记录通过沟通工具推送（工作站通知支持定时推送）给医生，医生可在医生端沟通工具进入监护页面进行查看、回复，实现药师-医生的在线沟通。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  <w:t>14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用药教育</w:t>
            </w:r>
          </w:p>
        </w:tc>
        <w:tc>
          <w:tcPr>
            <w:tcW w:w="6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1）支持根据患者待出院状态，自动生成用药教育任务，提醒药师进行用药教育；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2）支持药师为患者进行用药宣教与疾病宣教，并支持快捷引用药品信息与诊断信息；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3）支持快捷引用用药教育模板，辅助药师快速完成编辑；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4）若药品未维护用药教育模板时，支持快捷引用用药教育规则相关指导信息；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5）支持药师查看历史用药教育记录，并支持通过病区、病案号、患者姓名、床位号、宣教状态、宣教时间查询用药教育记录；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6）支持将已归档的用药教育记录通过沟通工具推送（工作站通知支持定时推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送）给医生、医生可在医生端沟通工具对记录单进行查看、回复，实现药师-医生的在线沟通；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7） 支持自定义设置用药教育模板，同时支持将添加的用药教育记录存为模板；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8） 支持自定义设置用药教育导出模板，包括自定义表单样式与字段；</w:t>
            </w:r>
          </w:p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9） 支持用药教育记录导出,并支持在线打印；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  <w:t>15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入院评估</w:t>
            </w:r>
          </w:p>
        </w:tc>
        <w:tc>
          <w:tcPr>
            <w:tcW w:w="6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1） 支持根据患者新入院状态，自动生成入院评估任务，提醒药师进行入院评估；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2） 支持药师查看历史入院评估记录，并支持通过病区、患者姓名、床位号、病案号、完成状态、评估时间查询入院评估记录；3） 支持入院评估记录导出；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4） 支持将已归档的入院评估记录通过沟通工具推送（工作站通知支持定时推送）给医生，医生可在医生端沟通工具对记录单进行查看、回复，实现药师-医生的在线沟通；</w:t>
            </w:r>
          </w:p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5） 支持自定义设置入院评估表模板，并根据国家规范提供标准化入院评估表单模板；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  <w:t>16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药物重整</w:t>
            </w:r>
          </w:p>
        </w:tc>
        <w:tc>
          <w:tcPr>
            <w:tcW w:w="6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1） 支持根据患者新入院、转科或待出院状态，自动生成药物重整任务，提醒药师进行药物重整，并支持选择对应的药物重整模板；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2） 支持药师查看患者历史药物重整记录，并支持通过病区、患者姓名、床位号、病案号、完成状态、评估时间查询药物重整记录；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3） 支持药物重整记录导出；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4） 支持将已归档的药物重整记录通过沟通工具推送（工作站通知支持定时推送）给医生，医生可在医生端沟通工具对记录单进行查看、回复，实现药师-医生的在线沟通；</w:t>
            </w:r>
          </w:p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5） 支持自定义设置药物重整模板，并根据国家规范提供标准化药物重整表单模板；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  <w:t>17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专项评估</w:t>
            </w:r>
          </w:p>
        </w:tc>
        <w:tc>
          <w:tcPr>
            <w:tcW w:w="6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1） 支持药师为患者进行专项评估，并支持选择不同的专项评估表单；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2） 支持药师收藏常用的专项评估量表，并支持快速选择常用评估量表；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3） 系统提供多张标准化专项评估量表，支持根据评估内容自动生成评估结论；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4） 支持药师查看历史专项评估记录，并支持通过病区、患者姓名、床位号、病案号、完成状态、评估时间查询专项评估记录；5） 支持专项评估记录导出；</w:t>
            </w:r>
          </w:p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6） 支持将已归档的专项评估记录通过沟通工具推送（工作站通知支持定时推送）给医生，医生可在医生端沟通工具对记录单进行查看、回复，实现药师-医生的在线沟通；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  <w:t>18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药师反馈</w:t>
            </w:r>
          </w:p>
        </w:tc>
        <w:tc>
          <w:tcPr>
            <w:tcW w:w="6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1） 支持药师填写药师反馈单；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2） 支持快捷引用患者临床诊疗信息，包括检验信息、医嘱信息、手术信息、电子病历等；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3） 支持快捷引用药师反馈模板及常用语，辅助药师快速完成编辑；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4） 支持自定义设置药师反馈常用语；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5） 支持将已归档的反馈记录单通过沟通工具推送（工作站通知支持定时推送）给医生，医生可在医生端沟通工具对反馈记录单进行查看、回复，实现药师-医生的在线沟通；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6） 支持药师查看药师反馈记录，并支持通过病区、患者姓名、患者号、床位号、反馈类型、反馈时间查询药师反馈记录；</w:t>
            </w:r>
          </w:p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7） 支持查看与医生在线沟通内容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  <w:t>19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时序图</w:t>
            </w:r>
          </w:p>
        </w:tc>
        <w:tc>
          <w:tcPr>
            <w:tcW w:w="6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1） 支持查看患者本次住院期间用药时序图，并支持选择不同的时序图模板；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2） 时序图支持查看患者本次住院期间的药品、检验、手术、生理指标等；</w:t>
            </w:r>
          </w:p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3） 支持自定义设置时序图模板，并默认提供抗肿瘤、抗感染、COPD、抗凝时序图模板；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  <w:t>20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监护全流程</w:t>
            </w:r>
          </w:p>
        </w:tc>
        <w:tc>
          <w:tcPr>
            <w:tcW w:w="6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1） 支持通过时间轴的形式查看住院期间的监护内容，包括药学查房、用药监护、用药教育、入院评估、药物重整、专项评估、药师反馈；</w:t>
            </w:r>
          </w:p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2） 支持按天导出患者监护全流程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  <w:t>21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工作台</w:t>
            </w:r>
          </w:p>
        </w:tc>
        <w:tc>
          <w:tcPr>
            <w:tcW w:w="6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1） 系统为药师提供工作台，支持在工作台中查看患者概况、今日工作、工作量统计，方便临床药师实时了解监护患者动态与工作开展变化情况；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2） 支持查看新入院患者、监护患者、待监护患者统计信息，并支持快捷进入到患者视图页面；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3） 支持查看今日存在监护计划的患者信息，支持查看待执行的监护计划类型，并支持快速进入监护计划执行页面；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4） 支持查看今日工作量统计，并支持查看今日与昨日药学服务统计对比情况；</w:t>
            </w:r>
          </w:p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5） 支持查看符合筛选方案的待监护患者信息，并支持将患者一键纳入监护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  <w:t>22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电子药历</w:t>
            </w:r>
          </w:p>
        </w:tc>
        <w:tc>
          <w:tcPr>
            <w:tcW w:w="6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1） 支持药师填写电子药历，包括患者基本信息、病历信息、初始治疗药物、主要治疗药物、治疗日志及出院点评；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2） 支持快捷引用患者临床诊疗信息，包括检验信息、医嘱信息、手术信息、电子病历；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3） 支持快捷引用患者全部的药学服务信息，包括查房记录、评估记录、监护记录、宣教记录、药师反馈；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4） 支持快捷引用电子药历模板信息；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5） 支持新增治疗日志时，引用上一篇治疗日志内容；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6） 支持新增治疗日志时，引用当前日期已完成的药学查房记录内容；若药学查房记录模板与治疗日志模板不一致时，则自动带入药学查房模板；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7） 支持设置电子药历常用语模板；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8） 支持电子药历导出；</w:t>
            </w:r>
          </w:p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9） 支持查看用户创建的所有电子药历，并可通过病区、患者姓名、床位号、归档状态、归档时间查询电子药历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  <w:t>23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工作量统计</w:t>
            </w:r>
          </w:p>
        </w:tc>
        <w:tc>
          <w:tcPr>
            <w:tcW w:w="6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1） 支持查看各药师在各病区进行的药学服务次数，并支持根据病区、药师、统计时间过滤工作量统计内容；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2） 支持按类型查看工作量统计结果时，支持查看药学服务内容；3） 支持按类型查看各药师日常工作趋势分析，并支持切换展现样式为折线或柱状；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4） 支持按出院覆盖率维度进行工作量统计；</w:t>
            </w:r>
          </w:p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5） 支持工作量统计结果与药学服务内容导出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  <w:t>24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药学沟通</w:t>
            </w:r>
          </w:p>
        </w:tc>
        <w:tc>
          <w:tcPr>
            <w:tcW w:w="6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1） 支持药师通过在线沟通或工作站通知的方式，将药师与反馈结果通知医生；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2） 支持医生查看药师反馈内容，并支持医生跟药师对患者情况进行在线交</w:t>
            </w:r>
          </w:p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流；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  <w:lang w:val="en-US" w:eastAsia="zh-CN"/>
              </w:rPr>
              <w:t>25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移动查房</w:t>
            </w:r>
          </w:p>
        </w:tc>
        <w:tc>
          <w:tcPr>
            <w:tcW w:w="6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1）PAD端功能与PC端功能完全一致；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2） 支持药师通过pad端查看患者临床诊疗信息，包括患者基医嘱信息、检验信息、检查信息、手术信息、电子病历、生命体征；3） 支持药师通过pad端查看待监护患者，并支持一键将患者纳入监护；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4） 支持药师通过pad端为监护患者执行监护计划，包括药学查房、用药监护、用药教育、入院评估、药物重整、专项评估、药师反馈；</w:t>
            </w:r>
          </w:p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Cs w:val="21"/>
              </w:rPr>
              <w:t>5） 支持药师通过pad端查看患者监护记录，包括药学查房、用药监护、用药教育、入院评估、药物重整、专项评估、药师反馈；6） 支持药师通过pad端与医生进行在线沟通。</w:t>
            </w:r>
          </w:p>
        </w:tc>
      </w:tr>
    </w:tbl>
    <w:p>
      <w:pPr>
        <w:spacing w:line="360" w:lineRule="auto"/>
        <w:jc w:val="left"/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eastAsia="zh-CN"/>
        </w:rPr>
        <w:t>备注：</w:t>
      </w:r>
    </w:p>
    <w:p>
      <w:pPr>
        <w:ind w:firstLine="420" w:firstLineChars="200"/>
        <w:rPr>
          <w:rFonts w:hint="eastAsia" w:ascii="方正仿宋_GBK" w:hAnsi="方正仿宋_GBK" w:eastAsia="方正仿宋_GBK" w:cs="方正仿宋_GBK"/>
          <w:color w:val="auto"/>
          <w:sz w:val="21"/>
          <w:szCs w:val="21"/>
          <w:lang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21"/>
          <w:szCs w:val="21"/>
          <w:lang w:eastAsia="zh-CN"/>
        </w:rPr>
        <w:t>为完成上述功能需与其他系统对接（包括不限于</w:t>
      </w:r>
      <w:r>
        <w:rPr>
          <w:rFonts w:hint="eastAsia" w:ascii="方正仿宋_GBK" w:hAnsi="方正仿宋_GBK" w:eastAsia="方正仿宋_GBK" w:cs="方正仿宋_GBK"/>
          <w:color w:val="auto"/>
          <w:sz w:val="21"/>
          <w:szCs w:val="21"/>
          <w:lang w:val="en-US" w:eastAsia="zh-CN"/>
        </w:rPr>
        <w:t>HIS</w:t>
      </w:r>
      <w:r>
        <w:rPr>
          <w:rFonts w:hint="eastAsia" w:ascii="方正仿宋_GBK" w:hAnsi="方正仿宋_GBK" w:eastAsia="方正仿宋_GBK" w:cs="方正仿宋_GBK"/>
          <w:color w:val="auto"/>
          <w:sz w:val="21"/>
          <w:szCs w:val="21"/>
          <w:lang w:eastAsia="zh-CN"/>
        </w:rPr>
        <w:t>），所产生的接口服务费用，自行承担。</w:t>
      </w:r>
    </w:p>
    <w:p>
      <w:pPr>
        <w:ind w:firstLine="420" w:firstLineChars="200"/>
        <w:rPr>
          <w:rFonts w:hint="eastAsia" w:ascii="方正仿宋_GBK" w:hAnsi="方正仿宋_GBK" w:eastAsia="方正仿宋_GBK" w:cs="方正仿宋_GBK"/>
          <w:color w:val="auto"/>
          <w:sz w:val="21"/>
          <w:szCs w:val="21"/>
          <w:lang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21"/>
          <w:szCs w:val="21"/>
          <w:lang w:eastAsia="zh-CN"/>
        </w:rPr>
        <w:t>项目需配备系统所需的服务器等硬件环境资源。</w:t>
      </w:r>
    </w:p>
    <w:p>
      <w:pPr>
        <w:ind w:firstLine="420" w:firstLineChars="200"/>
        <w:rPr>
          <w:rFonts w:hint="default" w:ascii="方正仿宋_GBK" w:hAnsi="方正仿宋_GBK" w:eastAsia="方正仿宋_GBK" w:cs="方正仿宋_GBK"/>
          <w:color w:val="auto"/>
          <w:sz w:val="21"/>
          <w:szCs w:val="21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21"/>
          <w:szCs w:val="21"/>
          <w:lang w:eastAsia="zh-CN"/>
        </w:rPr>
        <w:t>适配的</w:t>
      </w:r>
      <w:r>
        <w:rPr>
          <w:rFonts w:hint="eastAsia" w:ascii="方正仿宋_GBK" w:hAnsi="方正仿宋_GBK" w:eastAsia="方正仿宋_GBK" w:cs="方正仿宋_GBK"/>
          <w:color w:val="auto"/>
          <w:sz w:val="21"/>
          <w:szCs w:val="21"/>
          <w:lang w:val="en-US" w:eastAsia="zh-CN"/>
        </w:rPr>
        <w:t>PAD数量5台。</w:t>
      </w:r>
    </w:p>
    <w:p>
      <w:pPr>
        <w:spacing w:line="360" w:lineRule="auto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</w:p>
    <w:p>
      <w:pPr>
        <w:pStyle w:val="13"/>
        <w:rPr>
          <w:rFonts w:ascii="方正小标宋_GBK" w:hAnsi="方正小标宋_GBK" w:eastAsia="方正小标宋_GBK" w:cs="方正小标宋_GBK"/>
          <w:b/>
          <w:bCs/>
          <w:sz w:val="36"/>
          <w:szCs w:val="36"/>
        </w:rPr>
      </w:pPr>
      <w:r>
        <w:rPr>
          <w:rFonts w:ascii="方正小标宋_GBK" w:hAnsi="方正小标宋_GBK" w:eastAsia="方正小标宋_GBK" w:cs="方正小标宋_GBK"/>
          <w:b/>
          <w:bCs/>
          <w:sz w:val="36"/>
          <w:szCs w:val="36"/>
        </w:rPr>
        <w:t>商务需求</w:t>
      </w:r>
    </w:p>
    <w:p>
      <w:pPr>
        <w:ind w:firstLine="560" w:firstLineChars="200"/>
        <w:rPr>
          <w:rFonts w:ascii="方正仿宋_GBK" w:hAnsi="宋体" w:eastAsia="方正仿宋_GBK" w:cs="宋体"/>
          <w:color w:val="000000"/>
          <w:sz w:val="28"/>
          <w:szCs w:val="28"/>
        </w:rPr>
      </w:pPr>
      <w:r>
        <w:rPr>
          <w:rFonts w:hint="eastAsia" w:ascii="方正仿宋_GBK" w:hAnsi="宋体" w:eastAsia="方正仿宋_GBK" w:cs="宋体"/>
          <w:color w:val="000000"/>
          <w:sz w:val="28"/>
          <w:szCs w:val="28"/>
        </w:rPr>
        <w:t>1</w:t>
      </w:r>
      <w:r>
        <w:rPr>
          <w:rFonts w:hint="eastAsia" w:ascii="方正仿宋_GBK" w:hAnsi="宋体" w:eastAsia="方正仿宋_GBK" w:cs="宋体"/>
          <w:sz w:val="28"/>
          <w:szCs w:val="28"/>
        </w:rPr>
        <w:t>、</w:t>
      </w:r>
      <w:r>
        <w:rPr>
          <w:rFonts w:hint="eastAsia" w:ascii="方正仿宋_GBK" w:hAnsi="宋体" w:eastAsia="方正仿宋_GBK" w:cs="宋体"/>
          <w:color w:val="000000"/>
          <w:sz w:val="28"/>
          <w:szCs w:val="28"/>
        </w:rPr>
        <w:t>产品质量保证期</w:t>
      </w:r>
    </w:p>
    <w:p>
      <w:pPr>
        <w:ind w:firstLine="560" w:firstLineChars="200"/>
        <w:rPr>
          <w:rFonts w:ascii="方正仿宋_GBK" w:hAnsi="宋体" w:eastAsia="方正仿宋_GBK" w:cs="宋体"/>
          <w:color w:val="000000"/>
          <w:sz w:val="28"/>
          <w:szCs w:val="28"/>
        </w:rPr>
      </w:pPr>
      <w:r>
        <w:rPr>
          <w:rFonts w:hint="eastAsia" w:ascii="方正仿宋_GBK" w:hAnsi="宋体" w:eastAsia="方正仿宋_GBK" w:cs="宋体"/>
          <w:color w:val="000000"/>
          <w:sz w:val="28"/>
          <w:szCs w:val="28"/>
        </w:rPr>
        <w:t>（1）所提供从验收合格后起</w:t>
      </w:r>
      <w:r>
        <w:rPr>
          <w:rFonts w:hint="eastAsia" w:ascii="方正仿宋_GBK" w:hAnsi="宋体" w:eastAsia="方正仿宋_GBK" w:cs="宋体"/>
          <w:b/>
          <w:bCs/>
          <w:color w:val="FF0000"/>
          <w:sz w:val="28"/>
          <w:szCs w:val="28"/>
          <w:lang w:val="en-US" w:eastAsia="zh-CN"/>
        </w:rPr>
        <w:t>5</w:t>
      </w:r>
      <w:r>
        <w:rPr>
          <w:rFonts w:hint="eastAsia" w:ascii="方正仿宋_GBK" w:hAnsi="宋体" w:eastAsia="方正仿宋_GBK" w:cs="宋体"/>
          <w:color w:val="000000"/>
          <w:sz w:val="28"/>
          <w:szCs w:val="28"/>
        </w:rPr>
        <w:t>年免费维护</w:t>
      </w:r>
    </w:p>
    <w:p>
      <w:pPr>
        <w:ind w:firstLine="560" w:firstLineChars="200"/>
        <w:rPr>
          <w:rFonts w:ascii="方正仿宋_GBK" w:hAnsi="宋体" w:eastAsia="方正仿宋_GBK" w:cs="宋体"/>
          <w:color w:val="000000"/>
          <w:sz w:val="28"/>
          <w:szCs w:val="28"/>
        </w:rPr>
      </w:pPr>
      <w:r>
        <w:rPr>
          <w:rFonts w:hint="eastAsia" w:ascii="方正仿宋_GBK" w:hAnsi="宋体" w:eastAsia="方正仿宋_GBK" w:cs="宋体"/>
          <w:color w:val="000000"/>
          <w:sz w:val="28"/>
          <w:szCs w:val="28"/>
        </w:rPr>
        <w:t>（2）故障报修的响应时间：1小时；若电话中无法解决，4小时内到达现场进行维护。</w:t>
      </w:r>
    </w:p>
    <w:p>
      <w:pPr>
        <w:ind w:firstLine="560" w:firstLineChars="200"/>
        <w:rPr>
          <w:rFonts w:ascii="方正仿宋_GBK" w:hAnsi="宋体" w:eastAsia="方正仿宋_GBK" w:cs="宋体"/>
          <w:color w:val="000000"/>
          <w:sz w:val="28"/>
          <w:szCs w:val="28"/>
        </w:rPr>
      </w:pPr>
      <w:r>
        <w:rPr>
          <w:rFonts w:hint="eastAsia" w:ascii="方正仿宋_GBK" w:hAnsi="宋体" w:eastAsia="方正仿宋_GBK" w:cs="宋体"/>
          <w:color w:val="000000"/>
          <w:sz w:val="28"/>
          <w:szCs w:val="28"/>
        </w:rPr>
        <w:t>2</w:t>
      </w:r>
      <w:r>
        <w:rPr>
          <w:rFonts w:hint="eastAsia" w:ascii="方正仿宋_GBK" w:hAnsi="宋体" w:eastAsia="方正仿宋_GBK" w:cs="宋体"/>
          <w:sz w:val="28"/>
          <w:szCs w:val="28"/>
        </w:rPr>
        <w:t>、</w:t>
      </w:r>
      <w:r>
        <w:rPr>
          <w:rFonts w:hint="eastAsia" w:ascii="方正仿宋_GBK" w:hAnsi="宋体" w:eastAsia="方正仿宋_GBK" w:cs="宋体"/>
          <w:color w:val="000000"/>
          <w:sz w:val="28"/>
          <w:szCs w:val="28"/>
        </w:rPr>
        <w:t>履约保证金</w:t>
      </w:r>
    </w:p>
    <w:p>
      <w:pPr>
        <w:ind w:firstLine="560" w:firstLineChars="200"/>
        <w:rPr>
          <w:rFonts w:ascii="方正仿宋_GBK" w:hAnsi="宋体" w:eastAsia="方正仿宋_GBK" w:cs="宋体"/>
          <w:color w:val="000000"/>
          <w:sz w:val="28"/>
          <w:szCs w:val="28"/>
        </w:rPr>
      </w:pPr>
      <w:r>
        <w:rPr>
          <w:rFonts w:hint="eastAsia" w:ascii="方正仿宋_GBK" w:hAnsi="宋体" w:eastAsia="方正仿宋_GBK" w:cs="宋体"/>
          <w:color w:val="000000"/>
          <w:sz w:val="28"/>
          <w:szCs w:val="28"/>
        </w:rPr>
        <w:t>履约保证金为中标金额10%，在验收合格后无息退还。</w:t>
      </w:r>
    </w:p>
    <w:p>
      <w:pPr>
        <w:ind w:firstLine="560" w:firstLineChars="200"/>
        <w:rPr>
          <w:rFonts w:ascii="方正仿宋_GBK" w:hAnsi="宋体" w:eastAsia="方正仿宋_GBK" w:cs="宋体"/>
          <w:color w:val="000000"/>
          <w:sz w:val="28"/>
          <w:szCs w:val="28"/>
        </w:rPr>
      </w:pPr>
      <w:r>
        <w:rPr>
          <w:rFonts w:hint="eastAsia" w:ascii="方正仿宋_GBK" w:hAnsi="宋体" w:eastAsia="方正仿宋_GBK" w:cs="宋体"/>
          <w:color w:val="000000"/>
          <w:sz w:val="28"/>
          <w:szCs w:val="28"/>
        </w:rPr>
        <w:t>3</w:t>
      </w:r>
      <w:r>
        <w:rPr>
          <w:rFonts w:hint="eastAsia" w:ascii="方正仿宋_GBK" w:hAnsi="宋体" w:eastAsia="方正仿宋_GBK" w:cs="宋体"/>
          <w:sz w:val="28"/>
          <w:szCs w:val="28"/>
        </w:rPr>
        <w:t>、</w:t>
      </w:r>
      <w:r>
        <w:rPr>
          <w:rFonts w:hint="eastAsia" w:ascii="方正仿宋_GBK" w:hAnsi="宋体" w:eastAsia="方正仿宋_GBK" w:cs="宋体"/>
          <w:color w:val="000000"/>
          <w:sz w:val="28"/>
          <w:szCs w:val="28"/>
        </w:rPr>
        <w:t>付款方式</w:t>
      </w:r>
    </w:p>
    <w:p>
      <w:pPr>
        <w:ind w:firstLine="560" w:firstLineChars="200"/>
        <w:rPr>
          <w:rFonts w:ascii="方正仿宋_GBK" w:hAnsi="宋体" w:eastAsia="方正仿宋_GBK" w:cs="宋体"/>
          <w:color w:val="000000"/>
          <w:sz w:val="28"/>
          <w:szCs w:val="28"/>
        </w:rPr>
      </w:pPr>
      <w:r>
        <w:rPr>
          <w:rFonts w:hint="eastAsia" w:ascii="方正仿宋_GBK" w:hAnsi="宋体" w:eastAsia="方正仿宋_GBK" w:cs="宋体"/>
          <w:color w:val="000000"/>
          <w:sz w:val="28"/>
          <w:szCs w:val="28"/>
        </w:rPr>
        <w:t xml:space="preserve">本项目验收合格试运行三个月后支付合同总款的50%；在无质量及售后服务问题的前提下，验收合格试运行六个月后支付合同总款的40%；无质量及售后服务问题的前提下, </w:t>
      </w:r>
      <w:r>
        <w:rPr>
          <w:rFonts w:hint="eastAsia" w:ascii="方正仿宋_GBK" w:hAnsi="宋体" w:eastAsia="方正仿宋_GBK" w:cs="宋体"/>
          <w:b/>
          <w:bCs/>
          <w:color w:val="FF0000"/>
          <w:sz w:val="28"/>
          <w:szCs w:val="28"/>
          <w:lang w:eastAsia="zh-CN"/>
        </w:rPr>
        <w:t>五</w:t>
      </w:r>
      <w:r>
        <w:rPr>
          <w:rFonts w:hint="eastAsia" w:ascii="方正仿宋_GBK" w:hAnsi="宋体" w:eastAsia="方正仿宋_GBK" w:cs="宋体"/>
          <w:color w:val="000000"/>
          <w:sz w:val="28"/>
          <w:szCs w:val="28"/>
        </w:rPr>
        <w:t>年后支付合同总款的10%。</w:t>
      </w:r>
    </w:p>
    <w:p>
      <w:pPr>
        <w:ind w:firstLine="560" w:firstLineChars="200"/>
        <w:rPr>
          <w:rFonts w:ascii="方正仿宋_GBK" w:hAnsi="宋体" w:eastAsia="方正仿宋_GBK" w:cs="宋体"/>
          <w:color w:val="000000"/>
          <w:sz w:val="28"/>
          <w:szCs w:val="28"/>
        </w:rPr>
      </w:pPr>
      <w:r>
        <w:rPr>
          <w:rFonts w:hint="eastAsia" w:ascii="方正仿宋_GBK" w:hAnsi="宋体" w:eastAsia="方正仿宋_GBK" w:cs="宋体"/>
          <w:color w:val="000000"/>
          <w:sz w:val="28"/>
          <w:szCs w:val="28"/>
        </w:rPr>
        <w:t>4</w:t>
      </w:r>
      <w:r>
        <w:rPr>
          <w:rFonts w:hint="eastAsia" w:ascii="方正仿宋_GBK" w:hAnsi="宋体" w:eastAsia="方正仿宋_GBK" w:cs="宋体"/>
          <w:sz w:val="28"/>
          <w:szCs w:val="28"/>
        </w:rPr>
        <w:t>、</w:t>
      </w:r>
      <w:r>
        <w:rPr>
          <w:rFonts w:hint="eastAsia" w:ascii="方正仿宋_GBK" w:hAnsi="宋体" w:eastAsia="方正仿宋_GBK" w:cs="宋体"/>
          <w:color w:val="000000"/>
          <w:sz w:val="28"/>
          <w:szCs w:val="28"/>
        </w:rPr>
        <w:t>质保期后维保费要求</w:t>
      </w:r>
      <w:bookmarkStart w:id="0" w:name="_GoBack"/>
      <w:bookmarkEnd w:id="0"/>
    </w:p>
    <w:p>
      <w:pPr>
        <w:ind w:firstLine="560" w:firstLineChars="200"/>
        <w:rPr>
          <w:rFonts w:ascii="方正仿宋_GBK" w:hAnsi="宋体" w:eastAsia="方正仿宋_GBK" w:cs="宋体"/>
          <w:color w:val="000000"/>
          <w:sz w:val="30"/>
          <w:szCs w:val="30"/>
        </w:rPr>
      </w:pPr>
      <w:r>
        <w:rPr>
          <w:rFonts w:hint="eastAsia" w:ascii="方正仿宋_GBK" w:hAnsi="宋体" w:eastAsia="方正仿宋_GBK" w:cs="宋体"/>
          <w:color w:val="000000"/>
          <w:sz w:val="28"/>
          <w:szCs w:val="28"/>
        </w:rPr>
        <w:t>质量保证期过后，采购人需要继续由原中标人或厂家提供售后服务的，年维护费为中标金额的4%</w:t>
      </w:r>
      <w:r>
        <w:rPr>
          <w:rFonts w:hint="eastAsia" w:ascii="方正仿宋_GBK" w:hAnsi="宋体" w:eastAsia="方正仿宋_GBK" w:cs="宋体"/>
          <w:color w:val="000000"/>
          <w:sz w:val="30"/>
          <w:szCs w:val="30"/>
        </w:rPr>
        <w:t>。</w:t>
      </w:r>
    </w:p>
    <w:p>
      <w:pPr>
        <w:ind w:firstLine="560" w:firstLineChars="200"/>
        <w:rPr>
          <w:rFonts w:ascii="方正仿宋_GBK" w:hAnsi="宋体" w:eastAsia="方正仿宋_GBK" w:cs="宋体"/>
          <w:color w:val="000000"/>
          <w:sz w:val="28"/>
          <w:szCs w:val="28"/>
        </w:rPr>
      </w:pPr>
      <w:r>
        <w:rPr>
          <w:rFonts w:hint="eastAsia" w:ascii="方正仿宋_GBK" w:hAnsi="宋体" w:eastAsia="方正仿宋_GBK" w:cs="宋体"/>
          <w:color w:val="000000"/>
          <w:sz w:val="28"/>
          <w:szCs w:val="28"/>
        </w:rPr>
        <w:t>5、系统报价</w:t>
      </w:r>
    </w:p>
    <w:p>
      <w:pPr>
        <w:ind w:firstLine="560" w:firstLineChars="200"/>
        <w:rPr>
          <w:rFonts w:ascii="方正仿宋_GBK" w:hAnsi="宋体" w:eastAsia="方正仿宋_GBK" w:cs="宋体"/>
          <w:color w:val="000000"/>
          <w:sz w:val="28"/>
          <w:szCs w:val="28"/>
        </w:rPr>
      </w:pPr>
      <w:r>
        <w:rPr>
          <w:rFonts w:hint="eastAsia" w:ascii="方正仿宋_GBK" w:hAnsi="宋体" w:eastAsia="方正仿宋_GBK" w:cs="宋体"/>
          <w:color w:val="000000"/>
          <w:sz w:val="28"/>
          <w:szCs w:val="28"/>
        </w:rPr>
        <w:t>报价包含但不限于：产品价、运输费（含装卸费）、保险费、</w:t>
      </w:r>
      <w:r>
        <w:rPr>
          <w:rFonts w:hint="eastAsia" w:ascii="方正仿宋_GBK" w:hAnsi="宋体" w:eastAsia="方正仿宋_GBK" w:cs="宋体"/>
          <w:b/>
          <w:color w:val="000000"/>
          <w:sz w:val="28"/>
          <w:szCs w:val="28"/>
        </w:rPr>
        <w:t>第三方接口费</w:t>
      </w:r>
      <w:r>
        <w:rPr>
          <w:rFonts w:hint="eastAsia" w:ascii="方正仿宋_GBK" w:hAnsi="宋体" w:eastAsia="方正仿宋_GBK" w:cs="宋体"/>
          <w:color w:val="000000"/>
          <w:sz w:val="28"/>
          <w:szCs w:val="28"/>
        </w:rPr>
        <w:t>、安装调试费、税费、验收费、培训费等送货到采购人指定地点并完成安装、调试的所有费用。</w:t>
      </w:r>
    </w:p>
    <w:p>
      <w:pPr>
        <w:ind w:firstLine="560" w:firstLineChars="200"/>
      </w:pPr>
      <w:r>
        <w:rPr>
          <w:rFonts w:hint="eastAsia" w:ascii="方正仿宋_GBK" w:hAnsi="宋体" w:eastAsia="方正仿宋_GBK" w:cs="宋体"/>
          <w:color w:val="000000"/>
          <w:sz w:val="28"/>
          <w:szCs w:val="28"/>
        </w:rPr>
        <w:t>（上述服务需求、商务需求不作为最终招标技术、商务需求，仅做为市场调查使用）</w:t>
      </w:r>
      <w:r>
        <w:br w:type="page"/>
      </w:r>
    </w:p>
    <w:p>
      <w:pPr>
        <w:pStyle w:val="14"/>
        <w:rPr>
          <w:sz w:val="36"/>
          <w:szCs w:val="36"/>
        </w:rPr>
      </w:pPr>
      <w:r>
        <w:rPr>
          <w:sz w:val="36"/>
          <w:szCs w:val="36"/>
        </w:rPr>
        <w:t>附件：</w:t>
      </w:r>
    </w:p>
    <w:p>
      <w:pPr>
        <w:pStyle w:val="13"/>
        <w:jc w:val="center"/>
        <w:rPr>
          <w:sz w:val="28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val="en-US" w:eastAsia="zh-CN"/>
        </w:rPr>
        <w:t>药学监护</w:t>
      </w: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eastAsia="zh-CN"/>
        </w:rPr>
        <w:t>系统</w:t>
      </w: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</w:rPr>
        <w:t>市场调查</w:t>
      </w:r>
    </w:p>
    <w:p>
      <w:pPr>
        <w:pStyle w:val="13"/>
        <w:spacing w:after="0" w:line="240" w:lineRule="auto"/>
        <w:rPr>
          <w:rFonts w:ascii="方正仿宋_GBK" w:hAnsi="宋体" w:eastAsia="方正仿宋_GBK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方正仿宋_GBK" w:hAnsi="宋体" w:eastAsia="方正仿宋_GBK" w:cs="宋体"/>
          <w:b/>
          <w:bCs/>
          <w:color w:val="000000"/>
          <w:kern w:val="0"/>
          <w:sz w:val="32"/>
          <w:szCs w:val="32"/>
        </w:rPr>
        <w:t>重庆市垫江县中医院：</w:t>
      </w:r>
    </w:p>
    <w:p>
      <w:pPr>
        <w:pStyle w:val="48"/>
        <w:spacing w:line="440" w:lineRule="exact"/>
        <w:ind w:firstLine="560"/>
        <w:rPr>
          <w:rFonts w:ascii="方正仿宋_GBK" w:hAnsi="方正仿宋_GBK" w:eastAsia="方正仿宋_GBK" w:cs="方正仿宋_GBK"/>
          <w:bCs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bCs/>
          <w:sz w:val="28"/>
          <w:szCs w:val="28"/>
        </w:rPr>
        <w:t>符合贵院上述功能系统推荐信息如下：</w:t>
      </w:r>
    </w:p>
    <w:tbl>
      <w:tblPr>
        <w:tblStyle w:val="15"/>
        <w:tblpPr w:leftFromText="180" w:rightFromText="180" w:vertAnchor="text" w:horzAnchor="margin" w:tblpY="307"/>
        <w:tblOverlap w:val="never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2386"/>
        <w:gridCol w:w="2126"/>
        <w:gridCol w:w="1134"/>
        <w:gridCol w:w="1134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84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序号</w:t>
            </w:r>
          </w:p>
        </w:tc>
        <w:tc>
          <w:tcPr>
            <w:tcW w:w="2386" w:type="dxa"/>
            <w:shd w:val="clear" w:color="000000" w:fill="FFFFFF"/>
            <w:noWrap/>
            <w:vAlign w:val="center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系统名称</w:t>
            </w:r>
          </w:p>
        </w:tc>
        <w:tc>
          <w:tcPr>
            <w:tcW w:w="2126" w:type="dxa"/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单位</w:t>
            </w:r>
          </w:p>
        </w:tc>
        <w:tc>
          <w:tcPr>
            <w:tcW w:w="1134" w:type="dxa"/>
            <w:shd w:val="clear" w:color="000000" w:fill="FFFFFF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数量</w:t>
            </w:r>
          </w:p>
        </w:tc>
        <w:tc>
          <w:tcPr>
            <w:tcW w:w="1134" w:type="dxa"/>
            <w:shd w:val="clear" w:color="000000" w:fill="FFFFFF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单价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小计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841" w:type="dxa"/>
            <w:shd w:val="clear" w:color="auto" w:fill="auto"/>
            <w:noWrap/>
            <w:vAlign w:val="center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1</w:t>
            </w:r>
          </w:p>
        </w:tc>
        <w:tc>
          <w:tcPr>
            <w:tcW w:w="2386" w:type="dxa"/>
            <w:shd w:val="clear" w:color="000000" w:fill="FFFFFF"/>
            <w:noWrap/>
            <w:vAlign w:val="center"/>
          </w:tcPr>
          <w:p>
            <w:pPr>
              <w:rPr>
                <w:rFonts w:hint="eastAsia" w:ascii="方正仿宋_GBK" w:eastAsia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eastAsia="方正仿宋_GBK"/>
                <w:sz w:val="24"/>
                <w:szCs w:val="24"/>
                <w:lang w:val="en-US" w:eastAsia="zh-CN"/>
              </w:rPr>
              <w:t>药学监护</w:t>
            </w:r>
            <w:r>
              <w:rPr>
                <w:rFonts w:hint="eastAsia" w:ascii="方正仿宋_GBK" w:eastAsia="方正仿宋_GBK"/>
                <w:sz w:val="24"/>
                <w:szCs w:val="24"/>
                <w:lang w:eastAsia="zh-CN"/>
              </w:rPr>
              <w:t>系统</w:t>
            </w:r>
          </w:p>
        </w:tc>
        <w:tc>
          <w:tcPr>
            <w:tcW w:w="2126" w:type="dxa"/>
            <w:shd w:val="clear" w:color="000000" w:fill="FFFFFF"/>
            <w:noWrap/>
            <w:vAlign w:val="center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134" w:type="dxa"/>
            <w:shd w:val="clear" w:color="000000" w:fill="FFFFFF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134" w:type="dxa"/>
            <w:shd w:val="clear" w:color="000000" w:fill="FFFFFF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center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7621" w:type="dxa"/>
            <w:gridSpan w:val="5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合计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</w:trPr>
        <w:tc>
          <w:tcPr>
            <w:tcW w:w="8613" w:type="dxa"/>
            <w:gridSpan w:val="6"/>
            <w:shd w:val="clear" w:color="auto" w:fill="auto"/>
            <w:noWrap/>
            <w:vAlign w:val="center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表格可自行扩展</w:t>
            </w:r>
          </w:p>
        </w:tc>
      </w:tr>
    </w:tbl>
    <w:p>
      <w:pPr>
        <w:pStyle w:val="48"/>
        <w:numPr>
          <w:ilvl w:val="0"/>
          <w:numId w:val="1"/>
        </w:numPr>
        <w:spacing w:line="440" w:lineRule="exact"/>
        <w:ind w:firstLineChars="0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b/>
          <w:bCs/>
          <w:sz w:val="28"/>
          <w:szCs w:val="28"/>
        </w:rPr>
        <w:t>供应商资料</w:t>
      </w:r>
    </w:p>
    <w:p>
      <w:pPr>
        <w:pStyle w:val="48"/>
        <w:spacing w:line="440" w:lineRule="exact"/>
        <w:ind w:firstLine="560"/>
        <w:rPr>
          <w:rFonts w:ascii="方正仿宋_GBK" w:hAnsi="方正仿宋_GBK" w:eastAsia="方正仿宋_GBK" w:cs="方正仿宋_GBK"/>
          <w:bCs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bCs/>
          <w:sz w:val="28"/>
          <w:szCs w:val="28"/>
        </w:rPr>
        <w:t>供应商名称、公司地址、联系人、联系电话、具备提供该服务的技术能力，经营范围，并提供营业执照复印件。</w:t>
      </w:r>
      <w:r>
        <w:rPr>
          <w:rFonts w:ascii="方正仿宋_GBK" w:hAnsi="方正仿宋_GBK" w:eastAsia="方正仿宋_GBK" w:cs="方正仿宋_GBK"/>
          <w:bCs/>
          <w:sz w:val="28"/>
          <w:szCs w:val="28"/>
        </w:rPr>
        <w:t>……</w:t>
      </w:r>
    </w:p>
    <w:p>
      <w:pPr>
        <w:pStyle w:val="48"/>
        <w:numPr>
          <w:ilvl w:val="0"/>
          <w:numId w:val="1"/>
        </w:numPr>
        <w:spacing w:line="440" w:lineRule="exact"/>
        <w:ind w:firstLineChars="0"/>
        <w:rPr>
          <w:rFonts w:ascii="方正仿宋_GBK" w:hAnsi="方正仿宋_GBK" w:eastAsia="方正仿宋_GBK" w:cs="方正仿宋_GBK"/>
          <w:b/>
          <w:bCs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b/>
          <w:bCs/>
          <w:sz w:val="28"/>
          <w:szCs w:val="28"/>
        </w:rPr>
        <w:t>系统功能参数</w:t>
      </w:r>
    </w:p>
    <w:p>
      <w:pPr>
        <w:pStyle w:val="48"/>
        <w:spacing w:line="440" w:lineRule="exact"/>
        <w:ind w:firstLine="560"/>
        <w:rPr>
          <w:rFonts w:ascii="方正仿宋_GBK" w:hAnsi="方正仿宋_GBK" w:eastAsia="方正仿宋_GBK" w:cs="方正仿宋_GBK"/>
          <w:bCs/>
          <w:sz w:val="28"/>
          <w:szCs w:val="28"/>
        </w:rPr>
      </w:pPr>
      <w:r>
        <w:rPr>
          <w:rFonts w:ascii="方正仿宋_GBK" w:hAnsi="方正仿宋_GBK" w:eastAsia="方正仿宋_GBK" w:cs="方正仿宋_GBK"/>
          <w:bCs/>
          <w:sz w:val="28"/>
          <w:szCs w:val="28"/>
        </w:rPr>
        <w:t>……</w:t>
      </w:r>
    </w:p>
    <w:p>
      <w:pPr>
        <w:pStyle w:val="48"/>
        <w:numPr>
          <w:ilvl w:val="0"/>
          <w:numId w:val="1"/>
        </w:numPr>
        <w:spacing w:line="440" w:lineRule="exact"/>
        <w:ind w:firstLineChars="0"/>
        <w:rPr>
          <w:rFonts w:ascii="方正仿宋_GBK" w:hAnsi="方正仿宋_GBK" w:eastAsia="方正仿宋_GBK" w:cs="方正仿宋_GBK"/>
          <w:b/>
          <w:bCs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b/>
          <w:bCs/>
          <w:sz w:val="28"/>
          <w:szCs w:val="28"/>
        </w:rPr>
        <w:t>案例信息</w:t>
      </w:r>
    </w:p>
    <w:p>
      <w:pPr>
        <w:pStyle w:val="48"/>
        <w:spacing w:line="440" w:lineRule="exact"/>
        <w:ind w:firstLine="562"/>
        <w:rPr>
          <w:rFonts w:ascii="方正仿宋_GBK" w:hAnsi="方正仿宋_GBK" w:eastAsia="方正仿宋_GBK" w:cs="方正仿宋_GBK"/>
          <w:bCs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b/>
          <w:bCs/>
          <w:sz w:val="28"/>
          <w:szCs w:val="28"/>
        </w:rPr>
        <w:t>提供所报系统案例（必须是类似项目的案例），且提供实际案例联系人姓名及电话</w:t>
      </w:r>
      <w:r>
        <w:rPr>
          <w:rFonts w:hint="eastAsia" w:ascii="方正仿宋_GBK" w:hAnsi="方正仿宋_GBK" w:eastAsia="方正仿宋_GBK" w:cs="方正仿宋_GBK"/>
          <w:bCs/>
          <w:sz w:val="28"/>
          <w:szCs w:val="28"/>
        </w:rPr>
        <w:t>。</w:t>
      </w:r>
      <w:r>
        <w:rPr>
          <w:rFonts w:ascii="方正仿宋_GBK" w:hAnsi="方正仿宋_GBK" w:eastAsia="方正仿宋_GBK" w:cs="方正仿宋_GBK"/>
          <w:bCs/>
          <w:sz w:val="28"/>
          <w:szCs w:val="28"/>
        </w:rPr>
        <w:t>……</w:t>
      </w:r>
    </w:p>
    <w:p>
      <w:pPr>
        <w:pStyle w:val="13"/>
        <w:spacing w:line="440" w:lineRule="exact"/>
        <w:rPr>
          <w:rFonts w:ascii="方正仿宋_GBK" w:hAnsi="宋体" w:eastAsia="方正仿宋_GBK" w:cs="宋体"/>
          <w:color w:val="000000"/>
          <w:kern w:val="0"/>
        </w:rPr>
      </w:pPr>
      <w:r>
        <w:rPr>
          <w:rFonts w:hint="eastAsia" w:ascii="方正仿宋_GBK" w:eastAsia="方正仿宋_GBK"/>
          <w:b/>
          <w:bCs/>
        </w:rPr>
        <w:t xml:space="preserve">                                             </w:t>
      </w:r>
      <w:r>
        <w:rPr>
          <w:rFonts w:hint="eastAsia" w:ascii="方正仿宋_GBK" w:hAnsi="宋体" w:eastAsia="方正仿宋_GBK" w:cs="宋体"/>
          <w:color w:val="000000"/>
          <w:kern w:val="0"/>
        </w:rPr>
        <w:t>推荐单位：</w:t>
      </w:r>
    </w:p>
    <w:p>
      <w:pPr>
        <w:pStyle w:val="13"/>
        <w:spacing w:line="440" w:lineRule="exact"/>
        <w:rPr>
          <w:rFonts w:ascii="方正仿宋_GBK" w:hAnsi="宋体" w:eastAsia="方正仿宋_GBK" w:cs="宋体"/>
          <w:color w:val="000000"/>
          <w:kern w:val="0"/>
        </w:rPr>
      </w:pPr>
      <w:r>
        <w:rPr>
          <w:rFonts w:hint="eastAsia" w:ascii="方正仿宋_GBK" w:hAnsi="宋体" w:eastAsia="方正仿宋_GBK" w:cs="宋体"/>
          <w:color w:val="000000"/>
          <w:kern w:val="0"/>
        </w:rPr>
        <w:t xml:space="preserve">                                              联 系 人：</w:t>
      </w:r>
    </w:p>
    <w:p>
      <w:pPr>
        <w:pStyle w:val="13"/>
        <w:spacing w:line="440" w:lineRule="exact"/>
        <w:rPr>
          <w:rFonts w:ascii="方正仿宋_GBK" w:hAnsi="宋体" w:eastAsia="方正仿宋_GBK" w:cs="宋体"/>
          <w:color w:val="000000"/>
          <w:kern w:val="0"/>
        </w:rPr>
      </w:pPr>
      <w:r>
        <w:rPr>
          <w:rFonts w:hint="eastAsia" w:ascii="方正仿宋_GBK" w:hAnsi="宋体" w:eastAsia="方正仿宋_GBK" w:cs="宋体"/>
          <w:color w:val="000000"/>
          <w:kern w:val="0"/>
        </w:rPr>
        <w:t xml:space="preserve">                                              联系方式：</w:t>
      </w:r>
    </w:p>
    <w:p>
      <w:pPr>
        <w:pStyle w:val="13"/>
        <w:spacing w:line="440" w:lineRule="exact"/>
        <w:rPr>
          <w:rFonts w:ascii="方正仿宋_GBK" w:hAnsi="宋体" w:eastAsia="方正仿宋_GBK" w:cs="宋体"/>
          <w:color w:val="000000"/>
          <w:kern w:val="0"/>
        </w:rPr>
      </w:pPr>
      <w:r>
        <w:rPr>
          <w:rFonts w:hint="eastAsia" w:ascii="方正仿宋_GBK" w:hAnsi="宋体" w:eastAsia="方正仿宋_GBK" w:cs="宋体"/>
          <w:color w:val="000000"/>
          <w:kern w:val="0"/>
        </w:rPr>
        <w:t xml:space="preserve">                                              日    期：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国标宋体-超大字符集扩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国标宋体-超大字符集扩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Arial Unicode MS">
    <w:altName w:val="Times New Roman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Noto Sans Symbols2">
    <w:panose1 w:val="020B0502040504020204"/>
    <w:charset w:val="00"/>
    <w:family w:val="auto"/>
    <w:pitch w:val="default"/>
    <w:sig w:usb0="80000003" w:usb1="0200E3E4" w:usb2="00040020" w:usb3="0580A048" w:csb0="00000001" w:csb1="00000000"/>
  </w:font>
  <w:font w:name="国标宋体-超大字符集扩">
    <w:panose1 w:val="000005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  <w:docPartObj>
        <w:docPartGallery w:val="autotext"/>
      </w:docPartObj>
    </w:sdtPr>
    <w:sdtContent>
      <w:p>
        <w:pPr>
          <w:pStyle w:val="8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0316CA"/>
    <w:multiLevelType w:val="multilevel"/>
    <w:tmpl w:val="460316CA"/>
    <w:lvl w:ilvl="0" w:tentative="0">
      <w:start w:val="1"/>
      <w:numFmt w:val="chineseCountingThousand"/>
      <w:lvlText w:val="%1、"/>
      <w:lvlJc w:val="left"/>
      <w:pPr>
        <w:ind w:left="982" w:hanging="420"/>
      </w:pPr>
    </w:lvl>
    <w:lvl w:ilvl="1" w:tentative="0">
      <w:start w:val="1"/>
      <w:numFmt w:val="lowerLetter"/>
      <w:lvlText w:val="%2)"/>
      <w:lvlJc w:val="left"/>
      <w:pPr>
        <w:ind w:left="1402" w:hanging="420"/>
      </w:pPr>
    </w:lvl>
    <w:lvl w:ilvl="2" w:tentative="0">
      <w:start w:val="1"/>
      <w:numFmt w:val="lowerRoman"/>
      <w:lvlText w:val="%3."/>
      <w:lvlJc w:val="right"/>
      <w:pPr>
        <w:ind w:left="1822" w:hanging="420"/>
      </w:pPr>
    </w:lvl>
    <w:lvl w:ilvl="3" w:tentative="0">
      <w:start w:val="1"/>
      <w:numFmt w:val="decimal"/>
      <w:lvlText w:val="%4."/>
      <w:lvlJc w:val="left"/>
      <w:pPr>
        <w:ind w:left="2242" w:hanging="420"/>
      </w:pPr>
    </w:lvl>
    <w:lvl w:ilvl="4" w:tentative="0">
      <w:start w:val="1"/>
      <w:numFmt w:val="lowerLetter"/>
      <w:lvlText w:val="%5)"/>
      <w:lvlJc w:val="left"/>
      <w:pPr>
        <w:ind w:left="2662" w:hanging="420"/>
      </w:pPr>
    </w:lvl>
    <w:lvl w:ilvl="5" w:tentative="0">
      <w:start w:val="1"/>
      <w:numFmt w:val="lowerRoman"/>
      <w:lvlText w:val="%6."/>
      <w:lvlJc w:val="right"/>
      <w:pPr>
        <w:ind w:left="3082" w:hanging="420"/>
      </w:pPr>
    </w:lvl>
    <w:lvl w:ilvl="6" w:tentative="0">
      <w:start w:val="1"/>
      <w:numFmt w:val="decimal"/>
      <w:lvlText w:val="%7."/>
      <w:lvlJc w:val="left"/>
      <w:pPr>
        <w:ind w:left="3502" w:hanging="420"/>
      </w:pPr>
    </w:lvl>
    <w:lvl w:ilvl="7" w:tentative="0">
      <w:start w:val="1"/>
      <w:numFmt w:val="lowerLetter"/>
      <w:lvlText w:val="%8)"/>
      <w:lvlJc w:val="left"/>
      <w:pPr>
        <w:ind w:left="3922" w:hanging="420"/>
      </w:pPr>
    </w:lvl>
    <w:lvl w:ilvl="8" w:tentative="0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zMTBmNGI2N2I3ODNmMTMyNjkzYmI0YjZjN2M2ZmUifQ=="/>
  </w:docVars>
  <w:rsids>
    <w:rsidRoot w:val="00CC5341"/>
    <w:rsid w:val="00003E04"/>
    <w:rsid w:val="000076BA"/>
    <w:rsid w:val="000334A6"/>
    <w:rsid w:val="000561BF"/>
    <w:rsid w:val="00060044"/>
    <w:rsid w:val="00061280"/>
    <w:rsid w:val="000774D4"/>
    <w:rsid w:val="000A42D4"/>
    <w:rsid w:val="000B3FF9"/>
    <w:rsid w:val="000B54D0"/>
    <w:rsid w:val="000B7856"/>
    <w:rsid w:val="000C09B1"/>
    <w:rsid w:val="000C2F7B"/>
    <w:rsid w:val="000C5310"/>
    <w:rsid w:val="000E0CE3"/>
    <w:rsid w:val="000E3059"/>
    <w:rsid w:val="000F1739"/>
    <w:rsid w:val="000F3112"/>
    <w:rsid w:val="000F7A83"/>
    <w:rsid w:val="001143C8"/>
    <w:rsid w:val="00116EA6"/>
    <w:rsid w:val="00135512"/>
    <w:rsid w:val="00135AF5"/>
    <w:rsid w:val="0013770B"/>
    <w:rsid w:val="00152223"/>
    <w:rsid w:val="00192C0F"/>
    <w:rsid w:val="001A17A2"/>
    <w:rsid w:val="001A7DA5"/>
    <w:rsid w:val="001B584E"/>
    <w:rsid w:val="001B74C2"/>
    <w:rsid w:val="001C7E30"/>
    <w:rsid w:val="001D2C75"/>
    <w:rsid w:val="00211154"/>
    <w:rsid w:val="002251C2"/>
    <w:rsid w:val="00225FCB"/>
    <w:rsid w:val="00227006"/>
    <w:rsid w:val="00243289"/>
    <w:rsid w:val="002524AB"/>
    <w:rsid w:val="00254C56"/>
    <w:rsid w:val="0026098B"/>
    <w:rsid w:val="00283335"/>
    <w:rsid w:val="00294DC9"/>
    <w:rsid w:val="002951D8"/>
    <w:rsid w:val="002C5497"/>
    <w:rsid w:val="002E1ADC"/>
    <w:rsid w:val="002F390E"/>
    <w:rsid w:val="00310722"/>
    <w:rsid w:val="003119B1"/>
    <w:rsid w:val="0031538B"/>
    <w:rsid w:val="00325352"/>
    <w:rsid w:val="00343607"/>
    <w:rsid w:val="00352533"/>
    <w:rsid w:val="003545FE"/>
    <w:rsid w:val="00364021"/>
    <w:rsid w:val="00366804"/>
    <w:rsid w:val="00370DB0"/>
    <w:rsid w:val="00380EB4"/>
    <w:rsid w:val="00391085"/>
    <w:rsid w:val="00394C71"/>
    <w:rsid w:val="003A1F57"/>
    <w:rsid w:val="003A361C"/>
    <w:rsid w:val="003B05C0"/>
    <w:rsid w:val="003C497F"/>
    <w:rsid w:val="003E1656"/>
    <w:rsid w:val="003E1AF3"/>
    <w:rsid w:val="003F4D8E"/>
    <w:rsid w:val="004033D0"/>
    <w:rsid w:val="00412B64"/>
    <w:rsid w:val="00426604"/>
    <w:rsid w:val="00427A0C"/>
    <w:rsid w:val="00430948"/>
    <w:rsid w:val="0043471A"/>
    <w:rsid w:val="00444757"/>
    <w:rsid w:val="0045318C"/>
    <w:rsid w:val="00457DD5"/>
    <w:rsid w:val="00460D06"/>
    <w:rsid w:val="00462EBC"/>
    <w:rsid w:val="00463E53"/>
    <w:rsid w:val="00465359"/>
    <w:rsid w:val="004711A0"/>
    <w:rsid w:val="00474092"/>
    <w:rsid w:val="00474E54"/>
    <w:rsid w:val="00487914"/>
    <w:rsid w:val="004A1B36"/>
    <w:rsid w:val="004B39CB"/>
    <w:rsid w:val="004B78BD"/>
    <w:rsid w:val="004D625F"/>
    <w:rsid w:val="004F168F"/>
    <w:rsid w:val="00506E4D"/>
    <w:rsid w:val="00520FB2"/>
    <w:rsid w:val="0053202D"/>
    <w:rsid w:val="005330F3"/>
    <w:rsid w:val="00553ED4"/>
    <w:rsid w:val="005571D1"/>
    <w:rsid w:val="0057239A"/>
    <w:rsid w:val="00575915"/>
    <w:rsid w:val="00594DEF"/>
    <w:rsid w:val="005B4C49"/>
    <w:rsid w:val="005B64F3"/>
    <w:rsid w:val="005B7F19"/>
    <w:rsid w:val="005F4961"/>
    <w:rsid w:val="00601F5E"/>
    <w:rsid w:val="00611E09"/>
    <w:rsid w:val="00613A58"/>
    <w:rsid w:val="0062477A"/>
    <w:rsid w:val="00631AD1"/>
    <w:rsid w:val="00652418"/>
    <w:rsid w:val="0065320E"/>
    <w:rsid w:val="0065345C"/>
    <w:rsid w:val="0065433E"/>
    <w:rsid w:val="00662DAB"/>
    <w:rsid w:val="0067445B"/>
    <w:rsid w:val="0068095D"/>
    <w:rsid w:val="006C6EB7"/>
    <w:rsid w:val="006D2DFE"/>
    <w:rsid w:val="006E186A"/>
    <w:rsid w:val="006F180B"/>
    <w:rsid w:val="007205BA"/>
    <w:rsid w:val="00725A3C"/>
    <w:rsid w:val="00727038"/>
    <w:rsid w:val="0074629F"/>
    <w:rsid w:val="0075091E"/>
    <w:rsid w:val="0075193B"/>
    <w:rsid w:val="00770C9C"/>
    <w:rsid w:val="007861F5"/>
    <w:rsid w:val="007932A3"/>
    <w:rsid w:val="007A1BC6"/>
    <w:rsid w:val="007B5ABD"/>
    <w:rsid w:val="007C1B53"/>
    <w:rsid w:val="007D1F1C"/>
    <w:rsid w:val="007D2258"/>
    <w:rsid w:val="007D65D9"/>
    <w:rsid w:val="007E4E62"/>
    <w:rsid w:val="008012A1"/>
    <w:rsid w:val="00804C5F"/>
    <w:rsid w:val="0082378E"/>
    <w:rsid w:val="00830755"/>
    <w:rsid w:val="00832610"/>
    <w:rsid w:val="00833975"/>
    <w:rsid w:val="00851104"/>
    <w:rsid w:val="008840AC"/>
    <w:rsid w:val="00895723"/>
    <w:rsid w:val="008A5D1A"/>
    <w:rsid w:val="008C38C8"/>
    <w:rsid w:val="008D6402"/>
    <w:rsid w:val="008E004C"/>
    <w:rsid w:val="008E5FEC"/>
    <w:rsid w:val="00900C3D"/>
    <w:rsid w:val="009034D3"/>
    <w:rsid w:val="00911383"/>
    <w:rsid w:val="00914E1E"/>
    <w:rsid w:val="00924386"/>
    <w:rsid w:val="00950094"/>
    <w:rsid w:val="009540B2"/>
    <w:rsid w:val="009569EC"/>
    <w:rsid w:val="00957EE1"/>
    <w:rsid w:val="00967B63"/>
    <w:rsid w:val="00967C4D"/>
    <w:rsid w:val="009804E6"/>
    <w:rsid w:val="009A243B"/>
    <w:rsid w:val="009D33D6"/>
    <w:rsid w:val="009D34E6"/>
    <w:rsid w:val="009F1531"/>
    <w:rsid w:val="00A053C1"/>
    <w:rsid w:val="00A10222"/>
    <w:rsid w:val="00A15F64"/>
    <w:rsid w:val="00A25EEC"/>
    <w:rsid w:val="00A550F7"/>
    <w:rsid w:val="00A570C1"/>
    <w:rsid w:val="00A61E41"/>
    <w:rsid w:val="00A70745"/>
    <w:rsid w:val="00A742A4"/>
    <w:rsid w:val="00A7440E"/>
    <w:rsid w:val="00A773FE"/>
    <w:rsid w:val="00A821D9"/>
    <w:rsid w:val="00A83A1B"/>
    <w:rsid w:val="00A8521F"/>
    <w:rsid w:val="00A9583D"/>
    <w:rsid w:val="00AB3222"/>
    <w:rsid w:val="00AC7252"/>
    <w:rsid w:val="00AD05A4"/>
    <w:rsid w:val="00AE089C"/>
    <w:rsid w:val="00AE20FF"/>
    <w:rsid w:val="00B2107E"/>
    <w:rsid w:val="00B21E37"/>
    <w:rsid w:val="00B24376"/>
    <w:rsid w:val="00B3753D"/>
    <w:rsid w:val="00B46FD6"/>
    <w:rsid w:val="00B663CF"/>
    <w:rsid w:val="00B80935"/>
    <w:rsid w:val="00B80A84"/>
    <w:rsid w:val="00B819E3"/>
    <w:rsid w:val="00BD1793"/>
    <w:rsid w:val="00C01335"/>
    <w:rsid w:val="00C07438"/>
    <w:rsid w:val="00C12282"/>
    <w:rsid w:val="00C316A4"/>
    <w:rsid w:val="00C4193F"/>
    <w:rsid w:val="00C4380F"/>
    <w:rsid w:val="00C50820"/>
    <w:rsid w:val="00C511A3"/>
    <w:rsid w:val="00C55357"/>
    <w:rsid w:val="00C66318"/>
    <w:rsid w:val="00C8547B"/>
    <w:rsid w:val="00C876E5"/>
    <w:rsid w:val="00C90AF7"/>
    <w:rsid w:val="00C93857"/>
    <w:rsid w:val="00C9457A"/>
    <w:rsid w:val="00CA7E03"/>
    <w:rsid w:val="00CB3DE0"/>
    <w:rsid w:val="00CC5341"/>
    <w:rsid w:val="00CE157C"/>
    <w:rsid w:val="00CE3191"/>
    <w:rsid w:val="00D004DC"/>
    <w:rsid w:val="00D122D0"/>
    <w:rsid w:val="00D1341C"/>
    <w:rsid w:val="00D20E90"/>
    <w:rsid w:val="00D67294"/>
    <w:rsid w:val="00D70153"/>
    <w:rsid w:val="00D727B3"/>
    <w:rsid w:val="00D77BBD"/>
    <w:rsid w:val="00D8260A"/>
    <w:rsid w:val="00D84E34"/>
    <w:rsid w:val="00DA2D9E"/>
    <w:rsid w:val="00DA30D3"/>
    <w:rsid w:val="00DA339F"/>
    <w:rsid w:val="00DC3496"/>
    <w:rsid w:val="00DD04A9"/>
    <w:rsid w:val="00DE4D25"/>
    <w:rsid w:val="00E01ED8"/>
    <w:rsid w:val="00E03EFF"/>
    <w:rsid w:val="00E044E6"/>
    <w:rsid w:val="00E05CCC"/>
    <w:rsid w:val="00E138C6"/>
    <w:rsid w:val="00E2272B"/>
    <w:rsid w:val="00E34C0A"/>
    <w:rsid w:val="00E50C8C"/>
    <w:rsid w:val="00E86A0E"/>
    <w:rsid w:val="00EA2E15"/>
    <w:rsid w:val="00EB247D"/>
    <w:rsid w:val="00EB43BE"/>
    <w:rsid w:val="00EC0AF9"/>
    <w:rsid w:val="00ED0692"/>
    <w:rsid w:val="00ED2049"/>
    <w:rsid w:val="00EE1F5D"/>
    <w:rsid w:val="00EF5968"/>
    <w:rsid w:val="00F23C39"/>
    <w:rsid w:val="00F27B83"/>
    <w:rsid w:val="00F30E46"/>
    <w:rsid w:val="00F505F8"/>
    <w:rsid w:val="00F704E2"/>
    <w:rsid w:val="00F772D9"/>
    <w:rsid w:val="00F85FB7"/>
    <w:rsid w:val="00F875D7"/>
    <w:rsid w:val="00F97F47"/>
    <w:rsid w:val="00FB5B6F"/>
    <w:rsid w:val="00FC6B39"/>
    <w:rsid w:val="00FC78BF"/>
    <w:rsid w:val="00FD0D9A"/>
    <w:rsid w:val="03EC7FCC"/>
    <w:rsid w:val="058E3D18"/>
    <w:rsid w:val="07462C5E"/>
    <w:rsid w:val="0B013844"/>
    <w:rsid w:val="0B9D61FB"/>
    <w:rsid w:val="0ED14BFA"/>
    <w:rsid w:val="1250401B"/>
    <w:rsid w:val="15F110CB"/>
    <w:rsid w:val="17DB2A05"/>
    <w:rsid w:val="1C70786F"/>
    <w:rsid w:val="1DBF0013"/>
    <w:rsid w:val="1DEB365A"/>
    <w:rsid w:val="1EC90D65"/>
    <w:rsid w:val="29543F45"/>
    <w:rsid w:val="2E83420B"/>
    <w:rsid w:val="334825E0"/>
    <w:rsid w:val="33687E82"/>
    <w:rsid w:val="36165188"/>
    <w:rsid w:val="36F37C80"/>
    <w:rsid w:val="3A1B07A0"/>
    <w:rsid w:val="3B3079A7"/>
    <w:rsid w:val="3DABA800"/>
    <w:rsid w:val="40082C37"/>
    <w:rsid w:val="4124626B"/>
    <w:rsid w:val="45165E0E"/>
    <w:rsid w:val="4A3E237C"/>
    <w:rsid w:val="4E461558"/>
    <w:rsid w:val="56E64D0B"/>
    <w:rsid w:val="590255F7"/>
    <w:rsid w:val="5E47433A"/>
    <w:rsid w:val="5FCFCEF0"/>
    <w:rsid w:val="69D872B5"/>
    <w:rsid w:val="6C7E8C07"/>
    <w:rsid w:val="70327E46"/>
    <w:rsid w:val="73082C93"/>
    <w:rsid w:val="7B594C70"/>
    <w:rsid w:val="7BD1263D"/>
    <w:rsid w:val="7F6270B3"/>
    <w:rsid w:val="7F75D127"/>
    <w:rsid w:val="B375C9F9"/>
    <w:rsid w:val="BF27CEF0"/>
    <w:rsid w:val="F6FF6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34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qFormat="1"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49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Indent"/>
    <w:basedOn w:val="1"/>
    <w:next w:val="1"/>
    <w:link w:val="27"/>
    <w:unhideWhenUsed/>
    <w:qFormat/>
    <w:uiPriority w:val="99"/>
    <w:pPr>
      <w:spacing w:after="120"/>
      <w:ind w:left="420" w:leftChars="200"/>
    </w:pPr>
  </w:style>
  <w:style w:type="paragraph" w:styleId="6">
    <w:name w:val="Date"/>
    <w:basedOn w:val="1"/>
    <w:next w:val="1"/>
    <w:link w:val="23"/>
    <w:semiHidden/>
    <w:unhideWhenUsed/>
    <w:qFormat/>
    <w:uiPriority w:val="99"/>
    <w:pPr>
      <w:ind w:left="100" w:leftChars="2500"/>
    </w:pPr>
  </w:style>
  <w:style w:type="paragraph" w:styleId="7">
    <w:name w:val="Balloon Text"/>
    <w:basedOn w:val="1"/>
    <w:link w:val="24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qFormat/>
    <w:uiPriority w:val="39"/>
    <w:pPr>
      <w:tabs>
        <w:tab w:val="left" w:pos="1260"/>
        <w:tab w:val="left" w:pos="1685"/>
        <w:tab w:val="right" w:leader="dot" w:pos="8400"/>
      </w:tabs>
      <w:spacing w:line="320" w:lineRule="exact"/>
      <w:ind w:firstLine="280" w:firstLineChars="100"/>
    </w:pPr>
    <w:rPr>
      <w:rFonts w:ascii="Times New Roman" w:hAnsi="Times New Roman" w:eastAsia="宋体" w:cs="Times New Roman"/>
      <w:sz w:val="28"/>
      <w:szCs w:val="20"/>
    </w:rPr>
  </w:style>
  <w:style w:type="paragraph" w:styleId="11">
    <w:name w:val="List"/>
    <w:basedOn w:val="1"/>
    <w:next w:val="12"/>
    <w:link w:val="51"/>
    <w:qFormat/>
    <w:uiPriority w:val="34"/>
    <w:pPr>
      <w:autoSpaceDE w:val="0"/>
      <w:autoSpaceDN w:val="0"/>
      <w:jc w:val="left"/>
    </w:pPr>
    <w:rPr>
      <w:rFonts w:ascii="Arial Unicode MS" w:hAnsi="Arial Unicode MS" w:eastAsia="Arial Unicode MS" w:cs="Arial Unicode MS"/>
      <w:kern w:val="0"/>
      <w:sz w:val="22"/>
      <w:lang w:val="zh-CN" w:bidi="zh-CN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paragraph" w:styleId="13">
    <w:name w:val="Body Text 2"/>
    <w:basedOn w:val="1"/>
    <w:link w:val="47"/>
    <w:semiHidden/>
    <w:unhideWhenUsed/>
    <w:qFormat/>
    <w:uiPriority w:val="99"/>
    <w:pPr>
      <w:spacing w:after="120" w:line="480" w:lineRule="auto"/>
    </w:pPr>
  </w:style>
  <w:style w:type="paragraph" w:styleId="14">
    <w:name w:val="Body Text First Indent 2"/>
    <w:basedOn w:val="5"/>
    <w:next w:val="1"/>
    <w:link w:val="28"/>
    <w:unhideWhenUsed/>
    <w:qFormat/>
    <w:uiPriority w:val="99"/>
    <w:pPr>
      <w:ind w:left="0" w:leftChars="0"/>
    </w:pPr>
    <w:rPr>
      <w:rFonts w:ascii="宋体" w:hAnsi="宋体"/>
    </w:rPr>
  </w:style>
  <w:style w:type="table" w:styleId="16">
    <w:name w:val="Table Grid"/>
    <w:basedOn w:val="15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8">
    <w:name w:val="Strong"/>
    <w:basedOn w:val="17"/>
    <w:qFormat/>
    <w:uiPriority w:val="22"/>
    <w:rPr>
      <w:b/>
    </w:rPr>
  </w:style>
  <w:style w:type="character" w:styleId="19">
    <w:name w:val="FollowedHyperlink"/>
    <w:basedOn w:val="17"/>
    <w:semiHidden/>
    <w:unhideWhenUsed/>
    <w:qFormat/>
    <w:uiPriority w:val="99"/>
    <w:rPr>
      <w:color w:val="800080"/>
      <w:u w:val="single"/>
    </w:rPr>
  </w:style>
  <w:style w:type="character" w:styleId="20">
    <w:name w:val="Hyperlink"/>
    <w:basedOn w:val="17"/>
    <w:unhideWhenUsed/>
    <w:qFormat/>
    <w:uiPriority w:val="99"/>
    <w:rPr>
      <w:color w:val="0000FF"/>
      <w:u w:val="single"/>
    </w:rPr>
  </w:style>
  <w:style w:type="character" w:customStyle="1" w:styleId="21">
    <w:name w:val="页眉 Char"/>
    <w:basedOn w:val="17"/>
    <w:link w:val="9"/>
    <w:qFormat/>
    <w:uiPriority w:val="99"/>
    <w:rPr>
      <w:sz w:val="18"/>
      <w:szCs w:val="18"/>
    </w:rPr>
  </w:style>
  <w:style w:type="character" w:customStyle="1" w:styleId="22">
    <w:name w:val="页脚 Char"/>
    <w:basedOn w:val="17"/>
    <w:link w:val="8"/>
    <w:qFormat/>
    <w:uiPriority w:val="99"/>
    <w:rPr>
      <w:sz w:val="18"/>
      <w:szCs w:val="18"/>
    </w:rPr>
  </w:style>
  <w:style w:type="character" w:customStyle="1" w:styleId="23">
    <w:name w:val="日期 Char"/>
    <w:basedOn w:val="17"/>
    <w:link w:val="6"/>
    <w:semiHidden/>
    <w:qFormat/>
    <w:uiPriority w:val="99"/>
  </w:style>
  <w:style w:type="character" w:customStyle="1" w:styleId="24">
    <w:name w:val="批注框文本 Char"/>
    <w:basedOn w:val="17"/>
    <w:link w:val="7"/>
    <w:semiHidden/>
    <w:qFormat/>
    <w:uiPriority w:val="99"/>
    <w:rPr>
      <w:sz w:val="18"/>
      <w:szCs w:val="18"/>
    </w:rPr>
  </w:style>
  <w:style w:type="paragraph" w:styleId="25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6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character" w:customStyle="1" w:styleId="27">
    <w:name w:val="正文文本缩进 Char"/>
    <w:basedOn w:val="17"/>
    <w:link w:val="5"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28">
    <w:name w:val="正文首行缩进 2 Char"/>
    <w:basedOn w:val="27"/>
    <w:link w:val="14"/>
    <w:qFormat/>
    <w:uiPriority w:val="99"/>
    <w:rPr>
      <w:rFonts w:ascii="宋体" w:hAnsi="宋体" w:eastAsiaTheme="minorEastAsia" w:cstheme="minorBidi"/>
      <w:kern w:val="2"/>
      <w:sz w:val="21"/>
      <w:szCs w:val="22"/>
    </w:rPr>
  </w:style>
  <w:style w:type="paragraph" w:customStyle="1" w:styleId="29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0">
    <w:name w:val="xl6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1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32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33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4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FF0000"/>
      <w:kern w:val="0"/>
      <w:sz w:val="20"/>
      <w:szCs w:val="20"/>
    </w:rPr>
  </w:style>
  <w:style w:type="paragraph" w:customStyle="1" w:styleId="35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华文仿宋" w:hAnsi="华文仿宋" w:eastAsia="华文仿宋" w:cs="宋体"/>
      <w:color w:val="000000"/>
      <w:kern w:val="0"/>
      <w:sz w:val="20"/>
      <w:szCs w:val="20"/>
    </w:rPr>
  </w:style>
  <w:style w:type="paragraph" w:customStyle="1" w:styleId="36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20"/>
      <w:szCs w:val="20"/>
    </w:rPr>
  </w:style>
  <w:style w:type="paragraph" w:customStyle="1" w:styleId="37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20"/>
      <w:szCs w:val="20"/>
    </w:rPr>
  </w:style>
  <w:style w:type="paragraph" w:customStyle="1" w:styleId="38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9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40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top"/>
    </w:pPr>
    <w:rPr>
      <w:rFonts w:ascii="宋体" w:hAnsi="宋体" w:eastAsia="宋体" w:cs="宋体"/>
      <w:color w:val="0D0D0D"/>
      <w:kern w:val="0"/>
      <w:sz w:val="20"/>
      <w:szCs w:val="20"/>
    </w:rPr>
  </w:style>
  <w:style w:type="paragraph" w:customStyle="1" w:styleId="41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2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color w:val="0D0D0D"/>
      <w:kern w:val="0"/>
      <w:sz w:val="20"/>
      <w:szCs w:val="20"/>
    </w:rPr>
  </w:style>
  <w:style w:type="paragraph" w:customStyle="1" w:styleId="43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D0D0D"/>
      <w:kern w:val="0"/>
      <w:sz w:val="20"/>
      <w:szCs w:val="20"/>
    </w:rPr>
  </w:style>
  <w:style w:type="paragraph" w:customStyle="1" w:styleId="44">
    <w:name w:val="xl7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45">
    <w:name w:val="xl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46">
    <w:name w:val="xl8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character" w:customStyle="1" w:styleId="47">
    <w:name w:val="正文文本 2 Char"/>
    <w:basedOn w:val="17"/>
    <w:link w:val="13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paragraph" w:customStyle="1" w:styleId="48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4"/>
    </w:rPr>
  </w:style>
  <w:style w:type="character" w:customStyle="1" w:styleId="49">
    <w:name w:val="标题 2 Char"/>
    <w:basedOn w:val="17"/>
    <w:link w:val="3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paragraph" w:customStyle="1" w:styleId="50">
    <w:name w:val="Table Paragraph"/>
    <w:basedOn w:val="1"/>
    <w:qFormat/>
    <w:uiPriority w:val="1"/>
    <w:pPr>
      <w:autoSpaceDE w:val="0"/>
      <w:autoSpaceDN w:val="0"/>
      <w:jc w:val="left"/>
    </w:pPr>
    <w:rPr>
      <w:rFonts w:ascii="Arial Unicode MS" w:hAnsi="Arial Unicode MS" w:eastAsia="Arial Unicode MS" w:cs="Arial Unicode MS"/>
      <w:kern w:val="0"/>
      <w:sz w:val="22"/>
      <w:lang w:val="zh-CN" w:bidi="zh-CN"/>
    </w:rPr>
  </w:style>
  <w:style w:type="character" w:customStyle="1" w:styleId="51">
    <w:name w:val="列表 Char"/>
    <w:link w:val="11"/>
    <w:qFormat/>
    <w:locked/>
    <w:uiPriority w:val="34"/>
    <w:rPr>
      <w:rFonts w:ascii="Arial Unicode MS" w:hAnsi="Arial Unicode MS" w:eastAsia="Arial Unicode MS" w:cs="Arial Unicode MS"/>
      <w:sz w:val="22"/>
      <w:szCs w:val="22"/>
      <w:lang w:val="zh-CN" w:bidi="zh-CN"/>
    </w:rPr>
  </w:style>
  <w:style w:type="paragraph" w:customStyle="1" w:styleId="52">
    <w:name w:val="null3"/>
    <w:hidden/>
    <w:qFormat/>
    <w:uiPriority w:val="0"/>
    <w:rPr>
      <w:rFonts w:hint="eastAsia" w:ascii="华文中宋" w:hAnsi="华文中宋" w:eastAsia="华文中宋" w:cs="Times New Roman"/>
      <w:kern w:val="2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9</Pages>
  <Words>479</Words>
  <Characters>540</Characters>
  <Lines>16</Lines>
  <Paragraphs>4</Paragraphs>
  <TotalTime>4</TotalTime>
  <ScaleCrop>false</ScaleCrop>
  <LinksUpToDate>false</LinksUpToDate>
  <CharactersWithSpaces>600</CharactersWithSpaces>
  <Application>WPS Office_11.8.2.12320_F1E327BC-269C-435d-A152-05C5408002CA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2023-03-30T03:22:00Z</dcterms:created>
  <dc:creator>lenovo</dc:creator>
  <cp:lastModifiedBy>zhang</cp:lastModifiedBy>
  <cp:lastPrinted>2023-11-18T01:25:00Z</cp:lastPrinted>
  <dcterms:modified xsi:type="dcterms:W3CDTF">2025-10-15T14:17:42Z</dcterms:modified>
  <cp:revision>226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2052-11.8.2.12320</vt:lpwstr>
  </property>
  <property fmtid="{D5CDD505-2E9C-101B-9397-08002B2CF9AE}" pid="3" name="ICV">
    <vt:lpwstr>DCD901F645D64EA99335537647EA00E6_13</vt:lpwstr>
  </property>
  <property fmtid="{D5CDD505-2E9C-101B-9397-08002B2CF9AE}" pid="4" name="KSOTemplateDocerSaveRecord">
    <vt:lpwstr>eyJoZGlkIjoiNjJkZjM0NTIzNDY5OTkyZGFiMTY5NmZjYmQ2ZDljNWUiLCJ1c2VySWQiOiIyOTI1MjgxOTAifQ==</vt:lpwstr>
  </property>
</Properties>
</file>