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6A1BD2">
      <w:pPr>
        <w:ind w:firstLine="567"/>
        <w:jc w:val="center"/>
        <w:rPr>
          <w:rFonts w:hint="eastAsia" w:ascii="仿宋" w:hAnsi="仿宋" w:eastAsia="仿宋" w:cs="仿宋"/>
          <w:b/>
          <w:bCs/>
          <w:color w:val="auto"/>
          <w:sz w:val="144"/>
          <w:szCs w:val="52"/>
          <w:highlight w:val="none"/>
        </w:rPr>
      </w:pPr>
      <w:bookmarkStart w:id="0" w:name="_Toc19609"/>
      <w:bookmarkStart w:id="1" w:name="_Toc17591"/>
      <w:bookmarkStart w:id="2" w:name="_Toc31370"/>
      <w:bookmarkStart w:id="3" w:name="_Toc7408"/>
      <w:bookmarkStart w:id="4" w:name="_Toc16779"/>
      <w:bookmarkStart w:id="5" w:name="_Toc30711"/>
      <w:bookmarkStart w:id="6" w:name="_Toc30988"/>
      <w:bookmarkStart w:id="7" w:name="_Toc31917"/>
      <w:r>
        <w:rPr>
          <w:rFonts w:hint="eastAsia" w:ascii="仿宋" w:hAnsi="仿宋" w:eastAsia="仿宋" w:cs="仿宋"/>
          <w:b/>
          <w:bCs/>
          <w:color w:val="auto"/>
          <w:sz w:val="144"/>
          <w:szCs w:val="52"/>
          <w:highlight w:val="none"/>
        </w:rPr>
        <w:t>国企采购</w:t>
      </w:r>
    </w:p>
    <w:p w14:paraId="15BA1F7C">
      <w:pPr>
        <w:ind w:firstLine="567"/>
        <w:jc w:val="center"/>
        <w:rPr>
          <w:rFonts w:hint="eastAsia" w:ascii="仿宋" w:hAnsi="仿宋" w:eastAsia="仿宋" w:cs="仿宋"/>
          <w:b/>
          <w:bCs/>
          <w:color w:val="auto"/>
          <w:sz w:val="144"/>
          <w:szCs w:val="52"/>
          <w:highlight w:val="none"/>
        </w:rPr>
      </w:pPr>
      <w:r>
        <w:rPr>
          <w:rFonts w:hint="eastAsia" w:ascii="仿宋" w:hAnsi="仿宋" w:eastAsia="仿宋" w:cs="仿宋"/>
          <w:b/>
          <w:bCs/>
          <w:color w:val="auto"/>
          <w:sz w:val="144"/>
          <w:szCs w:val="52"/>
          <w:highlight w:val="none"/>
        </w:rPr>
        <w:t>竞采文件</w:t>
      </w:r>
    </w:p>
    <w:bookmarkEnd w:id="0"/>
    <w:bookmarkEnd w:id="1"/>
    <w:bookmarkEnd w:id="2"/>
    <w:bookmarkEnd w:id="3"/>
    <w:bookmarkEnd w:id="4"/>
    <w:bookmarkEnd w:id="5"/>
    <w:bookmarkEnd w:id="6"/>
    <w:bookmarkEnd w:id="7"/>
    <w:p w14:paraId="3E55C4C9">
      <w:pPr>
        <w:ind w:firstLine="567"/>
        <w:jc w:val="center"/>
        <w:rPr>
          <w:rFonts w:hint="eastAsia" w:ascii="仿宋" w:hAnsi="仿宋" w:eastAsia="仿宋" w:cs="仿宋"/>
          <w:b/>
          <w:bCs/>
          <w:color w:val="auto"/>
          <w:spacing w:val="80"/>
          <w:sz w:val="44"/>
          <w:szCs w:val="44"/>
          <w:highlight w:val="none"/>
        </w:rPr>
      </w:pPr>
      <w:r>
        <w:rPr>
          <w:rFonts w:hint="eastAsia" w:ascii="仿宋" w:hAnsi="仿宋" w:eastAsia="仿宋" w:cs="仿宋"/>
          <w:b/>
          <w:bCs/>
          <w:color w:val="auto"/>
          <w:sz w:val="72"/>
          <w:szCs w:val="44"/>
          <w:highlight w:val="none"/>
        </w:rPr>
        <w:t>（综合评分）</w:t>
      </w:r>
    </w:p>
    <w:p w14:paraId="23C6F3E0">
      <w:pPr>
        <w:ind w:firstLine="720" w:firstLineChars="200"/>
        <w:jc w:val="center"/>
        <w:rPr>
          <w:rFonts w:hint="eastAsia" w:ascii="仿宋" w:hAnsi="仿宋" w:eastAsia="仿宋" w:cs="仿宋"/>
          <w:color w:val="auto"/>
          <w:sz w:val="36"/>
          <w:szCs w:val="30"/>
          <w:highlight w:val="none"/>
          <w:lang w:val="en-US" w:eastAsia="zh-CN"/>
        </w:rPr>
      </w:pPr>
      <w:r>
        <w:rPr>
          <w:rFonts w:hint="eastAsia" w:ascii="仿宋" w:hAnsi="仿宋" w:eastAsia="仿宋" w:cs="仿宋"/>
          <w:color w:val="auto"/>
          <w:sz w:val="36"/>
          <w:szCs w:val="30"/>
          <w:highlight w:val="none"/>
          <w:lang w:val="en-US" w:eastAsia="zh-CN"/>
        </w:rPr>
        <w:t xml:space="preserve">项目编号：lfjt25C00146 </w:t>
      </w:r>
    </w:p>
    <w:p w14:paraId="235BC612">
      <w:pPr>
        <w:ind w:firstLine="720" w:firstLineChars="200"/>
        <w:jc w:val="left"/>
        <w:rPr>
          <w:rFonts w:hint="eastAsia" w:ascii="仿宋" w:hAnsi="仿宋" w:eastAsia="仿宋" w:cs="仿宋"/>
          <w:color w:val="auto"/>
          <w:sz w:val="36"/>
          <w:szCs w:val="30"/>
          <w:highlight w:val="none"/>
        </w:rPr>
      </w:pPr>
      <w:bookmarkStart w:id="205" w:name="_GoBack"/>
      <w:bookmarkEnd w:id="205"/>
    </w:p>
    <w:p w14:paraId="78C09B35">
      <w:pPr>
        <w:ind w:firstLine="720" w:firstLineChars="200"/>
        <w:jc w:val="left"/>
        <w:rPr>
          <w:rFonts w:hint="eastAsia" w:ascii="仿宋" w:hAnsi="仿宋" w:eastAsia="仿宋" w:cs="仿宋"/>
          <w:color w:val="auto"/>
          <w:sz w:val="36"/>
          <w:szCs w:val="30"/>
          <w:highlight w:val="none"/>
        </w:rPr>
      </w:pPr>
    </w:p>
    <w:p w14:paraId="351AB2F0">
      <w:pPr>
        <w:ind w:firstLine="720" w:firstLineChars="200"/>
        <w:jc w:val="left"/>
        <w:rPr>
          <w:rFonts w:hint="eastAsia" w:ascii="仿宋" w:hAnsi="仿宋" w:eastAsia="仿宋" w:cs="仿宋"/>
          <w:color w:val="auto"/>
          <w:sz w:val="36"/>
          <w:szCs w:val="30"/>
          <w:highlight w:val="none"/>
        </w:rPr>
      </w:pPr>
    </w:p>
    <w:p w14:paraId="74479111">
      <w:pPr>
        <w:pStyle w:val="7"/>
        <w:jc w:val="center"/>
        <w:rPr>
          <w:rFonts w:hint="eastAsia" w:ascii="仿宋" w:hAnsi="仿宋" w:eastAsia="仿宋" w:cs="仿宋"/>
          <w:color w:val="auto"/>
          <w:sz w:val="36"/>
          <w:szCs w:val="30"/>
          <w:highlight w:val="none"/>
          <w:lang w:eastAsia="zh-CN"/>
        </w:rPr>
      </w:pPr>
      <w:bookmarkStart w:id="8" w:name="_Hlk111636989"/>
      <w:r>
        <w:rPr>
          <w:rFonts w:hint="eastAsia" w:ascii="仿宋" w:hAnsi="仿宋" w:eastAsia="仿宋" w:cs="仿宋"/>
          <w:color w:val="auto"/>
          <w:sz w:val="36"/>
          <w:szCs w:val="30"/>
          <w:highlight w:val="none"/>
        </w:rPr>
        <w:t>项目名称：</w:t>
      </w:r>
      <w:bookmarkEnd w:id="8"/>
      <w:r>
        <w:rPr>
          <w:rFonts w:hint="eastAsia" w:ascii="仿宋" w:hAnsi="仿宋" w:eastAsia="仿宋" w:cs="仿宋"/>
          <w:color w:val="auto"/>
          <w:sz w:val="36"/>
          <w:szCs w:val="30"/>
          <w:highlight w:val="none"/>
          <w:lang w:eastAsia="zh-CN"/>
        </w:rPr>
        <w:t>重庆知天而作农业科技研究院有限公司专项审计</w:t>
      </w:r>
    </w:p>
    <w:p w14:paraId="789537CD">
      <w:pPr>
        <w:pStyle w:val="7"/>
        <w:ind w:firstLine="640"/>
        <w:rPr>
          <w:rFonts w:hint="eastAsia" w:ascii="仿宋" w:hAnsi="仿宋" w:eastAsia="仿宋" w:cs="仿宋"/>
          <w:color w:val="auto"/>
          <w:highlight w:val="none"/>
        </w:rPr>
      </w:pPr>
    </w:p>
    <w:p w14:paraId="30F83EFB">
      <w:pPr>
        <w:pStyle w:val="7"/>
        <w:ind w:firstLine="640"/>
        <w:rPr>
          <w:rFonts w:hint="eastAsia" w:ascii="仿宋" w:hAnsi="仿宋" w:eastAsia="仿宋" w:cs="仿宋"/>
          <w:color w:val="auto"/>
          <w:highlight w:val="none"/>
        </w:rPr>
      </w:pPr>
    </w:p>
    <w:p w14:paraId="72E15630">
      <w:pPr>
        <w:pStyle w:val="7"/>
        <w:ind w:firstLine="640"/>
        <w:rPr>
          <w:rFonts w:hint="eastAsia" w:ascii="仿宋" w:hAnsi="仿宋" w:eastAsia="仿宋" w:cs="仿宋"/>
          <w:color w:val="auto"/>
          <w:highlight w:val="none"/>
        </w:rPr>
      </w:pPr>
    </w:p>
    <w:p w14:paraId="53357226">
      <w:pPr>
        <w:pStyle w:val="7"/>
        <w:ind w:firstLine="640"/>
        <w:rPr>
          <w:rFonts w:hint="eastAsia" w:ascii="仿宋" w:hAnsi="仿宋" w:eastAsia="仿宋" w:cs="仿宋"/>
          <w:color w:val="auto"/>
          <w:highlight w:val="none"/>
        </w:rPr>
      </w:pPr>
    </w:p>
    <w:p w14:paraId="0887F96C">
      <w:pPr>
        <w:pStyle w:val="7"/>
        <w:ind w:firstLine="640"/>
        <w:rPr>
          <w:rFonts w:hint="eastAsia" w:ascii="仿宋" w:hAnsi="仿宋" w:eastAsia="仿宋" w:cs="仿宋"/>
          <w:color w:val="auto"/>
          <w:highlight w:val="none"/>
        </w:rPr>
      </w:pPr>
    </w:p>
    <w:p w14:paraId="0F8AB2C7">
      <w:pPr>
        <w:pStyle w:val="7"/>
        <w:ind w:firstLine="640"/>
        <w:rPr>
          <w:rFonts w:hint="eastAsia" w:ascii="仿宋" w:hAnsi="仿宋" w:eastAsia="仿宋" w:cs="仿宋"/>
          <w:color w:val="auto"/>
          <w:highlight w:val="none"/>
        </w:rPr>
      </w:pPr>
    </w:p>
    <w:p w14:paraId="56F94725">
      <w:pPr>
        <w:ind w:firstLine="720" w:firstLineChars="200"/>
        <w:jc w:val="left"/>
        <w:rPr>
          <w:rFonts w:hint="eastAsia" w:ascii="仿宋" w:hAnsi="仿宋" w:eastAsia="仿宋" w:cs="仿宋"/>
          <w:color w:val="auto"/>
          <w:sz w:val="36"/>
          <w:szCs w:val="30"/>
          <w:highlight w:val="none"/>
          <w:lang w:eastAsia="zh-CN"/>
        </w:rPr>
      </w:pPr>
      <w:r>
        <w:rPr>
          <w:rFonts w:hint="eastAsia" w:ascii="仿宋" w:hAnsi="仿宋" w:eastAsia="仿宋" w:cs="仿宋"/>
          <w:color w:val="auto"/>
          <w:sz w:val="36"/>
          <w:szCs w:val="30"/>
          <w:highlight w:val="none"/>
        </w:rPr>
        <w:t>采购人：</w:t>
      </w:r>
      <w:r>
        <w:rPr>
          <w:rFonts w:hint="eastAsia" w:ascii="仿宋" w:hAnsi="仿宋" w:eastAsia="仿宋" w:cs="仿宋"/>
          <w:color w:val="auto"/>
          <w:sz w:val="36"/>
          <w:szCs w:val="30"/>
          <w:highlight w:val="none"/>
          <w:lang w:eastAsia="zh-CN"/>
        </w:rPr>
        <w:t>重庆绿发资产经营管理有限公司</w:t>
      </w:r>
    </w:p>
    <w:p w14:paraId="342B41E4">
      <w:pPr>
        <w:ind w:firstLine="720" w:firstLineChars="200"/>
        <w:jc w:val="left"/>
        <w:rPr>
          <w:rFonts w:hint="eastAsia" w:ascii="仿宋" w:hAnsi="仿宋" w:eastAsia="仿宋" w:cs="仿宋"/>
          <w:color w:val="auto"/>
          <w:sz w:val="36"/>
          <w:szCs w:val="30"/>
          <w:highlight w:val="none"/>
          <w:lang w:eastAsia="zh-CN"/>
        </w:rPr>
      </w:pPr>
      <w:r>
        <w:rPr>
          <w:rFonts w:hint="eastAsia" w:ascii="仿宋" w:hAnsi="仿宋" w:eastAsia="仿宋" w:cs="仿宋"/>
          <w:color w:val="auto"/>
          <w:sz w:val="36"/>
          <w:szCs w:val="30"/>
          <w:highlight w:val="none"/>
        </w:rPr>
        <w:t>采购代理机构：</w:t>
      </w:r>
      <w:r>
        <w:rPr>
          <w:rFonts w:hint="eastAsia" w:ascii="仿宋" w:hAnsi="仿宋" w:eastAsia="仿宋" w:cs="仿宋"/>
          <w:color w:val="auto"/>
          <w:sz w:val="36"/>
          <w:szCs w:val="30"/>
          <w:highlight w:val="none"/>
          <w:lang w:eastAsia="zh-CN"/>
        </w:rPr>
        <w:t>重庆标友工程管理咨询有限公司</w:t>
      </w:r>
    </w:p>
    <w:p w14:paraId="7A8B8D6F">
      <w:pPr>
        <w:pStyle w:val="7"/>
        <w:ind w:firstLine="640"/>
        <w:rPr>
          <w:rFonts w:hint="eastAsia" w:ascii="仿宋" w:hAnsi="仿宋" w:eastAsia="仿宋" w:cs="仿宋"/>
          <w:color w:val="auto"/>
          <w:highlight w:val="none"/>
        </w:rPr>
      </w:pPr>
    </w:p>
    <w:p w14:paraId="56BDD1B6">
      <w:pPr>
        <w:pStyle w:val="7"/>
        <w:ind w:firstLine="640"/>
        <w:rPr>
          <w:rFonts w:hint="eastAsia" w:ascii="仿宋" w:hAnsi="仿宋" w:eastAsia="仿宋" w:cs="仿宋"/>
          <w:color w:val="auto"/>
          <w:highlight w:val="none"/>
        </w:rPr>
      </w:pPr>
    </w:p>
    <w:p w14:paraId="4B230CA8">
      <w:pPr>
        <w:pStyle w:val="7"/>
        <w:jc w:val="center"/>
        <w:rPr>
          <w:rFonts w:hint="eastAsia" w:ascii="仿宋" w:hAnsi="仿宋" w:eastAsia="仿宋" w:cs="仿宋"/>
          <w:color w:val="auto"/>
          <w:sz w:val="36"/>
          <w:szCs w:val="30"/>
          <w:highlight w:val="none"/>
        </w:rPr>
      </w:pPr>
      <w:r>
        <w:rPr>
          <w:rFonts w:hint="eastAsia" w:ascii="仿宋" w:hAnsi="仿宋" w:eastAsia="仿宋" w:cs="仿宋"/>
          <w:color w:val="auto"/>
          <w:sz w:val="36"/>
          <w:szCs w:val="30"/>
          <w:highlight w:val="none"/>
        </w:rPr>
        <w:t>二〇二五年</w:t>
      </w:r>
      <w:r>
        <w:rPr>
          <w:rFonts w:hint="eastAsia" w:ascii="仿宋" w:hAnsi="仿宋" w:eastAsia="仿宋" w:cs="仿宋"/>
          <w:color w:val="auto"/>
          <w:sz w:val="36"/>
          <w:szCs w:val="30"/>
          <w:highlight w:val="none"/>
          <w:lang w:val="en-US" w:eastAsia="zh-CN"/>
        </w:rPr>
        <w:t>五</w:t>
      </w:r>
      <w:r>
        <w:rPr>
          <w:rFonts w:hint="eastAsia" w:ascii="仿宋" w:hAnsi="仿宋" w:eastAsia="仿宋" w:cs="仿宋"/>
          <w:color w:val="auto"/>
          <w:sz w:val="36"/>
          <w:szCs w:val="30"/>
          <w:highlight w:val="none"/>
        </w:rPr>
        <w:t>月</w:t>
      </w:r>
    </w:p>
    <w:p w14:paraId="61DE40DB">
      <w:pPr>
        <w:pStyle w:val="7"/>
        <w:ind w:firstLine="640"/>
        <w:rPr>
          <w:rFonts w:hint="eastAsia" w:ascii="仿宋" w:hAnsi="仿宋" w:eastAsia="仿宋" w:cs="仿宋"/>
          <w:color w:val="auto"/>
          <w:highlight w:val="none"/>
        </w:rPr>
      </w:pPr>
    </w:p>
    <w:p w14:paraId="71875AB0">
      <w:pPr>
        <w:pStyle w:val="7"/>
        <w:ind w:firstLine="640"/>
        <w:rPr>
          <w:rFonts w:hint="eastAsia" w:ascii="仿宋" w:hAnsi="仿宋" w:eastAsia="仿宋" w:cs="仿宋"/>
          <w:color w:val="auto"/>
          <w:highlight w:val="none"/>
        </w:rPr>
      </w:pPr>
    </w:p>
    <w:p w14:paraId="6272DE9F">
      <w:pPr>
        <w:rPr>
          <w:rFonts w:hint="eastAsia" w:ascii="仿宋" w:hAnsi="仿宋" w:eastAsia="仿宋" w:cs="仿宋"/>
          <w:color w:val="auto"/>
          <w:highlight w:val="none"/>
        </w:rPr>
      </w:pPr>
      <w:r>
        <w:rPr>
          <w:rFonts w:hint="eastAsia" w:ascii="仿宋" w:hAnsi="仿宋" w:eastAsia="仿宋" w:cs="仿宋"/>
          <w:color w:val="auto"/>
          <w:highlight w:val="none"/>
        </w:rPr>
        <w:br w:type="page"/>
      </w:r>
    </w:p>
    <w:sdt>
      <w:sdtPr>
        <w:rPr>
          <w:rFonts w:hint="eastAsia" w:ascii="仿宋" w:hAnsi="仿宋" w:eastAsia="仿宋" w:cs="仿宋"/>
          <w:color w:val="auto"/>
          <w:sz w:val="21"/>
          <w:highlight w:val="none"/>
        </w:rPr>
        <w:id w:val="147465042"/>
        <w15:color w:val="DBDBDB"/>
        <w:docPartObj>
          <w:docPartGallery w:val="Table of Contents"/>
          <w:docPartUnique/>
        </w:docPartObj>
      </w:sdtPr>
      <w:sdtEndPr>
        <w:rPr>
          <w:rFonts w:hint="eastAsia" w:ascii="仿宋" w:hAnsi="仿宋" w:eastAsia="仿宋" w:cs="仿宋"/>
          <w:color w:val="auto"/>
          <w:sz w:val="28"/>
          <w:szCs w:val="28"/>
          <w:highlight w:val="none"/>
        </w:rPr>
      </w:sdtEndPr>
      <w:sdtContent>
        <w:p w14:paraId="6F9BF2AC">
          <w:pPr>
            <w:ind w:firstLine="420"/>
            <w:jc w:val="center"/>
            <w:rPr>
              <w:rFonts w:hint="eastAsia" w:ascii="仿宋" w:hAnsi="仿宋" w:eastAsia="仿宋" w:cs="仿宋"/>
              <w:color w:val="auto"/>
              <w:szCs w:val="28"/>
              <w:highlight w:val="none"/>
            </w:rPr>
          </w:pPr>
          <w:r>
            <w:rPr>
              <w:rFonts w:hint="eastAsia" w:ascii="仿宋" w:hAnsi="仿宋" w:eastAsia="仿宋" w:cs="仿宋"/>
              <w:color w:val="auto"/>
              <w:sz w:val="40"/>
              <w:szCs w:val="40"/>
              <w:highlight w:val="none"/>
            </w:rPr>
            <w:t>目录</w:t>
          </w:r>
        </w:p>
        <w:p w14:paraId="26CCCECB">
          <w:pPr>
            <w:pStyle w:val="15"/>
            <w:tabs>
              <w:tab w:val="right" w:leader="dot" w:pos="9402"/>
            </w:tabs>
            <w:ind w:firstLine="560"/>
            <w:rPr>
              <w:rFonts w:hint="eastAsia" w:ascii="仿宋" w:hAnsi="仿宋" w:eastAsia="仿宋" w:cs="仿宋"/>
              <w:color w:val="auto"/>
              <w:sz w:val="21"/>
              <w:szCs w:val="22"/>
              <w:highlight w:val="none"/>
              <w14:ligatures w14:val="standardContextual"/>
            </w:rPr>
          </w:pP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TOC \o "1-3" \h \u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HYPERLINK \l "_Toc183783127" </w:instrText>
          </w:r>
          <w:r>
            <w:rPr>
              <w:rFonts w:hint="eastAsia" w:ascii="仿宋" w:hAnsi="仿宋" w:eastAsia="仿宋" w:cs="仿宋"/>
              <w:color w:val="auto"/>
              <w:highlight w:val="none"/>
            </w:rPr>
            <w:fldChar w:fldCharType="separate"/>
          </w:r>
          <w:r>
            <w:rPr>
              <w:rStyle w:val="23"/>
              <w:rFonts w:hint="eastAsia" w:ascii="仿宋" w:hAnsi="仿宋" w:eastAsia="仿宋" w:cs="仿宋"/>
              <w:color w:val="auto"/>
              <w:highlight w:val="none"/>
            </w:rPr>
            <w:t>第一篇  竞采邀请书</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_Toc183783127 \h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- 3 -</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fldChar w:fldCharType="end"/>
          </w:r>
        </w:p>
        <w:p w14:paraId="1A2616CB">
          <w:pPr>
            <w:pStyle w:val="17"/>
            <w:tabs>
              <w:tab w:val="right" w:leader="dot" w:pos="9402"/>
            </w:tabs>
            <w:ind w:left="560"/>
            <w:rPr>
              <w:rFonts w:hint="eastAsia" w:ascii="仿宋" w:hAnsi="仿宋" w:eastAsia="仿宋" w:cs="仿宋"/>
              <w:color w:val="auto"/>
              <w:sz w:val="21"/>
              <w:szCs w:val="22"/>
              <w:highlight w:val="none"/>
              <w14:ligatures w14:val="standardContextual"/>
            </w:rPr>
          </w:pP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HYPERLINK \l "_Toc183783128" </w:instrText>
          </w:r>
          <w:r>
            <w:rPr>
              <w:rFonts w:hint="eastAsia" w:ascii="仿宋" w:hAnsi="仿宋" w:eastAsia="仿宋" w:cs="仿宋"/>
              <w:color w:val="auto"/>
              <w:highlight w:val="none"/>
            </w:rPr>
            <w:fldChar w:fldCharType="separate"/>
          </w:r>
          <w:r>
            <w:rPr>
              <w:rStyle w:val="23"/>
              <w:rFonts w:hint="eastAsia" w:ascii="仿宋" w:hAnsi="仿宋" w:eastAsia="仿宋" w:cs="仿宋"/>
              <w:color w:val="auto"/>
              <w:highlight w:val="none"/>
            </w:rPr>
            <w:t>一、竞采项目内容</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_Toc183783128 \h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- 3 -</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fldChar w:fldCharType="end"/>
          </w:r>
        </w:p>
        <w:p w14:paraId="42452371">
          <w:pPr>
            <w:pStyle w:val="17"/>
            <w:tabs>
              <w:tab w:val="right" w:leader="dot" w:pos="9402"/>
            </w:tabs>
            <w:ind w:left="560"/>
            <w:rPr>
              <w:rFonts w:hint="eastAsia" w:ascii="仿宋" w:hAnsi="仿宋" w:eastAsia="仿宋" w:cs="仿宋"/>
              <w:color w:val="auto"/>
              <w:sz w:val="21"/>
              <w:szCs w:val="22"/>
              <w:highlight w:val="none"/>
              <w14:ligatures w14:val="standardContextual"/>
            </w:rPr>
          </w:pP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HYPERLINK \l "_Toc183783129" </w:instrText>
          </w:r>
          <w:r>
            <w:rPr>
              <w:rFonts w:hint="eastAsia" w:ascii="仿宋" w:hAnsi="仿宋" w:eastAsia="仿宋" w:cs="仿宋"/>
              <w:color w:val="auto"/>
              <w:highlight w:val="none"/>
            </w:rPr>
            <w:fldChar w:fldCharType="separate"/>
          </w:r>
          <w:r>
            <w:rPr>
              <w:rStyle w:val="23"/>
              <w:rFonts w:hint="eastAsia" w:ascii="仿宋" w:hAnsi="仿宋" w:eastAsia="仿宋" w:cs="仿宋"/>
              <w:color w:val="auto"/>
              <w:highlight w:val="none"/>
            </w:rPr>
            <w:t>二、资金来源</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_Toc183783129 \h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- 3 -</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fldChar w:fldCharType="end"/>
          </w:r>
        </w:p>
        <w:p w14:paraId="716D7AA4">
          <w:pPr>
            <w:pStyle w:val="17"/>
            <w:tabs>
              <w:tab w:val="right" w:leader="dot" w:pos="9402"/>
            </w:tabs>
            <w:ind w:left="560"/>
            <w:rPr>
              <w:rFonts w:hint="eastAsia" w:ascii="仿宋" w:hAnsi="仿宋" w:eastAsia="仿宋" w:cs="仿宋"/>
              <w:color w:val="auto"/>
              <w:sz w:val="21"/>
              <w:szCs w:val="22"/>
              <w:highlight w:val="none"/>
              <w14:ligatures w14:val="standardContextual"/>
            </w:rPr>
          </w:pP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HYPERLINK \l "_Toc183783130" </w:instrText>
          </w:r>
          <w:r>
            <w:rPr>
              <w:rFonts w:hint="eastAsia" w:ascii="仿宋" w:hAnsi="仿宋" w:eastAsia="仿宋" w:cs="仿宋"/>
              <w:color w:val="auto"/>
              <w:highlight w:val="none"/>
            </w:rPr>
            <w:fldChar w:fldCharType="separate"/>
          </w:r>
          <w:r>
            <w:rPr>
              <w:rStyle w:val="23"/>
              <w:rFonts w:hint="eastAsia" w:ascii="仿宋" w:hAnsi="仿宋" w:eastAsia="仿宋" w:cs="仿宋"/>
              <w:color w:val="auto"/>
              <w:highlight w:val="none"/>
            </w:rPr>
            <w:t>三、竞采资格条件</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_Toc183783130 \h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- 3 -</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fldChar w:fldCharType="end"/>
          </w:r>
        </w:p>
        <w:p w14:paraId="1006E88E">
          <w:pPr>
            <w:pStyle w:val="17"/>
            <w:tabs>
              <w:tab w:val="right" w:leader="dot" w:pos="9402"/>
            </w:tabs>
            <w:ind w:left="560"/>
            <w:rPr>
              <w:rFonts w:hint="eastAsia" w:ascii="仿宋" w:hAnsi="仿宋" w:eastAsia="仿宋" w:cs="仿宋"/>
              <w:color w:val="auto"/>
              <w:sz w:val="21"/>
              <w:szCs w:val="22"/>
              <w:highlight w:val="none"/>
              <w14:ligatures w14:val="standardContextual"/>
            </w:rPr>
          </w:pP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HYPERLINK \l "_Toc183783131" </w:instrText>
          </w:r>
          <w:r>
            <w:rPr>
              <w:rFonts w:hint="eastAsia" w:ascii="仿宋" w:hAnsi="仿宋" w:eastAsia="仿宋" w:cs="仿宋"/>
              <w:color w:val="auto"/>
              <w:highlight w:val="none"/>
            </w:rPr>
            <w:fldChar w:fldCharType="separate"/>
          </w:r>
          <w:r>
            <w:rPr>
              <w:rStyle w:val="23"/>
              <w:rFonts w:hint="eastAsia" w:ascii="仿宋" w:hAnsi="仿宋" w:eastAsia="仿宋" w:cs="仿宋"/>
              <w:color w:val="auto"/>
              <w:highlight w:val="none"/>
            </w:rPr>
            <w:t>四、竞采有关说明</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_Toc183783131 \h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- 3 -</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fldChar w:fldCharType="end"/>
          </w:r>
        </w:p>
        <w:p w14:paraId="7414568A">
          <w:pPr>
            <w:pStyle w:val="17"/>
            <w:tabs>
              <w:tab w:val="right" w:leader="dot" w:pos="9402"/>
            </w:tabs>
            <w:ind w:left="560"/>
            <w:rPr>
              <w:rFonts w:hint="eastAsia" w:ascii="仿宋" w:hAnsi="仿宋" w:eastAsia="仿宋" w:cs="仿宋"/>
              <w:color w:val="auto"/>
              <w:sz w:val="21"/>
              <w:szCs w:val="22"/>
              <w:highlight w:val="none"/>
              <w14:ligatures w14:val="standardContextual"/>
            </w:rPr>
          </w:pP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HYPERLINK \l "_Toc183783132" </w:instrText>
          </w:r>
          <w:r>
            <w:rPr>
              <w:rFonts w:hint="eastAsia" w:ascii="仿宋" w:hAnsi="仿宋" w:eastAsia="仿宋" w:cs="仿宋"/>
              <w:color w:val="auto"/>
              <w:highlight w:val="none"/>
            </w:rPr>
            <w:fldChar w:fldCharType="separate"/>
          </w:r>
          <w:r>
            <w:rPr>
              <w:rStyle w:val="23"/>
              <w:rFonts w:hint="eastAsia" w:ascii="仿宋" w:hAnsi="仿宋" w:eastAsia="仿宋" w:cs="仿宋"/>
              <w:color w:val="auto"/>
              <w:highlight w:val="none"/>
            </w:rPr>
            <w:t>五、联系方式</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_Toc183783132 \h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- 4 -</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fldChar w:fldCharType="end"/>
          </w:r>
        </w:p>
        <w:p w14:paraId="4B48ECDC">
          <w:pPr>
            <w:pStyle w:val="17"/>
            <w:tabs>
              <w:tab w:val="right" w:leader="dot" w:pos="9402"/>
            </w:tabs>
            <w:ind w:left="560"/>
            <w:rPr>
              <w:rFonts w:hint="eastAsia" w:ascii="仿宋" w:hAnsi="仿宋" w:eastAsia="仿宋" w:cs="仿宋"/>
              <w:color w:val="auto"/>
              <w:sz w:val="21"/>
              <w:szCs w:val="22"/>
              <w:highlight w:val="none"/>
              <w14:ligatures w14:val="standardContextual"/>
            </w:rPr>
          </w:pP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HYPERLINK \l "_Toc183783133" </w:instrText>
          </w:r>
          <w:r>
            <w:rPr>
              <w:rFonts w:hint="eastAsia" w:ascii="仿宋" w:hAnsi="仿宋" w:eastAsia="仿宋" w:cs="仿宋"/>
              <w:color w:val="auto"/>
              <w:highlight w:val="none"/>
            </w:rPr>
            <w:fldChar w:fldCharType="separate"/>
          </w:r>
          <w:r>
            <w:rPr>
              <w:rStyle w:val="23"/>
              <w:rFonts w:hint="eastAsia" w:ascii="仿宋" w:hAnsi="仿宋" w:eastAsia="仿宋" w:cs="仿宋"/>
              <w:color w:val="auto"/>
              <w:highlight w:val="none"/>
            </w:rPr>
            <w:t>六、其它有关规定</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_Toc183783133 \h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- 4 -</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fldChar w:fldCharType="end"/>
          </w:r>
        </w:p>
        <w:p w14:paraId="47B39029">
          <w:pPr>
            <w:pStyle w:val="15"/>
            <w:tabs>
              <w:tab w:val="right" w:leader="dot" w:pos="9402"/>
            </w:tabs>
            <w:ind w:firstLine="600"/>
            <w:rPr>
              <w:rFonts w:hint="eastAsia" w:ascii="仿宋" w:hAnsi="仿宋" w:eastAsia="仿宋" w:cs="仿宋"/>
              <w:color w:val="auto"/>
              <w:sz w:val="21"/>
              <w:szCs w:val="22"/>
              <w:highlight w:val="none"/>
              <w14:ligatures w14:val="standardContextual"/>
            </w:rPr>
          </w:pP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HYPERLINK \l "_Toc183783134" </w:instrText>
          </w:r>
          <w:r>
            <w:rPr>
              <w:rFonts w:hint="eastAsia" w:ascii="仿宋" w:hAnsi="仿宋" w:eastAsia="仿宋" w:cs="仿宋"/>
              <w:color w:val="auto"/>
              <w:highlight w:val="none"/>
            </w:rPr>
            <w:fldChar w:fldCharType="separate"/>
          </w:r>
          <w:r>
            <w:rPr>
              <w:rStyle w:val="23"/>
              <w:rFonts w:hint="eastAsia" w:ascii="仿宋" w:hAnsi="仿宋" w:eastAsia="仿宋" w:cs="仿宋"/>
              <w:color w:val="auto"/>
              <w:highlight w:val="none"/>
            </w:rPr>
            <w:t>第二篇  项目服务需求</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_Toc183783134 \h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- 5 -</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fldChar w:fldCharType="end"/>
          </w:r>
        </w:p>
        <w:p w14:paraId="4EAE3F5F">
          <w:pPr>
            <w:pStyle w:val="17"/>
            <w:tabs>
              <w:tab w:val="right" w:leader="dot" w:pos="9402"/>
            </w:tabs>
            <w:ind w:left="560"/>
            <w:rPr>
              <w:rFonts w:hint="eastAsia" w:ascii="仿宋" w:hAnsi="仿宋" w:eastAsia="仿宋" w:cs="仿宋"/>
              <w:color w:val="auto"/>
              <w:sz w:val="21"/>
              <w:szCs w:val="22"/>
              <w:highlight w:val="none"/>
              <w14:ligatures w14:val="standardContextual"/>
            </w:rPr>
          </w:pP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HYPERLINK \l "_Toc183783135" </w:instrText>
          </w:r>
          <w:r>
            <w:rPr>
              <w:rFonts w:hint="eastAsia" w:ascii="仿宋" w:hAnsi="仿宋" w:eastAsia="仿宋" w:cs="仿宋"/>
              <w:color w:val="auto"/>
              <w:highlight w:val="none"/>
            </w:rPr>
            <w:fldChar w:fldCharType="separate"/>
          </w:r>
          <w:r>
            <w:rPr>
              <w:rStyle w:val="23"/>
              <w:rFonts w:hint="eastAsia" w:ascii="仿宋" w:hAnsi="仿宋" w:eastAsia="仿宋" w:cs="仿宋"/>
              <w:color w:val="auto"/>
              <w:highlight w:val="none"/>
            </w:rPr>
            <w:t>一、招标项目一览表</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_Toc183783135 \h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- 5 -</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fldChar w:fldCharType="end"/>
          </w:r>
        </w:p>
        <w:p w14:paraId="0DC20E7C">
          <w:pPr>
            <w:pStyle w:val="17"/>
            <w:tabs>
              <w:tab w:val="right" w:leader="dot" w:pos="9402"/>
            </w:tabs>
            <w:ind w:left="560"/>
            <w:rPr>
              <w:rFonts w:hint="eastAsia" w:ascii="仿宋" w:hAnsi="仿宋" w:eastAsia="仿宋" w:cs="仿宋"/>
              <w:color w:val="auto"/>
              <w:sz w:val="21"/>
              <w:szCs w:val="22"/>
              <w:highlight w:val="none"/>
              <w14:ligatures w14:val="standardContextual"/>
            </w:rPr>
          </w:pP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HYPERLINK \l "_Toc183783136" </w:instrText>
          </w:r>
          <w:r>
            <w:rPr>
              <w:rFonts w:hint="eastAsia" w:ascii="仿宋" w:hAnsi="仿宋" w:eastAsia="仿宋" w:cs="仿宋"/>
              <w:color w:val="auto"/>
              <w:highlight w:val="none"/>
            </w:rPr>
            <w:fldChar w:fldCharType="separate"/>
          </w:r>
          <w:r>
            <w:rPr>
              <w:rStyle w:val="23"/>
              <w:rFonts w:hint="eastAsia" w:ascii="仿宋" w:hAnsi="仿宋" w:eastAsia="仿宋" w:cs="仿宋"/>
              <w:color w:val="auto"/>
              <w:highlight w:val="none"/>
            </w:rPr>
            <w:t>二、招标项目服务需求</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_Toc183783136 \h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- 5 -</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fldChar w:fldCharType="end"/>
          </w:r>
        </w:p>
        <w:p w14:paraId="68B25EE5">
          <w:pPr>
            <w:pStyle w:val="17"/>
            <w:tabs>
              <w:tab w:val="right" w:leader="dot" w:pos="9402"/>
            </w:tabs>
            <w:ind w:left="560"/>
            <w:rPr>
              <w:rFonts w:hint="eastAsia" w:ascii="仿宋" w:hAnsi="仿宋" w:eastAsia="仿宋" w:cs="仿宋"/>
              <w:color w:val="auto"/>
              <w:sz w:val="21"/>
              <w:szCs w:val="22"/>
              <w:highlight w:val="none"/>
              <w14:ligatures w14:val="standardContextual"/>
            </w:rPr>
          </w:pP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HYPERLINK \l "_Toc183783137" </w:instrText>
          </w:r>
          <w:r>
            <w:rPr>
              <w:rFonts w:hint="eastAsia" w:ascii="仿宋" w:hAnsi="仿宋" w:eastAsia="仿宋" w:cs="仿宋"/>
              <w:color w:val="auto"/>
              <w:highlight w:val="none"/>
            </w:rPr>
            <w:fldChar w:fldCharType="separate"/>
          </w:r>
          <w:r>
            <w:rPr>
              <w:rStyle w:val="23"/>
              <w:rFonts w:hint="eastAsia" w:ascii="仿宋" w:hAnsi="仿宋" w:eastAsia="仿宋" w:cs="仿宋"/>
              <w:color w:val="auto"/>
              <w:highlight w:val="none"/>
            </w:rPr>
            <w:t>三、其他要求</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_Toc183783137 \h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- 5 -</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fldChar w:fldCharType="end"/>
          </w:r>
        </w:p>
        <w:p w14:paraId="1DEF6BB5">
          <w:pPr>
            <w:pStyle w:val="15"/>
            <w:tabs>
              <w:tab w:val="right" w:leader="dot" w:pos="9402"/>
            </w:tabs>
            <w:ind w:firstLine="600"/>
            <w:rPr>
              <w:rFonts w:hint="eastAsia" w:ascii="仿宋" w:hAnsi="仿宋" w:eastAsia="仿宋" w:cs="仿宋"/>
              <w:color w:val="auto"/>
              <w:sz w:val="21"/>
              <w:szCs w:val="22"/>
              <w:highlight w:val="none"/>
              <w14:ligatures w14:val="standardContextual"/>
            </w:rPr>
          </w:pP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HYPERLINK \l "_Toc183783138" </w:instrText>
          </w:r>
          <w:r>
            <w:rPr>
              <w:rFonts w:hint="eastAsia" w:ascii="仿宋" w:hAnsi="仿宋" w:eastAsia="仿宋" w:cs="仿宋"/>
              <w:color w:val="auto"/>
              <w:highlight w:val="none"/>
            </w:rPr>
            <w:fldChar w:fldCharType="separate"/>
          </w:r>
          <w:r>
            <w:rPr>
              <w:rStyle w:val="23"/>
              <w:rFonts w:hint="eastAsia" w:ascii="仿宋" w:hAnsi="仿宋" w:eastAsia="仿宋" w:cs="仿宋"/>
              <w:color w:val="auto"/>
              <w:highlight w:val="none"/>
            </w:rPr>
            <w:t>第三篇 项目商务需求</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_Toc183783138 \h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- 6 -</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fldChar w:fldCharType="end"/>
          </w:r>
        </w:p>
        <w:p w14:paraId="0503C38B">
          <w:pPr>
            <w:pStyle w:val="17"/>
            <w:tabs>
              <w:tab w:val="right" w:leader="dot" w:pos="9402"/>
            </w:tabs>
            <w:ind w:left="560"/>
            <w:rPr>
              <w:rFonts w:hint="eastAsia" w:ascii="仿宋" w:hAnsi="仿宋" w:eastAsia="仿宋" w:cs="仿宋"/>
              <w:color w:val="auto"/>
              <w:sz w:val="21"/>
              <w:szCs w:val="22"/>
              <w:highlight w:val="none"/>
              <w14:ligatures w14:val="standardContextual"/>
            </w:rPr>
          </w:pP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HYPERLINK \l "_Toc183783139" </w:instrText>
          </w:r>
          <w:r>
            <w:rPr>
              <w:rFonts w:hint="eastAsia" w:ascii="仿宋" w:hAnsi="仿宋" w:eastAsia="仿宋" w:cs="仿宋"/>
              <w:color w:val="auto"/>
              <w:highlight w:val="none"/>
            </w:rPr>
            <w:fldChar w:fldCharType="separate"/>
          </w:r>
          <w:r>
            <w:rPr>
              <w:rStyle w:val="23"/>
              <w:rFonts w:hint="eastAsia" w:ascii="仿宋" w:hAnsi="仿宋" w:eastAsia="仿宋" w:cs="仿宋"/>
              <w:color w:val="auto"/>
              <w:highlight w:val="none"/>
            </w:rPr>
            <w:t>一、服务期、地点及验收方式</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_Toc183783139 \h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- 6 -</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fldChar w:fldCharType="end"/>
          </w:r>
        </w:p>
        <w:p w14:paraId="7C71553A">
          <w:pPr>
            <w:pStyle w:val="17"/>
            <w:tabs>
              <w:tab w:val="right" w:leader="dot" w:pos="9402"/>
            </w:tabs>
            <w:ind w:left="560"/>
            <w:rPr>
              <w:rFonts w:hint="eastAsia" w:ascii="仿宋" w:hAnsi="仿宋" w:eastAsia="仿宋" w:cs="仿宋"/>
              <w:color w:val="auto"/>
              <w:sz w:val="21"/>
              <w:szCs w:val="22"/>
              <w:highlight w:val="none"/>
              <w14:ligatures w14:val="standardContextual"/>
            </w:rPr>
          </w:pP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HYPERLINK \l "_Toc183783140" </w:instrText>
          </w:r>
          <w:r>
            <w:rPr>
              <w:rFonts w:hint="eastAsia" w:ascii="仿宋" w:hAnsi="仿宋" w:eastAsia="仿宋" w:cs="仿宋"/>
              <w:color w:val="auto"/>
              <w:highlight w:val="none"/>
            </w:rPr>
            <w:fldChar w:fldCharType="separate"/>
          </w:r>
          <w:r>
            <w:rPr>
              <w:rStyle w:val="23"/>
              <w:rFonts w:hint="eastAsia" w:ascii="仿宋" w:hAnsi="仿宋" w:eastAsia="仿宋" w:cs="仿宋"/>
              <w:color w:val="auto"/>
              <w:highlight w:val="none"/>
            </w:rPr>
            <w:t>二、报价要求</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_Toc183783140 \h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- 6 -</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fldChar w:fldCharType="end"/>
          </w:r>
        </w:p>
        <w:p w14:paraId="22DF98F1">
          <w:pPr>
            <w:pStyle w:val="17"/>
            <w:tabs>
              <w:tab w:val="right" w:leader="dot" w:pos="9402"/>
            </w:tabs>
            <w:ind w:left="560"/>
            <w:rPr>
              <w:rFonts w:hint="eastAsia" w:ascii="仿宋" w:hAnsi="仿宋" w:eastAsia="仿宋" w:cs="仿宋"/>
              <w:color w:val="auto"/>
              <w:sz w:val="21"/>
              <w:szCs w:val="22"/>
              <w:highlight w:val="none"/>
              <w14:ligatures w14:val="standardContextual"/>
            </w:rPr>
          </w:pP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HYPERLINK \l "_Toc183783141" </w:instrText>
          </w:r>
          <w:r>
            <w:rPr>
              <w:rFonts w:hint="eastAsia" w:ascii="仿宋" w:hAnsi="仿宋" w:eastAsia="仿宋" w:cs="仿宋"/>
              <w:color w:val="auto"/>
              <w:highlight w:val="none"/>
            </w:rPr>
            <w:fldChar w:fldCharType="separate"/>
          </w:r>
          <w:r>
            <w:rPr>
              <w:rStyle w:val="23"/>
              <w:rFonts w:hint="eastAsia" w:ascii="仿宋" w:hAnsi="仿宋" w:eastAsia="仿宋" w:cs="仿宋"/>
              <w:color w:val="auto"/>
              <w:highlight w:val="none"/>
            </w:rPr>
            <w:t>三、付款方式</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_Toc183783141 \h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- 6 -</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fldChar w:fldCharType="end"/>
          </w:r>
        </w:p>
        <w:p w14:paraId="76FB2D97">
          <w:pPr>
            <w:pStyle w:val="17"/>
            <w:tabs>
              <w:tab w:val="right" w:leader="dot" w:pos="9402"/>
            </w:tabs>
            <w:ind w:left="560"/>
            <w:rPr>
              <w:rFonts w:hint="eastAsia" w:ascii="仿宋" w:hAnsi="仿宋" w:eastAsia="仿宋" w:cs="仿宋"/>
              <w:color w:val="auto"/>
              <w:sz w:val="21"/>
              <w:szCs w:val="22"/>
              <w:highlight w:val="none"/>
              <w14:ligatures w14:val="standardContextual"/>
            </w:rPr>
          </w:pP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HYPERLINK \l "_Toc183783142" </w:instrText>
          </w:r>
          <w:r>
            <w:rPr>
              <w:rFonts w:hint="eastAsia" w:ascii="仿宋" w:hAnsi="仿宋" w:eastAsia="仿宋" w:cs="仿宋"/>
              <w:color w:val="auto"/>
              <w:highlight w:val="none"/>
            </w:rPr>
            <w:fldChar w:fldCharType="separate"/>
          </w:r>
          <w:r>
            <w:rPr>
              <w:rStyle w:val="23"/>
              <w:rFonts w:hint="eastAsia" w:ascii="仿宋" w:hAnsi="仿宋" w:eastAsia="仿宋" w:cs="仿宋"/>
              <w:color w:val="auto"/>
              <w:highlight w:val="none"/>
            </w:rPr>
            <w:t>四、安全责任</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_Toc183783142 \h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- 7 -</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fldChar w:fldCharType="end"/>
          </w:r>
        </w:p>
        <w:p w14:paraId="1D10E41B">
          <w:pPr>
            <w:pStyle w:val="17"/>
            <w:tabs>
              <w:tab w:val="right" w:leader="dot" w:pos="9402"/>
            </w:tabs>
            <w:ind w:left="560"/>
            <w:rPr>
              <w:rFonts w:hint="eastAsia" w:ascii="仿宋" w:hAnsi="仿宋" w:eastAsia="仿宋" w:cs="仿宋"/>
              <w:color w:val="auto"/>
              <w:sz w:val="21"/>
              <w:szCs w:val="22"/>
              <w:highlight w:val="none"/>
              <w14:ligatures w14:val="standardContextual"/>
            </w:rPr>
          </w:pP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HYPERLINK \l "_Toc183783143" </w:instrText>
          </w:r>
          <w:r>
            <w:rPr>
              <w:rFonts w:hint="eastAsia" w:ascii="仿宋" w:hAnsi="仿宋" w:eastAsia="仿宋" w:cs="仿宋"/>
              <w:color w:val="auto"/>
              <w:highlight w:val="none"/>
            </w:rPr>
            <w:fldChar w:fldCharType="separate"/>
          </w:r>
          <w:r>
            <w:rPr>
              <w:rStyle w:val="23"/>
              <w:rFonts w:hint="eastAsia" w:ascii="仿宋" w:hAnsi="仿宋" w:eastAsia="仿宋" w:cs="仿宋"/>
              <w:color w:val="auto"/>
              <w:highlight w:val="none"/>
            </w:rPr>
            <w:t>五、其他商务要求内容</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_Toc183783143 \h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- 7 -</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fldChar w:fldCharType="end"/>
          </w:r>
        </w:p>
        <w:p w14:paraId="2C0BA92A">
          <w:pPr>
            <w:pStyle w:val="15"/>
            <w:tabs>
              <w:tab w:val="right" w:leader="dot" w:pos="9402"/>
            </w:tabs>
            <w:ind w:firstLine="600"/>
            <w:rPr>
              <w:rFonts w:hint="eastAsia" w:ascii="仿宋" w:hAnsi="仿宋" w:eastAsia="仿宋" w:cs="仿宋"/>
              <w:color w:val="auto"/>
              <w:sz w:val="21"/>
              <w:szCs w:val="22"/>
              <w:highlight w:val="none"/>
              <w14:ligatures w14:val="standardContextual"/>
            </w:rPr>
          </w:pP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HYPERLINK \l "_Toc183783144" </w:instrText>
          </w:r>
          <w:r>
            <w:rPr>
              <w:rFonts w:hint="eastAsia" w:ascii="仿宋" w:hAnsi="仿宋" w:eastAsia="仿宋" w:cs="仿宋"/>
              <w:color w:val="auto"/>
              <w:highlight w:val="none"/>
            </w:rPr>
            <w:fldChar w:fldCharType="separate"/>
          </w:r>
          <w:r>
            <w:rPr>
              <w:rStyle w:val="23"/>
              <w:rFonts w:hint="eastAsia" w:ascii="仿宋" w:hAnsi="仿宋" w:eastAsia="仿宋" w:cs="仿宋"/>
              <w:color w:val="auto"/>
              <w:highlight w:val="none"/>
            </w:rPr>
            <w:t>第四篇  竞采程序、评标办法、无效响应及采购终止</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_Toc183783144 \h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- 8 -</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fldChar w:fldCharType="end"/>
          </w:r>
        </w:p>
        <w:p w14:paraId="5665836D">
          <w:pPr>
            <w:pStyle w:val="17"/>
            <w:tabs>
              <w:tab w:val="right" w:leader="dot" w:pos="9402"/>
            </w:tabs>
            <w:ind w:left="560"/>
            <w:rPr>
              <w:rFonts w:hint="eastAsia" w:ascii="仿宋" w:hAnsi="仿宋" w:eastAsia="仿宋" w:cs="仿宋"/>
              <w:color w:val="auto"/>
              <w:sz w:val="21"/>
              <w:szCs w:val="22"/>
              <w:highlight w:val="none"/>
              <w14:ligatures w14:val="standardContextual"/>
            </w:rPr>
          </w:pP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HYPERLINK \l "_Toc183783145" </w:instrText>
          </w:r>
          <w:r>
            <w:rPr>
              <w:rFonts w:hint="eastAsia" w:ascii="仿宋" w:hAnsi="仿宋" w:eastAsia="仿宋" w:cs="仿宋"/>
              <w:color w:val="auto"/>
              <w:highlight w:val="none"/>
            </w:rPr>
            <w:fldChar w:fldCharType="separate"/>
          </w:r>
          <w:r>
            <w:rPr>
              <w:rStyle w:val="23"/>
              <w:rFonts w:hint="eastAsia" w:ascii="仿宋" w:hAnsi="仿宋" w:eastAsia="仿宋" w:cs="仿宋"/>
              <w:color w:val="auto"/>
              <w:highlight w:val="none"/>
            </w:rPr>
            <w:t>一、网上竞采程序</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_Toc183783145 \h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- 8 -</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fldChar w:fldCharType="end"/>
          </w:r>
        </w:p>
        <w:p w14:paraId="0F6FDE44">
          <w:pPr>
            <w:pStyle w:val="17"/>
            <w:tabs>
              <w:tab w:val="right" w:leader="dot" w:pos="9402"/>
            </w:tabs>
            <w:ind w:left="560"/>
            <w:rPr>
              <w:rFonts w:hint="eastAsia" w:ascii="仿宋" w:hAnsi="仿宋" w:eastAsia="仿宋" w:cs="仿宋"/>
              <w:color w:val="auto"/>
              <w:sz w:val="21"/>
              <w:szCs w:val="22"/>
              <w:highlight w:val="none"/>
              <w14:ligatures w14:val="standardContextual"/>
            </w:rPr>
          </w:pP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HYPERLINK \l "_Toc183783146" </w:instrText>
          </w:r>
          <w:r>
            <w:rPr>
              <w:rFonts w:hint="eastAsia" w:ascii="仿宋" w:hAnsi="仿宋" w:eastAsia="仿宋" w:cs="仿宋"/>
              <w:color w:val="auto"/>
              <w:highlight w:val="none"/>
            </w:rPr>
            <w:fldChar w:fldCharType="separate"/>
          </w:r>
          <w:r>
            <w:rPr>
              <w:rStyle w:val="23"/>
              <w:rFonts w:hint="eastAsia" w:ascii="仿宋" w:hAnsi="仿宋" w:eastAsia="仿宋" w:cs="仿宋"/>
              <w:color w:val="auto"/>
              <w:highlight w:val="none"/>
            </w:rPr>
            <w:t>二、评审标准</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_Toc183783146 \h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- 9 -</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fldChar w:fldCharType="end"/>
          </w:r>
        </w:p>
        <w:p w14:paraId="51AE9F3C">
          <w:pPr>
            <w:pStyle w:val="17"/>
            <w:tabs>
              <w:tab w:val="right" w:leader="dot" w:pos="9402"/>
            </w:tabs>
            <w:ind w:left="560"/>
            <w:rPr>
              <w:rFonts w:hint="eastAsia" w:ascii="仿宋" w:hAnsi="仿宋" w:eastAsia="仿宋" w:cs="仿宋"/>
              <w:color w:val="auto"/>
              <w:sz w:val="21"/>
              <w:szCs w:val="22"/>
              <w:highlight w:val="none"/>
              <w14:ligatures w14:val="standardContextual"/>
            </w:rPr>
          </w:pP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HYPERLINK \l "_Toc183783147" </w:instrText>
          </w:r>
          <w:r>
            <w:rPr>
              <w:rFonts w:hint="eastAsia" w:ascii="仿宋" w:hAnsi="仿宋" w:eastAsia="仿宋" w:cs="仿宋"/>
              <w:color w:val="auto"/>
              <w:highlight w:val="none"/>
            </w:rPr>
            <w:fldChar w:fldCharType="separate"/>
          </w:r>
          <w:r>
            <w:rPr>
              <w:rStyle w:val="23"/>
              <w:rFonts w:hint="eastAsia" w:ascii="仿宋" w:hAnsi="仿宋" w:eastAsia="仿宋" w:cs="仿宋"/>
              <w:color w:val="auto"/>
              <w:highlight w:val="none"/>
            </w:rPr>
            <w:t>三、无效响应</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_Toc183783147 \h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- 12 -</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fldChar w:fldCharType="end"/>
          </w:r>
        </w:p>
        <w:p w14:paraId="331F940B">
          <w:pPr>
            <w:pStyle w:val="17"/>
            <w:tabs>
              <w:tab w:val="right" w:leader="dot" w:pos="9402"/>
            </w:tabs>
            <w:ind w:left="560"/>
            <w:rPr>
              <w:rFonts w:hint="eastAsia" w:ascii="仿宋" w:hAnsi="仿宋" w:eastAsia="仿宋" w:cs="仿宋"/>
              <w:color w:val="auto"/>
              <w:sz w:val="21"/>
              <w:szCs w:val="22"/>
              <w:highlight w:val="none"/>
              <w14:ligatures w14:val="standardContextual"/>
            </w:rPr>
          </w:pP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HYPERLINK \l "_Toc183783148" </w:instrText>
          </w:r>
          <w:r>
            <w:rPr>
              <w:rFonts w:hint="eastAsia" w:ascii="仿宋" w:hAnsi="仿宋" w:eastAsia="仿宋" w:cs="仿宋"/>
              <w:color w:val="auto"/>
              <w:highlight w:val="none"/>
            </w:rPr>
            <w:fldChar w:fldCharType="separate"/>
          </w:r>
          <w:r>
            <w:rPr>
              <w:rStyle w:val="23"/>
              <w:rFonts w:hint="eastAsia" w:ascii="仿宋" w:hAnsi="仿宋" w:eastAsia="仿宋" w:cs="仿宋"/>
              <w:color w:val="auto"/>
              <w:highlight w:val="none"/>
            </w:rPr>
            <w:t>四、采购终止</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_Toc183783148 \h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- 12 -</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fldChar w:fldCharType="end"/>
          </w:r>
        </w:p>
        <w:p w14:paraId="5D7F3C44">
          <w:pPr>
            <w:pStyle w:val="15"/>
            <w:tabs>
              <w:tab w:val="right" w:leader="dot" w:pos="9402"/>
            </w:tabs>
            <w:ind w:firstLine="600"/>
            <w:rPr>
              <w:rFonts w:hint="eastAsia" w:ascii="仿宋" w:hAnsi="仿宋" w:eastAsia="仿宋" w:cs="仿宋"/>
              <w:color w:val="auto"/>
              <w:sz w:val="21"/>
              <w:szCs w:val="22"/>
              <w:highlight w:val="none"/>
              <w14:ligatures w14:val="standardContextual"/>
            </w:rPr>
          </w:pP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HYPERLINK \l "_Toc183783149" </w:instrText>
          </w:r>
          <w:r>
            <w:rPr>
              <w:rFonts w:hint="eastAsia" w:ascii="仿宋" w:hAnsi="仿宋" w:eastAsia="仿宋" w:cs="仿宋"/>
              <w:color w:val="auto"/>
              <w:highlight w:val="none"/>
            </w:rPr>
            <w:fldChar w:fldCharType="separate"/>
          </w:r>
          <w:r>
            <w:rPr>
              <w:rStyle w:val="23"/>
              <w:rFonts w:hint="eastAsia" w:ascii="仿宋" w:hAnsi="仿宋" w:eastAsia="仿宋" w:cs="仿宋"/>
              <w:color w:val="auto"/>
              <w:highlight w:val="none"/>
            </w:rPr>
            <w:t xml:space="preserve">第五篇 </w:t>
          </w:r>
          <w:r>
            <w:rPr>
              <w:rStyle w:val="23"/>
              <w:rFonts w:hint="eastAsia" w:ascii="仿宋" w:hAnsi="仿宋" w:eastAsia="仿宋" w:cs="仿宋"/>
              <w:color w:val="auto"/>
              <w:highlight w:val="none"/>
              <w:lang w:val="en-US" w:eastAsia="zh-CN"/>
            </w:rPr>
            <w:t xml:space="preserve"> </w:t>
          </w:r>
          <w:r>
            <w:rPr>
              <w:rStyle w:val="23"/>
              <w:rFonts w:hint="eastAsia" w:ascii="仿宋" w:hAnsi="仿宋" w:eastAsia="仿宋" w:cs="仿宋"/>
              <w:color w:val="auto"/>
              <w:highlight w:val="none"/>
              <w:lang w:eastAsia="zh-CN"/>
            </w:rPr>
            <w:t>供应商</w:t>
          </w:r>
          <w:r>
            <w:rPr>
              <w:rStyle w:val="23"/>
              <w:rFonts w:hint="eastAsia" w:ascii="仿宋" w:hAnsi="仿宋" w:eastAsia="仿宋" w:cs="仿宋"/>
              <w:color w:val="auto"/>
              <w:highlight w:val="none"/>
            </w:rPr>
            <w:t>须知</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_Toc183783149 \h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- 13 -</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fldChar w:fldCharType="end"/>
          </w:r>
        </w:p>
        <w:p w14:paraId="7537E779">
          <w:pPr>
            <w:pStyle w:val="17"/>
            <w:tabs>
              <w:tab w:val="right" w:leader="dot" w:pos="9402"/>
            </w:tabs>
            <w:ind w:left="560"/>
            <w:rPr>
              <w:rFonts w:hint="eastAsia" w:ascii="仿宋" w:hAnsi="仿宋" w:eastAsia="仿宋" w:cs="仿宋"/>
              <w:color w:val="auto"/>
              <w:sz w:val="21"/>
              <w:szCs w:val="22"/>
              <w:highlight w:val="none"/>
              <w14:ligatures w14:val="standardContextual"/>
            </w:rPr>
          </w:pP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HYPERLINK \l "_Toc183783150" </w:instrText>
          </w:r>
          <w:r>
            <w:rPr>
              <w:rFonts w:hint="eastAsia" w:ascii="仿宋" w:hAnsi="仿宋" w:eastAsia="仿宋" w:cs="仿宋"/>
              <w:color w:val="auto"/>
              <w:highlight w:val="none"/>
            </w:rPr>
            <w:fldChar w:fldCharType="separate"/>
          </w:r>
          <w:r>
            <w:rPr>
              <w:rStyle w:val="23"/>
              <w:rFonts w:hint="eastAsia" w:ascii="仿宋" w:hAnsi="仿宋" w:eastAsia="仿宋" w:cs="仿宋"/>
              <w:color w:val="auto"/>
              <w:highlight w:val="none"/>
            </w:rPr>
            <w:t>一、竞采费用</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_Toc183783150 \h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- 13 -</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fldChar w:fldCharType="end"/>
          </w:r>
        </w:p>
        <w:p w14:paraId="7CB806F0">
          <w:pPr>
            <w:pStyle w:val="17"/>
            <w:tabs>
              <w:tab w:val="right" w:leader="dot" w:pos="9402"/>
            </w:tabs>
            <w:ind w:left="560"/>
            <w:rPr>
              <w:rFonts w:hint="eastAsia" w:ascii="仿宋" w:hAnsi="仿宋" w:eastAsia="仿宋" w:cs="仿宋"/>
              <w:color w:val="auto"/>
              <w:sz w:val="21"/>
              <w:szCs w:val="22"/>
              <w:highlight w:val="none"/>
              <w14:ligatures w14:val="standardContextual"/>
            </w:rPr>
          </w:pP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HYPERLINK \l "_Toc183783151" </w:instrText>
          </w:r>
          <w:r>
            <w:rPr>
              <w:rFonts w:hint="eastAsia" w:ascii="仿宋" w:hAnsi="仿宋" w:eastAsia="仿宋" w:cs="仿宋"/>
              <w:color w:val="auto"/>
              <w:highlight w:val="none"/>
            </w:rPr>
            <w:fldChar w:fldCharType="separate"/>
          </w:r>
          <w:r>
            <w:rPr>
              <w:rStyle w:val="23"/>
              <w:rFonts w:hint="eastAsia" w:ascii="仿宋" w:hAnsi="仿宋" w:eastAsia="仿宋" w:cs="仿宋"/>
              <w:color w:val="auto"/>
              <w:highlight w:val="none"/>
            </w:rPr>
            <w:t>二、竞采文件</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_Toc183783151 \h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- 13 -</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fldChar w:fldCharType="end"/>
          </w:r>
        </w:p>
        <w:p w14:paraId="3AEF1A4D">
          <w:pPr>
            <w:pStyle w:val="17"/>
            <w:tabs>
              <w:tab w:val="right" w:leader="dot" w:pos="9402"/>
            </w:tabs>
            <w:ind w:left="560"/>
            <w:rPr>
              <w:rFonts w:hint="eastAsia" w:ascii="仿宋" w:hAnsi="仿宋" w:eastAsia="仿宋" w:cs="仿宋"/>
              <w:color w:val="auto"/>
              <w:sz w:val="21"/>
              <w:szCs w:val="22"/>
              <w:highlight w:val="none"/>
              <w14:ligatures w14:val="standardContextual"/>
            </w:rPr>
          </w:pP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HYPERLINK \l "_Toc183783152" </w:instrText>
          </w:r>
          <w:r>
            <w:rPr>
              <w:rFonts w:hint="eastAsia" w:ascii="仿宋" w:hAnsi="仿宋" w:eastAsia="仿宋" w:cs="仿宋"/>
              <w:color w:val="auto"/>
              <w:highlight w:val="none"/>
            </w:rPr>
            <w:fldChar w:fldCharType="separate"/>
          </w:r>
          <w:r>
            <w:rPr>
              <w:rStyle w:val="23"/>
              <w:rFonts w:hint="eastAsia" w:ascii="仿宋" w:hAnsi="仿宋" w:eastAsia="仿宋" w:cs="仿宋"/>
              <w:color w:val="auto"/>
              <w:highlight w:val="none"/>
            </w:rPr>
            <w:t>三、竞采要求</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_Toc183783152 \h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- 13 -</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fldChar w:fldCharType="end"/>
          </w:r>
        </w:p>
        <w:p w14:paraId="01D0D238">
          <w:pPr>
            <w:pStyle w:val="17"/>
            <w:tabs>
              <w:tab w:val="right" w:leader="dot" w:pos="9402"/>
            </w:tabs>
            <w:ind w:left="560"/>
            <w:rPr>
              <w:rFonts w:hint="eastAsia" w:ascii="仿宋" w:hAnsi="仿宋" w:eastAsia="仿宋" w:cs="仿宋"/>
              <w:color w:val="auto"/>
              <w:sz w:val="21"/>
              <w:szCs w:val="22"/>
              <w:highlight w:val="none"/>
              <w14:ligatures w14:val="standardContextual"/>
            </w:rPr>
          </w:pP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HYPERLINK \l "_Toc183783153" </w:instrText>
          </w:r>
          <w:r>
            <w:rPr>
              <w:rFonts w:hint="eastAsia" w:ascii="仿宋" w:hAnsi="仿宋" w:eastAsia="仿宋" w:cs="仿宋"/>
              <w:color w:val="auto"/>
              <w:highlight w:val="none"/>
            </w:rPr>
            <w:fldChar w:fldCharType="separate"/>
          </w:r>
          <w:r>
            <w:rPr>
              <w:rStyle w:val="23"/>
              <w:rFonts w:hint="eastAsia" w:ascii="仿宋" w:hAnsi="仿宋" w:eastAsia="仿宋" w:cs="仿宋"/>
              <w:color w:val="auto"/>
              <w:highlight w:val="none"/>
            </w:rPr>
            <w:t>五、成交通知</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_Toc183783153 \h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- 14 -</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fldChar w:fldCharType="end"/>
          </w:r>
        </w:p>
        <w:p w14:paraId="431D6471">
          <w:pPr>
            <w:pStyle w:val="17"/>
            <w:tabs>
              <w:tab w:val="right" w:leader="dot" w:pos="9402"/>
            </w:tabs>
            <w:ind w:left="560"/>
            <w:rPr>
              <w:rFonts w:hint="eastAsia" w:ascii="仿宋" w:hAnsi="仿宋" w:eastAsia="仿宋" w:cs="仿宋"/>
              <w:color w:val="auto"/>
              <w:sz w:val="21"/>
              <w:szCs w:val="22"/>
              <w:highlight w:val="none"/>
              <w14:ligatures w14:val="standardContextual"/>
            </w:rPr>
          </w:pP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HYPERLINK \l "_Toc183783154" </w:instrText>
          </w:r>
          <w:r>
            <w:rPr>
              <w:rFonts w:hint="eastAsia" w:ascii="仿宋" w:hAnsi="仿宋" w:eastAsia="仿宋" w:cs="仿宋"/>
              <w:color w:val="auto"/>
              <w:highlight w:val="none"/>
            </w:rPr>
            <w:fldChar w:fldCharType="separate"/>
          </w:r>
          <w:r>
            <w:rPr>
              <w:rStyle w:val="23"/>
              <w:rFonts w:hint="eastAsia" w:ascii="仿宋" w:hAnsi="仿宋" w:eastAsia="仿宋" w:cs="仿宋"/>
              <w:color w:val="auto"/>
              <w:highlight w:val="none"/>
            </w:rPr>
            <w:t>六、关于质疑和投诉</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_Toc183783154 \h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- 14 -</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fldChar w:fldCharType="end"/>
          </w:r>
        </w:p>
        <w:p w14:paraId="59A32270">
          <w:pPr>
            <w:pStyle w:val="17"/>
            <w:tabs>
              <w:tab w:val="right" w:leader="dot" w:pos="9402"/>
            </w:tabs>
            <w:ind w:left="560"/>
            <w:rPr>
              <w:rFonts w:hint="eastAsia" w:ascii="仿宋" w:hAnsi="仿宋" w:eastAsia="仿宋" w:cs="仿宋"/>
              <w:color w:val="auto"/>
              <w:sz w:val="21"/>
              <w:szCs w:val="22"/>
              <w:highlight w:val="none"/>
              <w14:ligatures w14:val="standardContextual"/>
            </w:rPr>
          </w:pP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HYPERLINK \l "_Toc183783155" </w:instrText>
          </w:r>
          <w:r>
            <w:rPr>
              <w:rFonts w:hint="eastAsia" w:ascii="仿宋" w:hAnsi="仿宋" w:eastAsia="仿宋" w:cs="仿宋"/>
              <w:color w:val="auto"/>
              <w:highlight w:val="none"/>
            </w:rPr>
            <w:fldChar w:fldCharType="separate"/>
          </w:r>
          <w:r>
            <w:rPr>
              <w:rStyle w:val="23"/>
              <w:rFonts w:hint="eastAsia" w:ascii="仿宋" w:hAnsi="仿宋" w:eastAsia="仿宋" w:cs="仿宋"/>
              <w:color w:val="auto"/>
              <w:highlight w:val="none"/>
            </w:rPr>
            <w:t>七、采购代理服务费</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_Toc183783155 \h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- 15 -</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fldChar w:fldCharType="end"/>
          </w:r>
        </w:p>
        <w:p w14:paraId="626CF5EE">
          <w:pPr>
            <w:pStyle w:val="17"/>
            <w:tabs>
              <w:tab w:val="right" w:leader="dot" w:pos="9402"/>
            </w:tabs>
            <w:ind w:left="560"/>
            <w:rPr>
              <w:rFonts w:hint="eastAsia" w:ascii="仿宋" w:hAnsi="仿宋" w:eastAsia="仿宋" w:cs="仿宋"/>
              <w:color w:val="auto"/>
              <w:sz w:val="21"/>
              <w:szCs w:val="22"/>
              <w:highlight w:val="none"/>
              <w14:ligatures w14:val="standardContextual"/>
            </w:rPr>
          </w:pP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HYPERLINK \l "_Toc183783156" </w:instrText>
          </w:r>
          <w:r>
            <w:rPr>
              <w:rFonts w:hint="eastAsia" w:ascii="仿宋" w:hAnsi="仿宋" w:eastAsia="仿宋" w:cs="仿宋"/>
              <w:color w:val="auto"/>
              <w:highlight w:val="none"/>
            </w:rPr>
            <w:fldChar w:fldCharType="separate"/>
          </w:r>
          <w:r>
            <w:rPr>
              <w:rStyle w:val="23"/>
              <w:rFonts w:hint="eastAsia" w:ascii="仿宋" w:hAnsi="仿宋" w:eastAsia="仿宋" w:cs="仿宋"/>
              <w:color w:val="auto"/>
              <w:highlight w:val="none"/>
            </w:rPr>
            <w:t>八、签订合同</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_Toc183783156 \h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- 15 -</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fldChar w:fldCharType="end"/>
          </w:r>
        </w:p>
        <w:p w14:paraId="0923A419">
          <w:pPr>
            <w:pStyle w:val="17"/>
            <w:tabs>
              <w:tab w:val="right" w:leader="dot" w:pos="9402"/>
            </w:tabs>
            <w:ind w:left="560"/>
            <w:rPr>
              <w:rFonts w:hint="eastAsia" w:ascii="仿宋" w:hAnsi="仿宋" w:eastAsia="仿宋" w:cs="仿宋"/>
              <w:color w:val="auto"/>
              <w:sz w:val="21"/>
              <w:szCs w:val="22"/>
              <w:highlight w:val="none"/>
              <w14:ligatures w14:val="standardContextual"/>
            </w:rPr>
          </w:pP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HYPERLINK \l "_Toc183783157" </w:instrText>
          </w:r>
          <w:r>
            <w:rPr>
              <w:rFonts w:hint="eastAsia" w:ascii="仿宋" w:hAnsi="仿宋" w:eastAsia="仿宋" w:cs="仿宋"/>
              <w:color w:val="auto"/>
              <w:highlight w:val="none"/>
            </w:rPr>
            <w:fldChar w:fldCharType="separate"/>
          </w:r>
          <w:r>
            <w:rPr>
              <w:rStyle w:val="23"/>
              <w:rFonts w:hint="eastAsia" w:ascii="仿宋" w:hAnsi="仿宋" w:eastAsia="仿宋" w:cs="仿宋"/>
              <w:color w:val="auto"/>
              <w:highlight w:val="none"/>
            </w:rPr>
            <w:t>九、项目验收</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_Toc183783157 \h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- 15 -</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fldChar w:fldCharType="end"/>
          </w:r>
        </w:p>
        <w:p w14:paraId="375B177E">
          <w:pPr>
            <w:pStyle w:val="15"/>
            <w:tabs>
              <w:tab w:val="right" w:leader="dot" w:pos="9402"/>
            </w:tabs>
            <w:ind w:firstLine="600"/>
            <w:rPr>
              <w:rFonts w:hint="eastAsia" w:ascii="仿宋" w:hAnsi="仿宋" w:eastAsia="仿宋" w:cs="仿宋"/>
              <w:color w:val="auto"/>
              <w:sz w:val="21"/>
              <w:szCs w:val="22"/>
              <w:highlight w:val="none"/>
              <w14:ligatures w14:val="standardContextual"/>
            </w:rPr>
          </w:pP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HYPERLINK \l "_Toc183783158" </w:instrText>
          </w:r>
          <w:r>
            <w:rPr>
              <w:rFonts w:hint="eastAsia" w:ascii="仿宋" w:hAnsi="仿宋" w:eastAsia="仿宋" w:cs="仿宋"/>
              <w:color w:val="auto"/>
              <w:highlight w:val="none"/>
            </w:rPr>
            <w:fldChar w:fldCharType="separate"/>
          </w:r>
          <w:r>
            <w:rPr>
              <w:rStyle w:val="23"/>
              <w:rFonts w:hint="eastAsia" w:ascii="仿宋" w:hAnsi="仿宋" w:eastAsia="仿宋" w:cs="仿宋"/>
              <w:color w:val="auto"/>
              <w:highlight w:val="none"/>
            </w:rPr>
            <w:t>第六篇  网上竞采合同（格式）</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_Toc183783158 \h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- 16 -</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fldChar w:fldCharType="end"/>
          </w:r>
        </w:p>
        <w:p w14:paraId="3CA11065">
          <w:pPr>
            <w:pStyle w:val="15"/>
            <w:tabs>
              <w:tab w:val="right" w:leader="dot" w:pos="9402"/>
            </w:tabs>
            <w:ind w:firstLine="600"/>
            <w:rPr>
              <w:rFonts w:hint="eastAsia" w:ascii="仿宋" w:hAnsi="仿宋" w:eastAsia="仿宋" w:cs="仿宋"/>
              <w:color w:val="auto"/>
              <w:sz w:val="21"/>
              <w:szCs w:val="22"/>
              <w:highlight w:val="none"/>
              <w14:ligatures w14:val="standardContextual"/>
            </w:rPr>
          </w:pP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HYPERLINK \l "_Toc183783159" </w:instrText>
          </w:r>
          <w:r>
            <w:rPr>
              <w:rFonts w:hint="eastAsia" w:ascii="仿宋" w:hAnsi="仿宋" w:eastAsia="仿宋" w:cs="仿宋"/>
              <w:color w:val="auto"/>
              <w:highlight w:val="none"/>
            </w:rPr>
            <w:fldChar w:fldCharType="separate"/>
          </w:r>
          <w:r>
            <w:rPr>
              <w:rStyle w:val="23"/>
              <w:rFonts w:hint="eastAsia" w:ascii="仿宋" w:hAnsi="仿宋" w:eastAsia="仿宋" w:cs="仿宋"/>
              <w:color w:val="auto"/>
              <w:highlight w:val="none"/>
            </w:rPr>
            <w:t>第七篇  响应文件编制要求</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_Toc183783159 \h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- 23 -</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fldChar w:fldCharType="end"/>
          </w:r>
        </w:p>
        <w:p w14:paraId="09FEC172">
          <w:pPr>
            <w:pStyle w:val="17"/>
            <w:tabs>
              <w:tab w:val="right" w:leader="dot" w:pos="9402"/>
            </w:tabs>
            <w:ind w:left="560"/>
            <w:rPr>
              <w:rFonts w:hint="eastAsia" w:ascii="仿宋" w:hAnsi="仿宋" w:eastAsia="仿宋" w:cs="仿宋"/>
              <w:color w:val="auto"/>
              <w:sz w:val="21"/>
              <w:szCs w:val="22"/>
              <w:highlight w:val="none"/>
              <w14:ligatures w14:val="standardContextual"/>
            </w:rPr>
          </w:pP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HYPERLINK \l "_Toc183783160" </w:instrText>
          </w:r>
          <w:r>
            <w:rPr>
              <w:rFonts w:hint="eastAsia" w:ascii="仿宋" w:hAnsi="仿宋" w:eastAsia="仿宋" w:cs="仿宋"/>
              <w:color w:val="auto"/>
              <w:highlight w:val="none"/>
            </w:rPr>
            <w:fldChar w:fldCharType="separate"/>
          </w:r>
          <w:r>
            <w:rPr>
              <w:rStyle w:val="23"/>
              <w:rFonts w:hint="eastAsia" w:ascii="仿宋" w:hAnsi="仿宋" w:eastAsia="仿宋" w:cs="仿宋"/>
              <w:color w:val="auto"/>
              <w:highlight w:val="none"/>
            </w:rPr>
            <w:t>一、经济部分</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_Toc183783160 \h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- 24 -</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fldChar w:fldCharType="end"/>
          </w:r>
        </w:p>
        <w:p w14:paraId="0D4FE239">
          <w:pPr>
            <w:pStyle w:val="17"/>
            <w:tabs>
              <w:tab w:val="right" w:leader="dot" w:pos="9402"/>
            </w:tabs>
            <w:ind w:left="560"/>
            <w:rPr>
              <w:rFonts w:hint="eastAsia" w:ascii="仿宋" w:hAnsi="仿宋" w:eastAsia="仿宋" w:cs="仿宋"/>
              <w:color w:val="auto"/>
              <w:sz w:val="21"/>
              <w:szCs w:val="22"/>
              <w:highlight w:val="none"/>
              <w14:ligatures w14:val="standardContextual"/>
            </w:rPr>
          </w:pP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HYPERLINK \l "_Toc183783161" </w:instrText>
          </w:r>
          <w:r>
            <w:rPr>
              <w:rFonts w:hint="eastAsia" w:ascii="仿宋" w:hAnsi="仿宋" w:eastAsia="仿宋" w:cs="仿宋"/>
              <w:color w:val="auto"/>
              <w:highlight w:val="none"/>
            </w:rPr>
            <w:fldChar w:fldCharType="separate"/>
          </w:r>
          <w:r>
            <w:rPr>
              <w:rStyle w:val="23"/>
              <w:rFonts w:hint="eastAsia" w:ascii="仿宋" w:hAnsi="仿宋" w:eastAsia="仿宋" w:cs="仿宋"/>
              <w:color w:val="auto"/>
              <w:highlight w:val="none"/>
            </w:rPr>
            <w:t>二、服务部分</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_Toc183783161 \h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- 26 -</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fldChar w:fldCharType="end"/>
          </w:r>
        </w:p>
        <w:p w14:paraId="4CA653D6">
          <w:pPr>
            <w:pStyle w:val="17"/>
            <w:tabs>
              <w:tab w:val="right" w:leader="dot" w:pos="9402"/>
            </w:tabs>
            <w:ind w:left="560"/>
            <w:rPr>
              <w:rFonts w:hint="eastAsia" w:ascii="仿宋" w:hAnsi="仿宋" w:eastAsia="仿宋" w:cs="仿宋"/>
              <w:color w:val="auto"/>
              <w:sz w:val="21"/>
              <w:szCs w:val="22"/>
              <w:highlight w:val="none"/>
              <w14:ligatures w14:val="standardContextual"/>
            </w:rPr>
          </w:pP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HYPERLINK \l "_Toc183783162" </w:instrText>
          </w:r>
          <w:r>
            <w:rPr>
              <w:rFonts w:hint="eastAsia" w:ascii="仿宋" w:hAnsi="仿宋" w:eastAsia="仿宋" w:cs="仿宋"/>
              <w:color w:val="auto"/>
              <w:highlight w:val="none"/>
            </w:rPr>
            <w:fldChar w:fldCharType="separate"/>
          </w:r>
          <w:r>
            <w:rPr>
              <w:rStyle w:val="23"/>
              <w:rFonts w:hint="eastAsia" w:ascii="仿宋" w:hAnsi="仿宋" w:eastAsia="仿宋" w:cs="仿宋"/>
              <w:color w:val="auto"/>
              <w:highlight w:val="none"/>
            </w:rPr>
            <w:t>三、商务文件</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_Toc183783162 \h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- 27 -</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fldChar w:fldCharType="end"/>
          </w:r>
        </w:p>
        <w:p w14:paraId="23EB1C40">
          <w:pPr>
            <w:pStyle w:val="17"/>
            <w:tabs>
              <w:tab w:val="right" w:leader="dot" w:pos="9402"/>
            </w:tabs>
            <w:ind w:left="560"/>
            <w:rPr>
              <w:rFonts w:hint="eastAsia" w:ascii="仿宋" w:hAnsi="仿宋" w:eastAsia="仿宋" w:cs="仿宋"/>
              <w:color w:val="auto"/>
              <w:sz w:val="21"/>
              <w:szCs w:val="22"/>
              <w:highlight w:val="none"/>
              <w14:ligatures w14:val="standardContextual"/>
            </w:rPr>
          </w:pP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HYPERLINK \l "_Toc183783163" </w:instrText>
          </w:r>
          <w:r>
            <w:rPr>
              <w:rFonts w:hint="eastAsia" w:ascii="仿宋" w:hAnsi="仿宋" w:eastAsia="仿宋" w:cs="仿宋"/>
              <w:color w:val="auto"/>
              <w:highlight w:val="none"/>
            </w:rPr>
            <w:fldChar w:fldCharType="separate"/>
          </w:r>
          <w:r>
            <w:rPr>
              <w:rStyle w:val="23"/>
              <w:rFonts w:hint="eastAsia" w:ascii="仿宋" w:hAnsi="仿宋" w:eastAsia="仿宋" w:cs="仿宋"/>
              <w:color w:val="auto"/>
              <w:highlight w:val="none"/>
            </w:rPr>
            <w:t>四、资格证明文件</w:t>
          </w:r>
          <w:r>
            <w:rPr>
              <w:rFonts w:hint="eastAsia" w:ascii="仿宋" w:hAnsi="仿宋" w:eastAsia="仿宋" w:cs="仿宋"/>
              <w:color w:val="auto"/>
              <w:highlight w:val="none"/>
            </w:rPr>
            <w:tab/>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PAGEREF _Toc183783163 \h </w:instrText>
          </w:r>
          <w:r>
            <w:rPr>
              <w:rFonts w:hint="eastAsia" w:ascii="仿宋" w:hAnsi="仿宋" w:eastAsia="仿宋" w:cs="仿宋"/>
              <w:color w:val="auto"/>
              <w:highlight w:val="none"/>
            </w:rPr>
            <w:fldChar w:fldCharType="separate"/>
          </w:r>
          <w:r>
            <w:rPr>
              <w:rFonts w:hint="eastAsia" w:ascii="仿宋" w:hAnsi="仿宋" w:eastAsia="仿宋" w:cs="仿宋"/>
              <w:color w:val="auto"/>
              <w:highlight w:val="none"/>
            </w:rPr>
            <w:t>- 29 -</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fldChar w:fldCharType="end"/>
          </w:r>
        </w:p>
        <w:p w14:paraId="4CD298A7">
          <w:pPr>
            <w:pStyle w:val="17"/>
            <w:tabs>
              <w:tab w:val="right" w:leader="dot" w:pos="9402"/>
            </w:tabs>
            <w:ind w:left="560"/>
            <w:rPr>
              <w:rFonts w:hint="eastAsia" w:ascii="仿宋" w:hAnsi="仿宋" w:eastAsia="仿宋" w:cs="仿宋"/>
              <w:color w:val="auto"/>
              <w:szCs w:val="28"/>
              <w:highlight w:val="none"/>
            </w:rPr>
          </w:pPr>
          <w:r>
            <w:rPr>
              <w:rFonts w:hint="eastAsia" w:ascii="仿宋" w:hAnsi="仿宋" w:eastAsia="仿宋" w:cs="仿宋"/>
              <w:color w:val="auto"/>
              <w:szCs w:val="28"/>
              <w:highlight w:val="none"/>
            </w:rPr>
            <w:fldChar w:fldCharType="end"/>
          </w:r>
        </w:p>
      </w:sdtContent>
    </w:sdt>
    <w:p w14:paraId="46370D45">
      <w:pPr>
        <w:pStyle w:val="7"/>
        <w:ind w:firstLine="880"/>
        <w:jc w:val="center"/>
        <w:rPr>
          <w:rFonts w:hint="eastAsia" w:ascii="仿宋" w:hAnsi="仿宋" w:eastAsia="仿宋" w:cs="仿宋"/>
          <w:b/>
          <w:bCs/>
          <w:color w:val="auto"/>
          <w:spacing w:val="80"/>
          <w:sz w:val="44"/>
          <w:szCs w:val="44"/>
          <w:highlight w:val="none"/>
        </w:rPr>
      </w:pPr>
      <w:r>
        <w:rPr>
          <w:rFonts w:hint="eastAsia" w:ascii="仿宋" w:hAnsi="仿宋" w:eastAsia="仿宋" w:cs="仿宋"/>
          <w:color w:val="auto"/>
          <w:sz w:val="44"/>
          <w:szCs w:val="28"/>
          <w:highlight w:val="none"/>
        </w:rPr>
        <w:t xml:space="preserve">   </w:t>
      </w:r>
      <w:r>
        <w:rPr>
          <w:rFonts w:hint="eastAsia" w:ascii="仿宋" w:hAnsi="仿宋" w:eastAsia="仿宋" w:cs="仿宋"/>
          <w:color w:val="auto"/>
          <w:sz w:val="44"/>
          <w:szCs w:val="28"/>
          <w:highlight w:val="none"/>
        </w:rPr>
        <w:br w:type="page"/>
      </w:r>
    </w:p>
    <w:p w14:paraId="4904D84C">
      <w:pPr>
        <w:pStyle w:val="2"/>
        <w:spacing w:line="240" w:lineRule="auto"/>
        <w:ind w:firstLine="883"/>
        <w:jc w:val="center"/>
        <w:rPr>
          <w:rFonts w:hint="eastAsia" w:ascii="仿宋" w:hAnsi="仿宋" w:eastAsia="仿宋" w:cs="仿宋"/>
          <w:color w:val="auto"/>
          <w:highlight w:val="none"/>
        </w:rPr>
      </w:pPr>
      <w:bookmarkStart w:id="9" w:name="_Toc183783127"/>
      <w:bookmarkStart w:id="10" w:name="_Toc12789052"/>
      <w:bookmarkStart w:id="11" w:name="_Toc106030870"/>
      <w:bookmarkStart w:id="12" w:name="_Toc76462316"/>
      <w:bookmarkStart w:id="13" w:name="_Toc11641050"/>
      <w:r>
        <w:rPr>
          <w:rFonts w:hint="eastAsia" w:ascii="仿宋" w:hAnsi="仿宋" w:eastAsia="仿宋" w:cs="仿宋"/>
          <w:color w:val="auto"/>
          <w:highlight w:val="none"/>
        </w:rPr>
        <w:t>第一篇  竞采邀请书</w:t>
      </w:r>
      <w:bookmarkEnd w:id="9"/>
      <w:bookmarkEnd w:id="10"/>
      <w:bookmarkEnd w:id="11"/>
      <w:bookmarkEnd w:id="12"/>
      <w:bookmarkEnd w:id="13"/>
    </w:p>
    <w:p w14:paraId="1CD547BA">
      <w:pPr>
        <w:snapToGrid w:val="0"/>
        <w:ind w:firstLine="480" w:firstLineChars="200"/>
        <w:rPr>
          <w:rFonts w:hint="eastAsia" w:ascii="仿宋" w:hAnsi="仿宋" w:eastAsia="仿宋" w:cs="仿宋"/>
          <w:b/>
          <w:bCs/>
          <w:color w:val="auto"/>
          <w:spacing w:val="80"/>
          <w:sz w:val="44"/>
          <w:szCs w:val="44"/>
          <w:highlight w:val="none"/>
        </w:rPr>
      </w:pPr>
      <w:r>
        <w:rPr>
          <w:rFonts w:hint="eastAsia" w:ascii="仿宋" w:hAnsi="仿宋" w:eastAsia="仿宋" w:cs="仿宋"/>
          <w:color w:val="auto"/>
          <w:sz w:val="24"/>
          <w:szCs w:val="24"/>
          <w:highlight w:val="none"/>
          <w:u w:val="single"/>
          <w:lang w:eastAsia="zh-CN"/>
        </w:rPr>
        <w:t>重庆标友工程管理咨询有限公司</w:t>
      </w:r>
      <w:r>
        <w:rPr>
          <w:rFonts w:hint="eastAsia" w:ascii="仿宋" w:hAnsi="仿宋" w:eastAsia="仿宋" w:cs="仿宋"/>
          <w:color w:val="auto"/>
          <w:sz w:val="24"/>
          <w:szCs w:val="24"/>
          <w:highlight w:val="none"/>
        </w:rPr>
        <w:t>（以下简称：采购代理机构）受</w:t>
      </w:r>
      <w:r>
        <w:rPr>
          <w:rFonts w:hint="eastAsia" w:ascii="仿宋" w:hAnsi="仿宋" w:eastAsia="仿宋" w:cs="仿宋"/>
          <w:color w:val="auto"/>
          <w:sz w:val="24"/>
          <w:szCs w:val="24"/>
          <w:highlight w:val="none"/>
          <w:u w:val="single"/>
          <w:lang w:eastAsia="zh-CN"/>
        </w:rPr>
        <w:t>重庆绿发资产经营管理有限公司</w:t>
      </w:r>
      <w:r>
        <w:rPr>
          <w:rFonts w:hint="eastAsia" w:ascii="仿宋" w:hAnsi="仿宋" w:eastAsia="仿宋" w:cs="仿宋"/>
          <w:color w:val="auto"/>
          <w:sz w:val="24"/>
          <w:szCs w:val="24"/>
          <w:highlight w:val="none"/>
        </w:rPr>
        <w:t>（以下简称：采购人）的委托，对</w:t>
      </w:r>
      <w:r>
        <w:rPr>
          <w:rFonts w:hint="eastAsia" w:ascii="仿宋" w:hAnsi="仿宋" w:eastAsia="仿宋" w:cs="仿宋"/>
          <w:color w:val="auto"/>
          <w:sz w:val="24"/>
          <w:szCs w:val="24"/>
          <w:highlight w:val="none"/>
          <w:u w:val="single"/>
          <w:lang w:eastAsia="zh-CN"/>
        </w:rPr>
        <w:t>重庆知天而作农业科技研究院有限公司专项审计</w:t>
      </w:r>
      <w:r>
        <w:rPr>
          <w:rFonts w:hint="eastAsia" w:ascii="仿宋" w:hAnsi="仿宋" w:eastAsia="仿宋" w:cs="仿宋"/>
          <w:color w:val="auto"/>
          <w:sz w:val="24"/>
          <w:szCs w:val="24"/>
          <w:highlight w:val="none"/>
        </w:rPr>
        <w:t>进行网上竞采采购。欢迎有资格的供应商前来参与网上竞采。</w:t>
      </w:r>
    </w:p>
    <w:p w14:paraId="3D2D6D7B">
      <w:pPr>
        <w:pStyle w:val="3"/>
        <w:spacing w:line="240" w:lineRule="auto"/>
        <w:ind w:firstLine="643"/>
        <w:rPr>
          <w:rFonts w:hint="eastAsia" w:ascii="仿宋" w:hAnsi="仿宋" w:eastAsia="仿宋" w:cs="仿宋"/>
          <w:color w:val="auto"/>
          <w:highlight w:val="none"/>
        </w:rPr>
      </w:pPr>
      <w:bookmarkStart w:id="14" w:name="_Toc25458"/>
      <w:bookmarkStart w:id="15" w:name="_Toc18159"/>
      <w:bookmarkStart w:id="16" w:name="_Toc26820"/>
      <w:bookmarkStart w:id="17" w:name="_Toc7625"/>
      <w:bookmarkStart w:id="18" w:name="_Toc18881"/>
      <w:bookmarkStart w:id="19" w:name="_Toc3463"/>
      <w:bookmarkStart w:id="20" w:name="_Toc317775175"/>
      <w:bookmarkStart w:id="21" w:name="_Toc183783128"/>
      <w:bookmarkStart w:id="22" w:name="_Toc12808"/>
      <w:bookmarkStart w:id="23" w:name="_Toc313893526"/>
      <w:r>
        <w:rPr>
          <w:rFonts w:hint="eastAsia" w:ascii="仿宋" w:hAnsi="仿宋" w:eastAsia="仿宋" w:cs="仿宋"/>
          <w:color w:val="auto"/>
          <w:highlight w:val="none"/>
        </w:rPr>
        <w:t>一、竞采项目内容</w:t>
      </w:r>
      <w:bookmarkEnd w:id="14"/>
      <w:bookmarkEnd w:id="15"/>
      <w:bookmarkEnd w:id="16"/>
      <w:bookmarkEnd w:id="17"/>
      <w:bookmarkEnd w:id="18"/>
      <w:bookmarkEnd w:id="19"/>
      <w:bookmarkEnd w:id="20"/>
      <w:bookmarkEnd w:id="21"/>
      <w:bookmarkEnd w:id="22"/>
      <w:bookmarkEnd w:id="23"/>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77"/>
        <w:gridCol w:w="1988"/>
        <w:gridCol w:w="1500"/>
        <w:gridCol w:w="2071"/>
      </w:tblGrid>
      <w:tr w14:paraId="7A52D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2229" w:type="pct"/>
            <w:tcBorders>
              <w:top w:val="single" w:color="auto" w:sz="4" w:space="0"/>
              <w:left w:val="single" w:color="auto" w:sz="4" w:space="0"/>
              <w:right w:val="single" w:color="auto" w:sz="4" w:space="0"/>
            </w:tcBorders>
            <w:vAlign w:val="center"/>
          </w:tcPr>
          <w:p w14:paraId="12CDE965">
            <w:pPr>
              <w:widowControl/>
              <w:ind w:firstLine="482"/>
              <w:jc w:val="center"/>
              <w:rPr>
                <w:rFonts w:hint="eastAsia"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项目名称</w:t>
            </w:r>
          </w:p>
        </w:tc>
        <w:tc>
          <w:tcPr>
            <w:tcW w:w="990" w:type="pct"/>
            <w:tcBorders>
              <w:top w:val="single" w:color="auto" w:sz="4" w:space="0"/>
              <w:left w:val="single" w:color="auto" w:sz="4" w:space="0"/>
              <w:right w:val="single" w:color="auto" w:sz="4" w:space="0"/>
            </w:tcBorders>
            <w:vAlign w:val="center"/>
          </w:tcPr>
          <w:p w14:paraId="34D5FB9B">
            <w:pPr>
              <w:widowControl/>
              <w:jc w:val="both"/>
              <w:rPr>
                <w:rFonts w:hint="eastAsia"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最高限价（元）</w:t>
            </w:r>
          </w:p>
        </w:tc>
        <w:tc>
          <w:tcPr>
            <w:tcW w:w="747" w:type="pct"/>
            <w:tcBorders>
              <w:top w:val="single" w:color="auto" w:sz="4" w:space="0"/>
              <w:left w:val="single" w:color="auto" w:sz="4" w:space="0"/>
              <w:right w:val="single" w:color="auto" w:sz="4" w:space="0"/>
            </w:tcBorders>
            <w:vAlign w:val="center"/>
          </w:tcPr>
          <w:p w14:paraId="10223883">
            <w:pPr>
              <w:widowControl/>
              <w:jc w:val="center"/>
              <w:rPr>
                <w:rFonts w:hint="eastAsia"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成交供应商数量（名）</w:t>
            </w:r>
          </w:p>
        </w:tc>
        <w:tc>
          <w:tcPr>
            <w:tcW w:w="1031" w:type="pct"/>
            <w:tcBorders>
              <w:top w:val="single" w:color="auto" w:sz="4" w:space="0"/>
              <w:left w:val="single" w:color="auto" w:sz="4" w:space="0"/>
              <w:right w:val="single" w:color="auto" w:sz="4" w:space="0"/>
            </w:tcBorders>
            <w:vAlign w:val="center"/>
          </w:tcPr>
          <w:p w14:paraId="0BDEB859">
            <w:pPr>
              <w:widowControl/>
              <w:jc w:val="center"/>
              <w:rPr>
                <w:rFonts w:hint="eastAsia"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备注</w:t>
            </w:r>
          </w:p>
        </w:tc>
      </w:tr>
      <w:tr w14:paraId="545DD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2229" w:type="pct"/>
            <w:tcBorders>
              <w:top w:val="single" w:color="auto" w:sz="4" w:space="0"/>
              <w:left w:val="single" w:color="auto" w:sz="4" w:space="0"/>
              <w:right w:val="single" w:color="auto" w:sz="4" w:space="0"/>
            </w:tcBorders>
            <w:vAlign w:val="center"/>
          </w:tcPr>
          <w:p w14:paraId="56843CC4">
            <w:pPr>
              <w:widowControl/>
              <w:jc w:val="center"/>
              <w:rPr>
                <w:rFonts w:hint="eastAsia" w:ascii="仿宋" w:hAnsi="仿宋" w:eastAsia="仿宋" w:cs="仿宋"/>
                <w:color w:val="auto"/>
                <w:kern w:val="0"/>
                <w:sz w:val="24"/>
                <w:szCs w:val="24"/>
                <w:highlight w:val="none"/>
                <w:lang w:eastAsia="zh-CN"/>
              </w:rPr>
            </w:pPr>
            <w:bookmarkStart w:id="24" w:name="_Hlk344477914"/>
            <w:r>
              <w:rPr>
                <w:rFonts w:hint="eastAsia" w:ascii="仿宋" w:hAnsi="仿宋" w:eastAsia="仿宋" w:cs="仿宋"/>
                <w:color w:val="auto"/>
                <w:kern w:val="0"/>
                <w:sz w:val="24"/>
                <w:szCs w:val="24"/>
                <w:highlight w:val="none"/>
                <w:lang w:eastAsia="zh-CN"/>
              </w:rPr>
              <w:t>重庆知天而作农业科技研究院有限公司专项审计</w:t>
            </w:r>
          </w:p>
        </w:tc>
        <w:tc>
          <w:tcPr>
            <w:tcW w:w="990" w:type="pct"/>
            <w:tcBorders>
              <w:top w:val="single" w:color="auto" w:sz="4" w:space="0"/>
              <w:left w:val="single" w:color="auto" w:sz="4" w:space="0"/>
              <w:right w:val="single" w:color="auto" w:sz="4" w:space="0"/>
            </w:tcBorders>
            <w:vAlign w:val="center"/>
          </w:tcPr>
          <w:p w14:paraId="2A1C0B7D">
            <w:pPr>
              <w:widowControl/>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17000.00</w:t>
            </w:r>
          </w:p>
        </w:tc>
        <w:tc>
          <w:tcPr>
            <w:tcW w:w="747" w:type="pct"/>
            <w:tcBorders>
              <w:top w:val="single" w:color="auto" w:sz="4" w:space="0"/>
              <w:left w:val="single" w:color="auto" w:sz="4" w:space="0"/>
              <w:right w:val="single" w:color="auto" w:sz="4" w:space="0"/>
            </w:tcBorders>
            <w:vAlign w:val="center"/>
          </w:tcPr>
          <w:p w14:paraId="10F17D8D">
            <w:pPr>
              <w:widowControl/>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1</w:t>
            </w:r>
          </w:p>
        </w:tc>
        <w:tc>
          <w:tcPr>
            <w:tcW w:w="1031" w:type="pct"/>
            <w:tcBorders>
              <w:top w:val="single" w:color="auto" w:sz="4" w:space="0"/>
              <w:left w:val="single" w:color="auto" w:sz="4" w:space="0"/>
              <w:right w:val="single" w:color="auto" w:sz="4" w:space="0"/>
            </w:tcBorders>
            <w:vAlign w:val="center"/>
          </w:tcPr>
          <w:p w14:paraId="1B6A341C">
            <w:pPr>
              <w:widowControl/>
              <w:jc w:val="center"/>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w:t>
            </w:r>
          </w:p>
        </w:tc>
      </w:tr>
      <w:bookmarkEnd w:id="24"/>
    </w:tbl>
    <w:p w14:paraId="3024336A">
      <w:pPr>
        <w:pStyle w:val="3"/>
        <w:spacing w:line="240" w:lineRule="auto"/>
        <w:ind w:firstLine="643"/>
        <w:rPr>
          <w:rFonts w:hint="eastAsia" w:ascii="仿宋" w:hAnsi="仿宋" w:eastAsia="仿宋" w:cs="仿宋"/>
          <w:color w:val="auto"/>
          <w:highlight w:val="none"/>
        </w:rPr>
      </w:pPr>
      <w:bookmarkStart w:id="25" w:name="_Toc183783129"/>
      <w:bookmarkStart w:id="26" w:name="_Toc22399"/>
      <w:bookmarkStart w:id="27" w:name="_Toc15727"/>
      <w:bookmarkStart w:id="28" w:name="_Toc6462"/>
      <w:bookmarkStart w:id="29" w:name="_Toc19437"/>
      <w:bookmarkStart w:id="30" w:name="_Toc15576"/>
      <w:bookmarkStart w:id="31" w:name="_Toc1790"/>
      <w:bookmarkStart w:id="32" w:name="_Toc25190"/>
      <w:bookmarkStart w:id="33" w:name="_Toc373860293"/>
      <w:bookmarkStart w:id="34" w:name="_Toc317775178"/>
      <w:r>
        <w:rPr>
          <w:rFonts w:hint="eastAsia" w:ascii="仿宋" w:hAnsi="仿宋" w:eastAsia="仿宋" w:cs="仿宋"/>
          <w:color w:val="auto"/>
          <w:highlight w:val="none"/>
        </w:rPr>
        <w:t>二、资金来源</w:t>
      </w:r>
      <w:bookmarkEnd w:id="25"/>
    </w:p>
    <w:p w14:paraId="77D52E24">
      <w:pPr>
        <w:ind w:firstLine="480" w:firstLineChars="200"/>
        <w:rPr>
          <w:rFonts w:hint="eastAsia" w:ascii="仿宋" w:hAnsi="仿宋" w:eastAsia="仿宋" w:cs="仿宋"/>
          <w:color w:val="auto"/>
          <w:highlight w:val="none"/>
        </w:rPr>
      </w:pPr>
      <w:r>
        <w:rPr>
          <w:rFonts w:hint="eastAsia" w:ascii="仿宋" w:hAnsi="仿宋" w:eastAsia="仿宋" w:cs="仿宋"/>
          <w:color w:val="auto"/>
          <w:sz w:val="24"/>
          <w:szCs w:val="24"/>
          <w:highlight w:val="none"/>
        </w:rPr>
        <w:t>单位自筹资金，预算金额</w:t>
      </w:r>
      <w:r>
        <w:rPr>
          <w:rFonts w:hint="eastAsia" w:ascii="仿宋" w:hAnsi="仿宋" w:eastAsia="仿宋" w:cs="仿宋"/>
          <w:color w:val="auto"/>
          <w:sz w:val="24"/>
          <w:szCs w:val="24"/>
          <w:highlight w:val="none"/>
          <w:lang w:val="en-US" w:eastAsia="zh-CN"/>
        </w:rPr>
        <w:t>17000.00</w:t>
      </w:r>
      <w:r>
        <w:rPr>
          <w:rFonts w:hint="eastAsia" w:ascii="仿宋" w:hAnsi="仿宋" w:eastAsia="仿宋" w:cs="仿宋"/>
          <w:color w:val="auto"/>
          <w:sz w:val="24"/>
          <w:szCs w:val="24"/>
          <w:highlight w:val="none"/>
        </w:rPr>
        <w:t>元。</w:t>
      </w:r>
    </w:p>
    <w:p w14:paraId="4858039A">
      <w:pPr>
        <w:pStyle w:val="3"/>
        <w:spacing w:line="240" w:lineRule="auto"/>
        <w:ind w:firstLine="643"/>
        <w:rPr>
          <w:rFonts w:hint="eastAsia" w:ascii="仿宋" w:hAnsi="仿宋" w:eastAsia="仿宋" w:cs="仿宋"/>
          <w:color w:val="auto"/>
          <w:highlight w:val="none"/>
        </w:rPr>
      </w:pPr>
      <w:bookmarkStart w:id="35" w:name="_Toc183783130"/>
      <w:r>
        <w:rPr>
          <w:rFonts w:hint="eastAsia" w:ascii="仿宋" w:hAnsi="仿宋" w:eastAsia="仿宋" w:cs="仿宋"/>
          <w:color w:val="auto"/>
          <w:highlight w:val="none"/>
        </w:rPr>
        <w:t>三、</w:t>
      </w:r>
      <w:bookmarkEnd w:id="26"/>
      <w:bookmarkEnd w:id="27"/>
      <w:bookmarkEnd w:id="28"/>
      <w:bookmarkEnd w:id="29"/>
      <w:bookmarkEnd w:id="30"/>
      <w:bookmarkEnd w:id="31"/>
      <w:bookmarkEnd w:id="32"/>
      <w:r>
        <w:rPr>
          <w:rFonts w:hint="eastAsia" w:ascii="仿宋" w:hAnsi="仿宋" w:eastAsia="仿宋" w:cs="仿宋"/>
          <w:color w:val="auto"/>
          <w:highlight w:val="none"/>
        </w:rPr>
        <w:t>竞采资格条件</w:t>
      </w:r>
      <w:bookmarkEnd w:id="35"/>
    </w:p>
    <w:p w14:paraId="738F13C4">
      <w:pPr>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（一）基本条件</w:t>
      </w:r>
    </w:p>
    <w:p w14:paraId="52F64AD3">
      <w:pPr>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满足《中华人民共和国政府采购法》第二十二条规定；　</w:t>
      </w:r>
    </w:p>
    <w:p w14:paraId="4DA16DF9">
      <w:pPr>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（二）特定资格条件</w:t>
      </w:r>
    </w:p>
    <w:bookmarkEnd w:id="33"/>
    <w:bookmarkEnd w:id="34"/>
    <w:p w14:paraId="7430E7C7">
      <w:pPr>
        <w:pStyle w:val="7"/>
        <w:ind w:firstLine="480" w:firstLineChars="200"/>
        <w:rPr>
          <w:rFonts w:hint="default" w:eastAsia="仿宋"/>
          <w:b/>
          <w:bCs/>
          <w:color w:val="auto"/>
          <w:highlight w:val="none"/>
          <w:lang w:val="en-US" w:eastAsia="zh-CN"/>
        </w:rPr>
      </w:pPr>
      <w:bookmarkStart w:id="36" w:name="_Toc183783131"/>
      <w:r>
        <w:rPr>
          <w:rFonts w:hint="eastAsia" w:ascii="仿宋" w:hAnsi="仿宋" w:eastAsia="仿宋" w:cs="仿宋"/>
          <w:color w:val="auto"/>
          <w:sz w:val="24"/>
          <w:szCs w:val="24"/>
          <w:highlight w:val="none"/>
          <w:lang w:val="en-US" w:eastAsia="zh-CN"/>
        </w:rPr>
        <w:t>无</w:t>
      </w:r>
      <w:r>
        <w:rPr>
          <w:rFonts w:hint="eastAsia" w:ascii="仿宋" w:hAnsi="仿宋" w:eastAsia="仿宋" w:cs="仿宋"/>
          <w:b/>
          <w:bCs/>
          <w:color w:val="auto"/>
          <w:sz w:val="24"/>
          <w:szCs w:val="24"/>
          <w:highlight w:val="none"/>
          <w:lang w:val="en-US" w:eastAsia="zh-CN"/>
        </w:rPr>
        <w:t>。</w:t>
      </w:r>
    </w:p>
    <w:p w14:paraId="4504C3D2">
      <w:pPr>
        <w:ind w:firstLine="643" w:firstLineChars="200"/>
        <w:rPr>
          <w:rFonts w:hint="eastAsia" w:ascii="仿宋" w:hAnsi="仿宋" w:eastAsia="仿宋" w:cs="仿宋"/>
          <w:b/>
          <w:color w:val="auto"/>
          <w:sz w:val="32"/>
          <w:highlight w:val="none"/>
        </w:rPr>
      </w:pPr>
      <w:r>
        <w:rPr>
          <w:rFonts w:hint="eastAsia" w:ascii="仿宋" w:hAnsi="仿宋" w:eastAsia="仿宋" w:cs="仿宋"/>
          <w:b/>
          <w:color w:val="auto"/>
          <w:sz w:val="32"/>
          <w:highlight w:val="none"/>
        </w:rPr>
        <w:t>四、竞采有关说明</w:t>
      </w:r>
      <w:bookmarkEnd w:id="36"/>
    </w:p>
    <w:p w14:paraId="62D92B60">
      <w:pPr>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（一）供应商应通过行采家采购服务平台（www.gec123.com）登记加入“重庆市政府采购供应商库”。</w:t>
      </w:r>
    </w:p>
    <w:p w14:paraId="4061E4C8">
      <w:pPr>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凡有意参加采购的供应商，请在“行采家（https://www.gec123.com/）”下载或到采购代理机构处领取本项目询价采购文件以及图纸、澄清等报价前公布的所有项目资料，无论供应商下载或领取与否，均视为已知晓所有实质性要求内容。</w:t>
      </w:r>
    </w:p>
    <w:p w14:paraId="243D185A">
      <w:pPr>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（三）线上报价</w:t>
      </w:r>
    </w:p>
    <w:p w14:paraId="56DBFFEC">
      <w:pPr>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1.线上报价时间：按本项目网上公告规定的报价截止时间为准。</w:t>
      </w:r>
    </w:p>
    <w:p w14:paraId="50F5E8A9">
      <w:pPr>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2.线上报价要求：按本项目规定的时间在“行采家（https://www.gec123.com/）”进行网上报价。</w:t>
      </w:r>
    </w:p>
    <w:p w14:paraId="04EB72C4">
      <w:pPr>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（四）供应商须在平台上报价并按要求上传响应文件，未按要求提供的为无效供应商。</w:t>
      </w:r>
    </w:p>
    <w:p w14:paraId="579E74BC">
      <w:pPr>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备注：</w:t>
      </w:r>
    </w:p>
    <w:p w14:paraId="74F13E97">
      <w:pPr>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1.供应商线上报价时须上传响应文件一份。</w:t>
      </w:r>
    </w:p>
    <w:p w14:paraId="65FB0F14">
      <w:pPr>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2.采购人将以平台的线上资料作为评判依据。</w:t>
      </w:r>
    </w:p>
    <w:p w14:paraId="6B7E6594">
      <w:pPr>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3.供应商上传的响应文件应按照响应文件编制要求制作，规定签字、盖章的地方必须按规定签字、盖章，未按要求制作响应文件的作无效标处理。</w:t>
      </w:r>
    </w:p>
    <w:p w14:paraId="75422FA3">
      <w:pPr>
        <w:pStyle w:val="3"/>
        <w:spacing w:line="240" w:lineRule="auto"/>
        <w:ind w:firstLine="643"/>
        <w:rPr>
          <w:rFonts w:hint="eastAsia" w:ascii="仿宋" w:hAnsi="仿宋" w:eastAsia="仿宋" w:cs="仿宋"/>
          <w:color w:val="auto"/>
          <w:highlight w:val="none"/>
        </w:rPr>
      </w:pPr>
      <w:bookmarkStart w:id="37" w:name="_Toc183783132"/>
      <w:r>
        <w:rPr>
          <w:rFonts w:hint="eastAsia" w:ascii="仿宋" w:hAnsi="仿宋" w:eastAsia="仿宋" w:cs="仿宋"/>
          <w:color w:val="auto"/>
          <w:highlight w:val="none"/>
        </w:rPr>
        <w:t>五、</w:t>
      </w:r>
      <w:bookmarkStart w:id="38" w:name="_Toc5085"/>
      <w:bookmarkStart w:id="39" w:name="_Toc27955"/>
      <w:bookmarkStart w:id="40" w:name="_Toc11828"/>
      <w:bookmarkStart w:id="41" w:name="_Toc25886"/>
      <w:bookmarkStart w:id="42" w:name="_Toc3475"/>
      <w:bookmarkStart w:id="43" w:name="_Toc9654"/>
      <w:bookmarkStart w:id="44" w:name="_Toc20778"/>
      <w:bookmarkStart w:id="45" w:name="_Toc25516"/>
      <w:bookmarkStart w:id="46" w:name="_Toc19730"/>
      <w:bookmarkStart w:id="47" w:name="_Toc31315"/>
      <w:bookmarkStart w:id="48" w:name="_Toc14778"/>
      <w:bookmarkStart w:id="49" w:name="_Toc13969"/>
      <w:bookmarkStart w:id="50" w:name="_Toc15478"/>
      <w:bookmarkStart w:id="51" w:name="_Toc9027"/>
      <w:r>
        <w:rPr>
          <w:rFonts w:hint="eastAsia" w:ascii="仿宋" w:hAnsi="仿宋" w:eastAsia="仿宋" w:cs="仿宋"/>
          <w:color w:val="auto"/>
          <w:highlight w:val="none"/>
        </w:rPr>
        <w:t>联系方式</w:t>
      </w:r>
      <w:bookmarkEnd w:id="37"/>
      <w:bookmarkEnd w:id="38"/>
      <w:bookmarkEnd w:id="39"/>
      <w:bookmarkEnd w:id="40"/>
      <w:bookmarkEnd w:id="41"/>
      <w:bookmarkEnd w:id="42"/>
      <w:bookmarkEnd w:id="43"/>
      <w:bookmarkEnd w:id="44"/>
    </w:p>
    <w:p w14:paraId="072A6931">
      <w:pPr>
        <w:snapToGrid w:val="0"/>
        <w:ind w:firstLine="480" w:firstLineChars="200"/>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（一）采购人：</w:t>
      </w:r>
      <w:r>
        <w:rPr>
          <w:rFonts w:hint="eastAsia" w:ascii="仿宋" w:hAnsi="仿宋" w:eastAsia="仿宋" w:cs="仿宋"/>
          <w:color w:val="auto"/>
          <w:sz w:val="24"/>
          <w:szCs w:val="24"/>
          <w:highlight w:val="none"/>
          <w:lang w:eastAsia="zh-CN"/>
        </w:rPr>
        <w:t>重庆绿发资产经营管理有限公司</w:t>
      </w:r>
    </w:p>
    <w:p w14:paraId="1169E1BE">
      <w:pPr>
        <w:shd w:val="clear"/>
        <w:snapToGrid w:val="0"/>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联系人：余老师  </w:t>
      </w:r>
    </w:p>
    <w:p w14:paraId="349605A7">
      <w:pPr>
        <w:shd w:val="clear"/>
        <w:snapToGrid w:val="0"/>
        <w:ind w:firstLine="480" w:firstLineChars="200"/>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电  话：18680837335</w:t>
      </w:r>
      <w:r>
        <w:rPr>
          <w:rFonts w:hint="eastAsia" w:ascii="仿宋" w:hAnsi="仿宋" w:eastAsia="仿宋" w:cs="仿宋"/>
          <w:color w:val="auto"/>
          <w:sz w:val="24"/>
          <w:szCs w:val="24"/>
          <w:highlight w:val="none"/>
          <w:lang w:val="en-US" w:eastAsia="zh-CN"/>
        </w:rPr>
        <w:t xml:space="preserve">  </w:t>
      </w:r>
    </w:p>
    <w:p w14:paraId="7A63A0B9">
      <w:pPr>
        <w:shd w:val="clear"/>
        <w:snapToGrid w:val="0"/>
        <w:ind w:firstLine="480" w:firstLineChars="200"/>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地  址：重庆市璧山区璧泉街道双星大道50号1幢</w:t>
      </w:r>
      <w:r>
        <w:rPr>
          <w:rFonts w:hint="eastAsia" w:ascii="仿宋" w:hAnsi="仿宋" w:eastAsia="仿宋" w:cs="仿宋"/>
          <w:color w:val="auto"/>
          <w:sz w:val="24"/>
          <w:szCs w:val="24"/>
          <w:highlight w:val="none"/>
          <w:lang w:val="en-US" w:eastAsia="zh-CN"/>
        </w:rPr>
        <w:t xml:space="preserve">  </w:t>
      </w:r>
    </w:p>
    <w:p w14:paraId="5B19C25E">
      <w:pPr>
        <w:snapToGrid w:val="0"/>
        <w:ind w:firstLine="480" w:firstLineChars="200"/>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（二）采购代理机构：</w:t>
      </w:r>
      <w:r>
        <w:rPr>
          <w:rFonts w:hint="eastAsia" w:ascii="仿宋" w:hAnsi="仿宋" w:eastAsia="仿宋" w:cs="仿宋"/>
          <w:color w:val="auto"/>
          <w:sz w:val="24"/>
          <w:szCs w:val="24"/>
          <w:highlight w:val="none"/>
          <w:lang w:eastAsia="zh-CN"/>
        </w:rPr>
        <w:t>重庆标友工程管理咨询有限公司</w:t>
      </w:r>
    </w:p>
    <w:p w14:paraId="06427AA0">
      <w:pPr>
        <w:snapToGrid w:val="0"/>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联系人：</w:t>
      </w:r>
      <w:r>
        <w:rPr>
          <w:rFonts w:hint="eastAsia" w:ascii="仿宋" w:hAnsi="仿宋" w:eastAsia="仿宋" w:cs="仿宋"/>
          <w:color w:val="auto"/>
          <w:sz w:val="24"/>
          <w:szCs w:val="24"/>
          <w:highlight w:val="none"/>
          <w:lang w:val="en-US" w:eastAsia="zh-CN"/>
        </w:rPr>
        <w:t>杨</w:t>
      </w:r>
      <w:r>
        <w:rPr>
          <w:rFonts w:hint="eastAsia" w:ascii="仿宋" w:hAnsi="仿宋" w:eastAsia="仿宋" w:cs="仿宋"/>
          <w:color w:val="auto"/>
          <w:sz w:val="24"/>
          <w:szCs w:val="24"/>
          <w:highlight w:val="none"/>
        </w:rPr>
        <w:t>老师</w:t>
      </w:r>
    </w:p>
    <w:p w14:paraId="3F6703DF">
      <w:pPr>
        <w:snapToGrid w:val="0"/>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电  话：</w:t>
      </w:r>
      <w:r>
        <w:rPr>
          <w:rFonts w:hint="eastAsia" w:ascii="仿宋" w:hAnsi="仿宋" w:eastAsia="仿宋" w:cs="仿宋"/>
          <w:color w:val="auto"/>
          <w:sz w:val="24"/>
          <w:szCs w:val="24"/>
          <w:highlight w:val="none"/>
          <w:lang w:val="en-US" w:eastAsia="zh-CN"/>
        </w:rPr>
        <w:t>15696551371</w:t>
      </w:r>
    </w:p>
    <w:p w14:paraId="6BFB828E">
      <w:pPr>
        <w:snapToGrid w:val="0"/>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地  址：重庆市渝北区龙溪街道新牌坊三路369号天和美舍1幢</w:t>
      </w:r>
    </w:p>
    <w:p w14:paraId="2ACC6551">
      <w:pPr>
        <w:pStyle w:val="3"/>
        <w:spacing w:line="240" w:lineRule="auto"/>
        <w:ind w:firstLine="643"/>
        <w:rPr>
          <w:rFonts w:hint="eastAsia" w:ascii="仿宋" w:hAnsi="仿宋" w:eastAsia="仿宋" w:cs="仿宋"/>
          <w:color w:val="auto"/>
          <w:highlight w:val="none"/>
        </w:rPr>
      </w:pPr>
      <w:bookmarkStart w:id="52" w:name="_Toc183783133"/>
      <w:r>
        <w:rPr>
          <w:rFonts w:hint="eastAsia" w:ascii="仿宋" w:hAnsi="仿宋" w:eastAsia="仿宋" w:cs="仿宋"/>
          <w:color w:val="auto"/>
          <w:highlight w:val="none"/>
        </w:rPr>
        <w:t>六、</w:t>
      </w:r>
      <w:bookmarkEnd w:id="45"/>
      <w:bookmarkEnd w:id="46"/>
      <w:bookmarkEnd w:id="47"/>
      <w:bookmarkEnd w:id="48"/>
      <w:bookmarkEnd w:id="49"/>
      <w:bookmarkEnd w:id="50"/>
      <w:bookmarkEnd w:id="51"/>
      <w:r>
        <w:rPr>
          <w:rFonts w:hint="eastAsia" w:ascii="仿宋" w:hAnsi="仿宋" w:eastAsia="仿宋" w:cs="仿宋"/>
          <w:color w:val="auto"/>
          <w:highlight w:val="none"/>
        </w:rPr>
        <w:t>其它有关规定</w:t>
      </w:r>
      <w:bookmarkEnd w:id="52"/>
    </w:p>
    <w:p w14:paraId="7E57A545">
      <w:pPr>
        <w:snapToGrid w:val="0"/>
        <w:ind w:firstLine="360" w:firstLineChars="15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（一）单位负责人为同一人或者存在直接控股、管理关系的不同供应商，不得参加同一合同项（分包）下的竞采活动，否则均为无效响应。</w:t>
      </w:r>
    </w:p>
    <w:p w14:paraId="036C47E6">
      <w:pPr>
        <w:snapToGrid w:val="0"/>
        <w:ind w:firstLine="360" w:firstLineChars="15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（二）为采购项目提供整体设计、规范编制或者项目管理、监理、检测等服务的供应商，不得再参加该采购项目的其他采购活动。</w:t>
      </w:r>
    </w:p>
    <w:p w14:paraId="6C0EF188">
      <w:pPr>
        <w:snapToGrid w:val="0"/>
        <w:ind w:firstLine="360" w:firstLineChars="15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（三）本项目的变更等文件（如果有）一律在“行采家（https://www.gec123.com/）”上发布，请各供应商注意下载；无论供应商下载与否，均视同供应商已知晓本项目澄清文件（如果有）的内容。</w:t>
      </w:r>
    </w:p>
    <w:p w14:paraId="1454EA57">
      <w:pPr>
        <w:snapToGrid w:val="0"/>
        <w:ind w:firstLine="360" w:firstLineChars="15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（四）超过响应文件截止时间递交的响应文件，恕不接收。</w:t>
      </w:r>
    </w:p>
    <w:p w14:paraId="18AECFDE">
      <w:pPr>
        <w:snapToGrid w:val="0"/>
        <w:ind w:firstLine="360" w:firstLineChars="15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（五）竞采费用：无论竞采结果如何，供应商参与本项目竞采的所有成本费用均应由供应商自行承担。</w:t>
      </w:r>
    </w:p>
    <w:p w14:paraId="05693D56">
      <w:pPr>
        <w:snapToGrid w:val="0"/>
        <w:ind w:firstLine="361" w:firstLineChars="150"/>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（六）本项目不接受联合体参与竞采</w:t>
      </w:r>
      <w:r>
        <w:rPr>
          <w:rFonts w:hint="eastAsia" w:ascii="仿宋" w:hAnsi="仿宋" w:eastAsia="仿宋" w:cs="仿宋"/>
          <w:color w:val="auto"/>
          <w:sz w:val="24"/>
          <w:szCs w:val="24"/>
          <w:highlight w:val="none"/>
        </w:rPr>
        <w:t>。</w:t>
      </w:r>
    </w:p>
    <w:p w14:paraId="4435E3E5">
      <w:pPr>
        <w:snapToGrid w:val="0"/>
        <w:ind w:firstLine="360" w:firstLineChars="15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七）参照《财政部关于在政府采购活动中查询及使用信用记录有关问题的通知》财库〔2016〕125号，供应商列入失信被执行人、重大税收违法案件当事人名单、政府采购严重违法失信行为记录名单及其他不符合《中华人民共和国政府采购法》第二十二条规定条件的供应商，或违反云平台相关规则、规定的供应商，将拒绝其参与网上竞采活动。</w:t>
      </w:r>
      <w:bookmarkStart w:id="53" w:name="_Toc106030878"/>
      <w:bookmarkStart w:id="54" w:name="_Toc76462324"/>
    </w:p>
    <w:p w14:paraId="21544055">
      <w:pPr>
        <w:widowControl/>
        <w:jc w:val="left"/>
        <w:rPr>
          <w:rFonts w:hint="eastAsia" w:ascii="仿宋" w:hAnsi="仿宋" w:eastAsia="仿宋" w:cs="仿宋"/>
          <w:b/>
          <w:color w:val="auto"/>
          <w:kern w:val="44"/>
          <w:sz w:val="44"/>
          <w:highlight w:val="none"/>
        </w:rPr>
      </w:pPr>
      <w:r>
        <w:rPr>
          <w:rFonts w:hint="eastAsia" w:ascii="仿宋" w:hAnsi="仿宋" w:eastAsia="仿宋" w:cs="仿宋"/>
          <w:color w:val="auto"/>
          <w:highlight w:val="none"/>
        </w:rPr>
        <w:br w:type="page"/>
      </w:r>
    </w:p>
    <w:p w14:paraId="55ABAAE0">
      <w:pPr>
        <w:pStyle w:val="2"/>
        <w:spacing w:line="240" w:lineRule="auto"/>
        <w:ind w:firstLine="883"/>
        <w:jc w:val="center"/>
        <w:rPr>
          <w:rFonts w:hint="eastAsia" w:ascii="仿宋" w:hAnsi="仿宋" w:eastAsia="仿宋" w:cs="仿宋"/>
          <w:color w:val="auto"/>
          <w:highlight w:val="none"/>
        </w:rPr>
      </w:pPr>
      <w:bookmarkStart w:id="55" w:name="_Toc183783134"/>
      <w:r>
        <w:rPr>
          <w:rFonts w:hint="eastAsia" w:ascii="仿宋" w:hAnsi="仿宋" w:eastAsia="仿宋" w:cs="仿宋"/>
          <w:color w:val="auto"/>
          <w:highlight w:val="none"/>
        </w:rPr>
        <w:t>第二篇  项目</w:t>
      </w:r>
      <w:bookmarkEnd w:id="53"/>
      <w:bookmarkEnd w:id="54"/>
      <w:r>
        <w:rPr>
          <w:rFonts w:hint="eastAsia" w:ascii="仿宋" w:hAnsi="仿宋" w:eastAsia="仿宋" w:cs="仿宋"/>
          <w:color w:val="auto"/>
          <w:highlight w:val="none"/>
        </w:rPr>
        <w:t>服务需</w:t>
      </w:r>
      <w:bookmarkStart w:id="56" w:name="_Toc76462325"/>
      <w:bookmarkStart w:id="57" w:name="_Toc12789058"/>
      <w:r>
        <w:rPr>
          <w:rFonts w:hint="eastAsia" w:ascii="仿宋" w:hAnsi="仿宋" w:eastAsia="仿宋" w:cs="仿宋"/>
          <w:color w:val="auto"/>
          <w:highlight w:val="none"/>
        </w:rPr>
        <w:t>求</w:t>
      </w:r>
      <w:bookmarkEnd w:id="55"/>
    </w:p>
    <w:p w14:paraId="56257EF4">
      <w:pPr>
        <w:ind w:firstLine="482"/>
        <w:rPr>
          <w:rFonts w:hint="eastAsia" w:ascii="仿宋" w:hAnsi="仿宋" w:eastAsia="仿宋" w:cs="仿宋"/>
          <w:color w:val="auto"/>
          <w:highlight w:val="none"/>
        </w:rPr>
      </w:pPr>
      <w:r>
        <w:rPr>
          <w:rFonts w:hint="eastAsia" w:ascii="仿宋" w:hAnsi="仿宋" w:eastAsia="仿宋" w:cs="仿宋"/>
          <w:b/>
          <w:bCs/>
          <w:color w:val="auto"/>
          <w:sz w:val="24"/>
          <w:szCs w:val="24"/>
          <w:highlight w:val="none"/>
          <w:u w:val="single"/>
        </w:rPr>
        <w:t>本篇服务需求为符合性审查中的实质性要求，响应文件若不满足按无效投标处理。</w:t>
      </w:r>
    </w:p>
    <w:bookmarkEnd w:id="56"/>
    <w:p w14:paraId="3931D9B5">
      <w:pPr>
        <w:pStyle w:val="3"/>
        <w:numPr>
          <w:ilvl w:val="0"/>
          <w:numId w:val="1"/>
        </w:numPr>
        <w:spacing w:line="240" w:lineRule="auto"/>
        <w:ind w:firstLine="643"/>
        <w:rPr>
          <w:rFonts w:hint="eastAsia" w:ascii="仿宋" w:hAnsi="仿宋" w:eastAsia="仿宋" w:cs="仿宋"/>
          <w:color w:val="auto"/>
          <w:highlight w:val="none"/>
        </w:rPr>
      </w:pPr>
      <w:bookmarkStart w:id="58" w:name="_Toc183783135"/>
      <w:r>
        <w:rPr>
          <w:rFonts w:hint="eastAsia" w:ascii="仿宋" w:hAnsi="仿宋" w:eastAsia="仿宋" w:cs="仿宋"/>
          <w:color w:val="auto"/>
          <w:highlight w:val="none"/>
        </w:rPr>
        <w:t>招标项目一览表</w:t>
      </w:r>
      <w:bookmarkEnd w:id="58"/>
    </w:p>
    <w:tbl>
      <w:tblPr>
        <w:tblStyle w:val="20"/>
        <w:tblW w:w="85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3172"/>
        <w:gridCol w:w="1694"/>
        <w:gridCol w:w="798"/>
        <w:gridCol w:w="1666"/>
        <w:gridCol w:w="532"/>
      </w:tblGrid>
      <w:tr w14:paraId="28CC5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736" w:type="dxa"/>
            <w:vAlign w:val="center"/>
          </w:tcPr>
          <w:p w14:paraId="4879CE5E">
            <w:pPr>
              <w:widowControl/>
              <w:rPr>
                <w:rFonts w:hint="eastAsia" w:ascii="仿宋" w:hAnsi="仿宋" w:eastAsia="仿宋" w:cs="仿宋"/>
                <w:b/>
                <w:bCs/>
                <w:color w:val="auto"/>
                <w:sz w:val="24"/>
                <w:szCs w:val="24"/>
                <w:highlight w:val="none"/>
              </w:rPr>
            </w:pPr>
            <w:r>
              <w:rPr>
                <w:rFonts w:hint="eastAsia" w:ascii="仿宋" w:hAnsi="仿宋" w:eastAsia="仿宋" w:cs="仿宋"/>
                <w:b/>
                <w:bCs/>
                <w:color w:val="auto"/>
                <w:kern w:val="0"/>
                <w:sz w:val="24"/>
                <w:szCs w:val="24"/>
                <w:highlight w:val="none"/>
              </w:rPr>
              <w:t>序号</w:t>
            </w:r>
          </w:p>
        </w:tc>
        <w:tc>
          <w:tcPr>
            <w:tcW w:w="3172" w:type="dxa"/>
            <w:vAlign w:val="center"/>
          </w:tcPr>
          <w:p w14:paraId="03EECF48">
            <w:pPr>
              <w:widowControl/>
              <w:jc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服务名称</w:t>
            </w:r>
          </w:p>
        </w:tc>
        <w:tc>
          <w:tcPr>
            <w:tcW w:w="1694" w:type="dxa"/>
            <w:vAlign w:val="center"/>
          </w:tcPr>
          <w:p w14:paraId="7B92BC8B">
            <w:pPr>
              <w:widowControl/>
              <w:jc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服务范围、标准及</w:t>
            </w:r>
            <w:r>
              <w:rPr>
                <w:rFonts w:hint="eastAsia" w:ascii="仿宋" w:hAnsi="仿宋" w:eastAsia="仿宋" w:cs="仿宋"/>
                <w:b/>
                <w:bCs/>
                <w:color w:val="auto"/>
                <w:kern w:val="0"/>
                <w:sz w:val="24"/>
                <w:szCs w:val="24"/>
                <w:highlight w:val="none"/>
              </w:rPr>
              <w:t>要求</w:t>
            </w:r>
          </w:p>
        </w:tc>
        <w:tc>
          <w:tcPr>
            <w:tcW w:w="798" w:type="dxa"/>
            <w:vAlign w:val="center"/>
          </w:tcPr>
          <w:p w14:paraId="19029AC3">
            <w:pPr>
              <w:widowControl/>
              <w:rPr>
                <w:rFonts w:hint="eastAsia" w:ascii="仿宋" w:hAnsi="仿宋" w:eastAsia="仿宋" w:cs="仿宋"/>
                <w:b/>
                <w:bCs/>
                <w:color w:val="auto"/>
                <w:sz w:val="24"/>
                <w:szCs w:val="24"/>
                <w:highlight w:val="none"/>
              </w:rPr>
            </w:pPr>
            <w:r>
              <w:rPr>
                <w:rFonts w:hint="eastAsia" w:ascii="仿宋" w:hAnsi="仿宋" w:eastAsia="仿宋" w:cs="仿宋"/>
                <w:b/>
                <w:bCs/>
                <w:color w:val="auto"/>
                <w:kern w:val="0"/>
                <w:sz w:val="24"/>
                <w:szCs w:val="24"/>
                <w:highlight w:val="none"/>
              </w:rPr>
              <w:t>数量</w:t>
            </w:r>
          </w:p>
        </w:tc>
        <w:tc>
          <w:tcPr>
            <w:tcW w:w="1666" w:type="dxa"/>
            <w:vAlign w:val="center"/>
          </w:tcPr>
          <w:p w14:paraId="13F7EEE1">
            <w:pPr>
              <w:widowControl/>
              <w:jc w:val="center"/>
              <w:rPr>
                <w:rFonts w:hint="default"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rPr>
              <w:t>最高限价金额</w:t>
            </w:r>
            <w:r>
              <w:rPr>
                <w:rFonts w:hint="eastAsia" w:ascii="仿宋" w:hAnsi="仿宋" w:eastAsia="仿宋" w:cs="仿宋"/>
                <w:b/>
                <w:bCs/>
                <w:color w:val="auto"/>
                <w:sz w:val="24"/>
                <w:szCs w:val="24"/>
                <w:highlight w:val="none"/>
                <w:lang w:val="en-US" w:eastAsia="zh-CN"/>
              </w:rPr>
              <w:t>(</w:t>
            </w:r>
            <w:r>
              <w:rPr>
                <w:rFonts w:hint="eastAsia" w:ascii="仿宋" w:hAnsi="仿宋" w:eastAsia="仿宋" w:cs="仿宋"/>
                <w:color w:val="auto"/>
                <w:sz w:val="24"/>
                <w:szCs w:val="24"/>
                <w:highlight w:val="none"/>
              </w:rPr>
              <w:t>元</w:t>
            </w:r>
            <w:r>
              <w:rPr>
                <w:rFonts w:hint="eastAsia" w:ascii="仿宋" w:hAnsi="仿宋" w:eastAsia="仿宋" w:cs="仿宋"/>
                <w:b/>
                <w:bCs/>
                <w:color w:val="auto"/>
                <w:sz w:val="24"/>
                <w:szCs w:val="24"/>
                <w:highlight w:val="none"/>
                <w:lang w:val="en-US" w:eastAsia="zh-CN"/>
              </w:rPr>
              <w:t>)</w:t>
            </w:r>
          </w:p>
        </w:tc>
        <w:tc>
          <w:tcPr>
            <w:tcW w:w="532" w:type="dxa"/>
            <w:vAlign w:val="center"/>
          </w:tcPr>
          <w:p w14:paraId="2993DE85">
            <w:pPr>
              <w:widowControl/>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备注</w:t>
            </w:r>
          </w:p>
        </w:tc>
      </w:tr>
      <w:tr w14:paraId="1A610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736" w:type="dxa"/>
            <w:vAlign w:val="center"/>
          </w:tcPr>
          <w:p w14:paraId="415817FE">
            <w:pPr>
              <w:widowControl/>
              <w:jc w:val="center"/>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1</w:t>
            </w:r>
          </w:p>
        </w:tc>
        <w:tc>
          <w:tcPr>
            <w:tcW w:w="3172" w:type="dxa"/>
            <w:vAlign w:val="center"/>
          </w:tcPr>
          <w:p w14:paraId="6B9D525F">
            <w:pPr>
              <w:widowControl/>
              <w:jc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重庆知天而作农业科技研究院有限公司专项审计</w:t>
            </w:r>
          </w:p>
        </w:tc>
        <w:tc>
          <w:tcPr>
            <w:tcW w:w="1694" w:type="dxa"/>
            <w:vAlign w:val="center"/>
          </w:tcPr>
          <w:p w14:paraId="0D6E0452">
            <w:pPr>
              <w:widowControl/>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详见</w:t>
            </w:r>
            <w:r>
              <w:rPr>
                <w:rFonts w:hint="eastAsia" w:ascii="仿宋" w:hAnsi="仿宋" w:eastAsia="仿宋" w:cs="仿宋"/>
                <w:color w:val="auto"/>
                <w:sz w:val="24"/>
                <w:szCs w:val="24"/>
                <w:highlight w:val="none"/>
                <w:lang w:val="en-US" w:eastAsia="zh-CN"/>
              </w:rPr>
              <w:t>本</w:t>
            </w:r>
            <w:r>
              <w:rPr>
                <w:rFonts w:hint="eastAsia" w:ascii="仿宋" w:hAnsi="仿宋" w:eastAsia="仿宋" w:cs="仿宋"/>
                <w:color w:val="auto"/>
                <w:sz w:val="24"/>
                <w:szCs w:val="24"/>
                <w:highlight w:val="none"/>
              </w:rPr>
              <w:t>文件</w:t>
            </w:r>
          </w:p>
        </w:tc>
        <w:tc>
          <w:tcPr>
            <w:tcW w:w="798" w:type="dxa"/>
            <w:vAlign w:val="center"/>
          </w:tcPr>
          <w:p w14:paraId="68EB90ED">
            <w:pPr>
              <w:widowControl/>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1</w:t>
            </w:r>
          </w:p>
        </w:tc>
        <w:tc>
          <w:tcPr>
            <w:tcW w:w="1666" w:type="dxa"/>
            <w:vAlign w:val="center"/>
          </w:tcPr>
          <w:p w14:paraId="3023B894">
            <w:pPr>
              <w:widowControl/>
              <w:jc w:val="center"/>
              <w:rPr>
                <w:rFonts w:hint="default" w:ascii="仿宋" w:hAnsi="仿宋" w:eastAsia="仿宋" w:cs="仿宋"/>
                <w:color w:val="auto"/>
                <w:sz w:val="24"/>
                <w:szCs w:val="24"/>
                <w:highlight w:val="none"/>
                <w:lang w:val="en-US"/>
              </w:rPr>
            </w:pPr>
            <w:r>
              <w:rPr>
                <w:rFonts w:hint="eastAsia" w:ascii="仿宋" w:hAnsi="仿宋" w:eastAsia="仿宋" w:cs="仿宋"/>
                <w:color w:val="auto"/>
                <w:sz w:val="24"/>
                <w:szCs w:val="24"/>
                <w:highlight w:val="none"/>
                <w:lang w:val="en-US" w:eastAsia="zh-CN"/>
              </w:rPr>
              <w:t>17000.00</w:t>
            </w:r>
          </w:p>
        </w:tc>
        <w:tc>
          <w:tcPr>
            <w:tcW w:w="532" w:type="dxa"/>
            <w:vAlign w:val="center"/>
          </w:tcPr>
          <w:p w14:paraId="656CCF7E">
            <w:pPr>
              <w:widowControl/>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w:t>
            </w:r>
          </w:p>
        </w:tc>
      </w:tr>
    </w:tbl>
    <w:p w14:paraId="2BA85609">
      <w:pPr>
        <w:pStyle w:val="3"/>
        <w:spacing w:line="240" w:lineRule="auto"/>
        <w:rPr>
          <w:rFonts w:hint="default" w:ascii="仿宋" w:hAnsi="仿宋" w:eastAsia="仿宋" w:cs="仿宋"/>
          <w:color w:val="auto"/>
          <w:highlight w:val="none"/>
          <w:lang w:val="en-US" w:eastAsia="zh-CN"/>
        </w:rPr>
      </w:pPr>
      <w:bookmarkStart w:id="59" w:name="_Toc183783136"/>
      <w:bookmarkStart w:id="60" w:name="_Toc106030880"/>
      <w:r>
        <w:rPr>
          <w:rFonts w:hint="eastAsia" w:ascii="仿宋" w:hAnsi="仿宋" w:eastAsia="仿宋" w:cs="仿宋"/>
          <w:color w:val="auto"/>
          <w:highlight w:val="none"/>
        </w:rPr>
        <w:t>二、</w:t>
      </w:r>
      <w:bookmarkEnd w:id="59"/>
      <w:bookmarkEnd w:id="60"/>
      <w:r>
        <w:rPr>
          <w:rFonts w:hint="eastAsia" w:ascii="仿宋" w:hAnsi="仿宋" w:eastAsia="仿宋" w:cs="仿宋"/>
          <w:color w:val="auto"/>
          <w:highlight w:val="none"/>
          <w:lang w:val="en-US" w:eastAsia="zh-CN"/>
        </w:rPr>
        <w:t>采购内容</w:t>
      </w:r>
    </w:p>
    <w:p w14:paraId="5A3C6D3F">
      <w:pPr>
        <w:pStyle w:val="3"/>
        <w:spacing w:line="240" w:lineRule="auto"/>
        <w:ind w:firstLine="480" w:firstLineChars="200"/>
        <w:rPr>
          <w:rFonts w:hint="eastAsia" w:ascii="仿宋" w:hAnsi="仿宋" w:eastAsia="仿宋" w:cs="仿宋"/>
          <w:color w:val="auto"/>
          <w:highlight w:val="none"/>
        </w:rPr>
      </w:pPr>
      <w:bookmarkStart w:id="61" w:name="_Toc344475116"/>
      <w:bookmarkStart w:id="62" w:name="_Toc106030881"/>
      <w:bookmarkStart w:id="63" w:name="_Toc313536013"/>
      <w:bookmarkStart w:id="64" w:name="_Toc76462326"/>
      <w:bookmarkStart w:id="65" w:name="_Toc183783137"/>
      <w:r>
        <w:rPr>
          <w:rFonts w:hint="eastAsia" w:ascii="仿宋" w:hAnsi="仿宋" w:eastAsia="仿宋" w:cs="仿宋"/>
          <w:b w:val="0"/>
          <w:bCs/>
          <w:color w:val="auto"/>
          <w:sz w:val="24"/>
          <w:szCs w:val="24"/>
          <w:highlight w:val="none"/>
          <w:lang w:val="en-US" w:eastAsia="zh-CN"/>
        </w:rPr>
        <w:t>对重庆知天而作农业科技研究院有限公司截至2025年3月31日（暂定）进行专项审计。</w:t>
      </w:r>
      <w:r>
        <w:rPr>
          <w:rFonts w:hint="eastAsia" w:ascii="仿宋" w:hAnsi="仿宋" w:eastAsia="仿宋" w:cs="仿宋"/>
          <w:color w:val="auto"/>
          <w:highlight w:val="none"/>
        </w:rPr>
        <w:t>三、</w:t>
      </w:r>
      <w:bookmarkEnd w:id="61"/>
      <w:bookmarkEnd w:id="62"/>
      <w:bookmarkEnd w:id="63"/>
      <w:bookmarkEnd w:id="64"/>
      <w:r>
        <w:rPr>
          <w:rFonts w:hint="eastAsia" w:ascii="仿宋" w:hAnsi="仿宋" w:eastAsia="仿宋" w:cs="仿宋"/>
          <w:color w:val="auto"/>
          <w:highlight w:val="none"/>
        </w:rPr>
        <w:t>其他要求</w:t>
      </w:r>
      <w:bookmarkEnd w:id="65"/>
    </w:p>
    <w:p w14:paraId="2D25B30E">
      <w:pPr>
        <w:pStyle w:val="7"/>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无</w:t>
      </w:r>
      <w:r>
        <w:rPr>
          <w:rFonts w:hint="eastAsia" w:ascii="仿宋" w:hAnsi="仿宋" w:eastAsia="仿宋" w:cs="仿宋"/>
          <w:color w:val="auto"/>
          <w:sz w:val="24"/>
          <w:szCs w:val="24"/>
          <w:highlight w:val="none"/>
        </w:rPr>
        <w:t>。</w:t>
      </w:r>
    </w:p>
    <w:p w14:paraId="172C777E">
      <w:pPr>
        <w:rPr>
          <w:rFonts w:hint="eastAsia" w:ascii="仿宋" w:hAnsi="仿宋" w:eastAsia="仿宋" w:cs="仿宋"/>
          <w:color w:val="auto"/>
          <w:sz w:val="24"/>
          <w:szCs w:val="24"/>
          <w:highlight w:val="none"/>
        </w:rPr>
      </w:pPr>
    </w:p>
    <w:p w14:paraId="02EEAAD1">
      <w:pPr>
        <w:pStyle w:val="7"/>
        <w:rPr>
          <w:rFonts w:hint="eastAsia" w:ascii="仿宋" w:hAnsi="仿宋" w:eastAsia="仿宋" w:cs="仿宋"/>
          <w:color w:val="auto"/>
          <w:sz w:val="24"/>
          <w:szCs w:val="24"/>
          <w:highlight w:val="none"/>
        </w:rPr>
      </w:pPr>
    </w:p>
    <w:p w14:paraId="32F4E398">
      <w:pPr>
        <w:rPr>
          <w:rFonts w:hint="eastAsia" w:ascii="仿宋" w:hAnsi="仿宋" w:eastAsia="仿宋" w:cs="仿宋"/>
          <w:color w:val="auto"/>
          <w:sz w:val="24"/>
          <w:szCs w:val="24"/>
          <w:highlight w:val="none"/>
        </w:rPr>
      </w:pPr>
    </w:p>
    <w:p w14:paraId="7BE4E018">
      <w:pPr>
        <w:pStyle w:val="7"/>
        <w:rPr>
          <w:rFonts w:hint="eastAsia" w:ascii="仿宋" w:hAnsi="仿宋" w:eastAsia="仿宋" w:cs="仿宋"/>
          <w:color w:val="auto"/>
          <w:sz w:val="24"/>
          <w:szCs w:val="24"/>
          <w:highlight w:val="none"/>
        </w:rPr>
      </w:pPr>
    </w:p>
    <w:p w14:paraId="461B8637">
      <w:pPr>
        <w:rPr>
          <w:rFonts w:hint="eastAsia" w:ascii="仿宋" w:hAnsi="仿宋" w:eastAsia="仿宋" w:cs="仿宋"/>
          <w:color w:val="auto"/>
          <w:highlight w:val="none"/>
        </w:rPr>
      </w:pPr>
    </w:p>
    <w:p w14:paraId="2C86BED7">
      <w:pPr>
        <w:rPr>
          <w:rFonts w:hint="eastAsia" w:ascii="仿宋" w:hAnsi="仿宋" w:eastAsia="仿宋" w:cs="仿宋"/>
          <w:color w:val="auto"/>
          <w:highlight w:val="none"/>
        </w:rPr>
      </w:pPr>
    </w:p>
    <w:p w14:paraId="60C075FB">
      <w:pPr>
        <w:rPr>
          <w:rFonts w:hint="eastAsia" w:ascii="仿宋" w:hAnsi="仿宋" w:eastAsia="仿宋" w:cs="仿宋"/>
          <w:color w:val="auto"/>
          <w:highlight w:val="none"/>
        </w:rPr>
      </w:pPr>
    </w:p>
    <w:p w14:paraId="5BBEAC16">
      <w:pPr>
        <w:rPr>
          <w:rFonts w:hint="eastAsia" w:ascii="仿宋" w:hAnsi="仿宋" w:eastAsia="仿宋" w:cs="仿宋"/>
          <w:color w:val="auto"/>
          <w:highlight w:val="none"/>
        </w:rPr>
      </w:pPr>
    </w:p>
    <w:p w14:paraId="49B502B0">
      <w:pPr>
        <w:rPr>
          <w:rFonts w:hint="eastAsia" w:ascii="仿宋" w:hAnsi="仿宋" w:eastAsia="仿宋" w:cs="仿宋"/>
          <w:color w:val="auto"/>
          <w:highlight w:val="none"/>
        </w:rPr>
      </w:pPr>
    </w:p>
    <w:p w14:paraId="4EB0D831">
      <w:pPr>
        <w:rPr>
          <w:rFonts w:hint="eastAsia" w:ascii="仿宋" w:hAnsi="仿宋" w:eastAsia="仿宋" w:cs="仿宋"/>
          <w:color w:val="auto"/>
          <w:highlight w:val="none"/>
        </w:rPr>
      </w:pPr>
    </w:p>
    <w:p w14:paraId="05FA470A">
      <w:pPr>
        <w:rPr>
          <w:rFonts w:hint="eastAsia" w:ascii="仿宋" w:hAnsi="仿宋" w:eastAsia="仿宋" w:cs="仿宋"/>
          <w:color w:val="auto"/>
          <w:highlight w:val="none"/>
        </w:rPr>
      </w:pPr>
    </w:p>
    <w:p w14:paraId="08EC1D7A">
      <w:pPr>
        <w:rPr>
          <w:rFonts w:hint="eastAsia" w:ascii="仿宋" w:hAnsi="仿宋" w:eastAsia="仿宋" w:cs="仿宋"/>
          <w:color w:val="auto"/>
          <w:highlight w:val="none"/>
        </w:rPr>
      </w:pPr>
    </w:p>
    <w:p w14:paraId="679ADBF5">
      <w:pPr>
        <w:rPr>
          <w:rFonts w:hint="eastAsia" w:ascii="仿宋" w:hAnsi="仿宋" w:eastAsia="仿宋" w:cs="仿宋"/>
          <w:color w:val="auto"/>
          <w:highlight w:val="none"/>
        </w:rPr>
      </w:pPr>
    </w:p>
    <w:p w14:paraId="600585F7">
      <w:pPr>
        <w:rPr>
          <w:rFonts w:hint="eastAsia" w:ascii="仿宋" w:hAnsi="仿宋" w:eastAsia="仿宋" w:cs="仿宋"/>
          <w:color w:val="auto"/>
          <w:highlight w:val="none"/>
        </w:rPr>
      </w:pPr>
    </w:p>
    <w:p w14:paraId="613C24A6">
      <w:pPr>
        <w:rPr>
          <w:rFonts w:hint="eastAsia" w:ascii="仿宋" w:hAnsi="仿宋" w:eastAsia="仿宋" w:cs="仿宋"/>
          <w:color w:val="auto"/>
          <w:highlight w:val="none"/>
        </w:rPr>
      </w:pPr>
    </w:p>
    <w:p w14:paraId="3862BFF7">
      <w:pPr>
        <w:rPr>
          <w:rFonts w:hint="eastAsia" w:ascii="仿宋" w:hAnsi="仿宋" w:eastAsia="仿宋" w:cs="仿宋"/>
          <w:color w:val="auto"/>
          <w:highlight w:val="none"/>
        </w:rPr>
      </w:pPr>
    </w:p>
    <w:p w14:paraId="0D66C665">
      <w:pPr>
        <w:rPr>
          <w:rFonts w:hint="eastAsia" w:ascii="仿宋" w:hAnsi="仿宋" w:eastAsia="仿宋" w:cs="仿宋"/>
          <w:color w:val="auto"/>
          <w:highlight w:val="none"/>
        </w:rPr>
      </w:pPr>
    </w:p>
    <w:p w14:paraId="7A4473A9">
      <w:pPr>
        <w:rPr>
          <w:rFonts w:hint="eastAsia" w:ascii="仿宋" w:hAnsi="仿宋" w:eastAsia="仿宋" w:cs="仿宋"/>
          <w:color w:val="auto"/>
          <w:highlight w:val="none"/>
        </w:rPr>
      </w:pPr>
    </w:p>
    <w:p w14:paraId="47189FBE">
      <w:pPr>
        <w:rPr>
          <w:rFonts w:hint="eastAsia" w:ascii="仿宋" w:hAnsi="仿宋" w:eastAsia="仿宋" w:cs="仿宋"/>
          <w:color w:val="auto"/>
          <w:highlight w:val="none"/>
        </w:rPr>
      </w:pPr>
    </w:p>
    <w:p w14:paraId="097AB8AF">
      <w:pPr>
        <w:rPr>
          <w:rFonts w:hint="eastAsia" w:ascii="仿宋" w:hAnsi="仿宋" w:eastAsia="仿宋" w:cs="仿宋"/>
          <w:color w:val="auto"/>
          <w:highlight w:val="none"/>
        </w:rPr>
      </w:pPr>
    </w:p>
    <w:p w14:paraId="0E529844">
      <w:pPr>
        <w:ind w:firstLine="480"/>
        <w:jc w:val="left"/>
        <w:rPr>
          <w:rFonts w:hint="eastAsia" w:ascii="仿宋" w:hAnsi="仿宋" w:eastAsia="仿宋" w:cs="仿宋"/>
          <w:color w:val="auto"/>
          <w:sz w:val="24"/>
          <w:szCs w:val="24"/>
          <w:highlight w:val="none"/>
        </w:rPr>
      </w:pPr>
    </w:p>
    <w:bookmarkEnd w:id="57"/>
    <w:p w14:paraId="38AF34BA">
      <w:pPr>
        <w:pStyle w:val="2"/>
        <w:numPr>
          <w:ilvl w:val="0"/>
          <w:numId w:val="2"/>
        </w:numPr>
        <w:spacing w:line="240" w:lineRule="auto"/>
        <w:ind w:firstLine="883"/>
        <w:jc w:val="center"/>
        <w:rPr>
          <w:rFonts w:hint="eastAsia" w:ascii="仿宋" w:hAnsi="仿宋" w:eastAsia="仿宋" w:cs="仿宋"/>
          <w:color w:val="auto"/>
          <w:highlight w:val="none"/>
        </w:rPr>
      </w:pPr>
      <w:bookmarkStart w:id="66" w:name="_Toc106030882"/>
      <w:bookmarkStart w:id="67" w:name="_Toc183783138"/>
      <w:bookmarkStart w:id="68" w:name="_Toc76462327"/>
      <w:r>
        <w:rPr>
          <w:rFonts w:hint="eastAsia" w:ascii="仿宋" w:hAnsi="仿宋" w:eastAsia="仿宋" w:cs="仿宋"/>
          <w:color w:val="auto"/>
          <w:highlight w:val="none"/>
        </w:rPr>
        <w:t>项目商务需求</w:t>
      </w:r>
      <w:bookmarkEnd w:id="66"/>
      <w:bookmarkEnd w:id="67"/>
      <w:bookmarkEnd w:id="68"/>
    </w:p>
    <w:p w14:paraId="34869338">
      <w:pPr>
        <w:ind w:firstLine="482"/>
        <w:rPr>
          <w:rFonts w:hint="eastAsia" w:ascii="仿宋" w:hAnsi="仿宋" w:eastAsia="仿宋" w:cs="仿宋"/>
          <w:color w:val="auto"/>
          <w:highlight w:val="none"/>
        </w:rPr>
      </w:pPr>
      <w:r>
        <w:rPr>
          <w:rFonts w:hint="eastAsia" w:ascii="仿宋" w:hAnsi="仿宋" w:eastAsia="仿宋" w:cs="仿宋"/>
          <w:b/>
          <w:bCs/>
          <w:color w:val="auto"/>
          <w:sz w:val="24"/>
          <w:szCs w:val="24"/>
          <w:highlight w:val="none"/>
          <w:u w:val="single"/>
        </w:rPr>
        <w:t>本篇商务需求为符合性审查中的实质性要求，响应文件若不满足按无效投标处理。</w:t>
      </w:r>
    </w:p>
    <w:p w14:paraId="29CAA868">
      <w:pPr>
        <w:pStyle w:val="3"/>
        <w:spacing w:line="240" w:lineRule="auto"/>
        <w:ind w:firstLine="643"/>
        <w:rPr>
          <w:rFonts w:hint="eastAsia" w:ascii="仿宋" w:hAnsi="仿宋" w:eastAsia="仿宋" w:cs="仿宋"/>
          <w:color w:val="auto"/>
          <w:highlight w:val="none"/>
        </w:rPr>
      </w:pPr>
      <w:bookmarkStart w:id="69" w:name="_Toc106030883"/>
      <w:bookmarkStart w:id="70" w:name="_Toc183783139"/>
      <w:bookmarkStart w:id="71" w:name="_Toc344475120"/>
      <w:bookmarkStart w:id="72" w:name="_Toc76462328"/>
      <w:r>
        <w:rPr>
          <w:rFonts w:hint="eastAsia" w:ascii="仿宋" w:hAnsi="仿宋" w:eastAsia="仿宋" w:cs="仿宋"/>
          <w:color w:val="auto"/>
          <w:highlight w:val="none"/>
        </w:rPr>
        <w:t>一、服务期、地点及验收方式</w:t>
      </w:r>
      <w:bookmarkEnd w:id="69"/>
      <w:bookmarkEnd w:id="70"/>
      <w:bookmarkEnd w:id="71"/>
      <w:bookmarkEnd w:id="72"/>
    </w:p>
    <w:p w14:paraId="5F42DDAC">
      <w:pPr>
        <w:ind w:firstLine="480"/>
        <w:rPr>
          <w:rFonts w:hint="eastAsia" w:ascii="仿宋" w:hAnsi="仿宋" w:eastAsia="仿宋" w:cs="仿宋"/>
          <w:color w:val="auto"/>
          <w:sz w:val="24"/>
          <w:szCs w:val="18"/>
          <w:highlight w:val="none"/>
        </w:rPr>
      </w:pPr>
      <w:bookmarkStart w:id="73" w:name="_Toc344475121"/>
      <w:bookmarkStart w:id="74" w:name="_Toc106030884"/>
      <w:bookmarkStart w:id="75" w:name="_Toc76462329"/>
      <w:r>
        <w:rPr>
          <w:rFonts w:hint="eastAsia" w:ascii="仿宋" w:hAnsi="仿宋" w:eastAsia="仿宋" w:cs="仿宋"/>
          <w:color w:val="auto"/>
          <w:sz w:val="24"/>
          <w:szCs w:val="18"/>
          <w:highlight w:val="none"/>
        </w:rPr>
        <w:t>（一）服务期：</w:t>
      </w:r>
      <w:bookmarkStart w:id="76" w:name="_Hlk187327333"/>
      <w:r>
        <w:rPr>
          <w:rFonts w:hint="eastAsia" w:ascii="仿宋" w:hAnsi="仿宋" w:eastAsia="仿宋" w:cs="仿宋"/>
          <w:color w:val="auto"/>
          <w:sz w:val="24"/>
          <w:szCs w:val="18"/>
          <w:highlight w:val="none"/>
        </w:rPr>
        <w:t>中标次日签订服务合同，并于20个工作日内出具正式报告。</w:t>
      </w:r>
      <w:bookmarkEnd w:id="76"/>
    </w:p>
    <w:p w14:paraId="70C8BB12">
      <w:pPr>
        <w:ind w:firstLine="480"/>
        <w:rPr>
          <w:rFonts w:hint="eastAsia" w:ascii="仿宋" w:hAnsi="仿宋" w:eastAsia="仿宋" w:cs="仿宋"/>
          <w:color w:val="auto"/>
          <w:sz w:val="24"/>
          <w:szCs w:val="18"/>
          <w:highlight w:val="none"/>
        </w:rPr>
      </w:pPr>
      <w:r>
        <w:rPr>
          <w:rFonts w:hint="eastAsia" w:ascii="仿宋" w:hAnsi="仿宋" w:eastAsia="仿宋" w:cs="仿宋"/>
          <w:color w:val="auto"/>
          <w:sz w:val="24"/>
          <w:szCs w:val="18"/>
          <w:highlight w:val="none"/>
        </w:rPr>
        <w:t>（二）服务地点：采购人指定地点。</w:t>
      </w:r>
    </w:p>
    <w:p w14:paraId="099F4004">
      <w:pPr>
        <w:pStyle w:val="3"/>
        <w:spacing w:line="240" w:lineRule="auto"/>
        <w:ind w:firstLine="643"/>
        <w:rPr>
          <w:rFonts w:hint="eastAsia" w:ascii="仿宋" w:hAnsi="仿宋" w:eastAsia="仿宋" w:cs="仿宋"/>
          <w:color w:val="auto"/>
          <w:highlight w:val="none"/>
        </w:rPr>
      </w:pPr>
      <w:bookmarkStart w:id="77" w:name="_Toc183783140"/>
      <w:r>
        <w:rPr>
          <w:rFonts w:hint="eastAsia" w:ascii="仿宋" w:hAnsi="仿宋" w:eastAsia="仿宋" w:cs="仿宋"/>
          <w:color w:val="auto"/>
          <w:highlight w:val="none"/>
        </w:rPr>
        <w:t>二、</w:t>
      </w:r>
      <w:bookmarkEnd w:id="73"/>
      <w:r>
        <w:rPr>
          <w:rFonts w:hint="eastAsia" w:ascii="仿宋" w:hAnsi="仿宋" w:eastAsia="仿宋" w:cs="仿宋"/>
          <w:color w:val="auto"/>
          <w:highlight w:val="none"/>
        </w:rPr>
        <w:t>报价要求</w:t>
      </w:r>
      <w:bookmarkEnd w:id="74"/>
      <w:bookmarkEnd w:id="75"/>
      <w:bookmarkEnd w:id="77"/>
    </w:p>
    <w:p w14:paraId="45247D87">
      <w:pPr>
        <w:ind w:firstLine="480" w:firstLineChars="200"/>
        <w:jc w:val="left"/>
        <w:rPr>
          <w:rFonts w:hint="default" w:ascii="仿宋" w:hAnsi="仿宋" w:eastAsia="仿宋" w:cs="仿宋"/>
          <w:color w:val="auto"/>
          <w:sz w:val="24"/>
          <w:szCs w:val="18"/>
          <w:highlight w:val="none"/>
          <w:lang w:val="en-US" w:eastAsia="zh-CN"/>
        </w:rPr>
      </w:pPr>
      <w:r>
        <w:rPr>
          <w:rFonts w:hint="eastAsia" w:ascii="仿宋" w:hAnsi="仿宋" w:eastAsia="仿宋" w:cs="仿宋"/>
          <w:color w:val="auto"/>
          <w:sz w:val="24"/>
          <w:szCs w:val="18"/>
          <w:highlight w:val="none"/>
          <w:lang w:eastAsia="zh-CN"/>
        </w:rPr>
        <w:t>供应商按照总价报价，报价包括完成本项目所需的服务费、人工费及提供服务所需的设备或货物购买（制造）费、交通食宿费、培训费、保险费及各种应纳的税费。因成交供应商自身原因造成漏报、少报皆由其自行承担责任，采购人不再补偿。</w:t>
      </w:r>
    </w:p>
    <w:p w14:paraId="47010A5E">
      <w:pPr>
        <w:pStyle w:val="3"/>
        <w:spacing w:line="240" w:lineRule="auto"/>
        <w:ind w:firstLine="643"/>
        <w:rPr>
          <w:rFonts w:hint="eastAsia" w:ascii="仿宋" w:hAnsi="仿宋" w:eastAsia="仿宋" w:cs="仿宋"/>
          <w:color w:val="auto"/>
          <w:highlight w:val="none"/>
        </w:rPr>
      </w:pPr>
      <w:r>
        <w:rPr>
          <w:rFonts w:hint="eastAsia" w:ascii="仿宋" w:hAnsi="仿宋" w:eastAsia="仿宋" w:cs="仿宋"/>
          <w:b/>
          <w:color w:val="auto"/>
          <w:sz w:val="32"/>
          <w:highlight w:val="none"/>
        </w:rPr>
        <w:t>三、</w:t>
      </w:r>
      <w:bookmarkStart w:id="78" w:name="_Toc183783141"/>
      <w:r>
        <w:rPr>
          <w:rFonts w:hint="eastAsia" w:ascii="仿宋" w:hAnsi="仿宋" w:eastAsia="仿宋" w:cs="仿宋"/>
          <w:color w:val="auto"/>
          <w:highlight w:val="none"/>
        </w:rPr>
        <w:t>付款方式</w:t>
      </w:r>
      <w:bookmarkEnd w:id="78"/>
    </w:p>
    <w:p w14:paraId="313DD37E">
      <w:pPr>
        <w:ind w:firstLine="480" w:firstLineChars="200"/>
        <w:jc w:val="left"/>
        <w:rPr>
          <w:rFonts w:hint="eastAsia" w:ascii="仿宋" w:hAnsi="仿宋" w:eastAsia="仿宋" w:cs="仿宋"/>
          <w:color w:val="auto"/>
          <w:sz w:val="24"/>
          <w:szCs w:val="18"/>
          <w:highlight w:val="none"/>
        </w:rPr>
      </w:pPr>
      <w:r>
        <w:rPr>
          <w:rFonts w:hint="eastAsia" w:ascii="仿宋" w:hAnsi="仿宋" w:eastAsia="仿宋" w:cs="仿宋"/>
          <w:color w:val="auto"/>
          <w:sz w:val="24"/>
          <w:szCs w:val="18"/>
          <w:highlight w:val="none"/>
          <w:lang w:val="en-US" w:eastAsia="zh-CN"/>
        </w:rPr>
        <w:t>供应商进场后支付至总合同金额的50%，供应商出具正式报告且验收合格，并开具总合同金额且合法的增值税专用发票后，支付至总合同金额的100%</w:t>
      </w:r>
      <w:r>
        <w:rPr>
          <w:rFonts w:hint="eastAsia" w:ascii="仿宋" w:hAnsi="仿宋" w:eastAsia="仿宋" w:cs="仿宋"/>
          <w:color w:val="auto"/>
          <w:sz w:val="24"/>
          <w:szCs w:val="18"/>
          <w:highlight w:val="none"/>
          <w:lang w:eastAsia="zh-CN"/>
        </w:rPr>
        <w:t>。</w:t>
      </w:r>
    </w:p>
    <w:p w14:paraId="20EC3C6C">
      <w:pPr>
        <w:pStyle w:val="3"/>
        <w:shd w:val="clear"/>
        <w:spacing w:line="240" w:lineRule="auto"/>
        <w:ind w:firstLine="643"/>
        <w:rPr>
          <w:rFonts w:hint="eastAsia" w:ascii="仿宋" w:hAnsi="仿宋" w:eastAsia="仿宋" w:cs="仿宋"/>
          <w:color w:val="auto"/>
          <w:highlight w:val="none"/>
          <w:lang w:eastAsia="zh-CN"/>
        </w:rPr>
      </w:pPr>
      <w:r>
        <w:rPr>
          <w:rFonts w:hint="eastAsia" w:ascii="仿宋" w:hAnsi="仿宋" w:eastAsia="仿宋" w:cs="仿宋"/>
          <w:color w:val="auto"/>
          <w:highlight w:val="none"/>
          <w:lang w:val="en-US" w:eastAsia="zh-CN"/>
        </w:rPr>
        <w:t>四、知识产权</w:t>
      </w:r>
    </w:p>
    <w:p w14:paraId="63321113">
      <w:pPr>
        <w:shd w:val="clear"/>
        <w:ind w:firstLine="480" w:firstLineChars="200"/>
        <w:jc w:val="left"/>
        <w:rPr>
          <w:rFonts w:hint="eastAsia" w:ascii="仿宋" w:hAnsi="仿宋" w:eastAsia="仿宋" w:cs="仿宋"/>
          <w:color w:val="auto"/>
          <w:sz w:val="24"/>
          <w:szCs w:val="18"/>
          <w:highlight w:val="none"/>
        </w:rPr>
      </w:pPr>
      <w:r>
        <w:rPr>
          <w:rFonts w:hint="eastAsia" w:ascii="仿宋" w:hAnsi="仿宋" w:eastAsia="仿宋" w:cs="仿宋"/>
          <w:color w:val="auto"/>
          <w:sz w:val="24"/>
          <w:szCs w:val="18"/>
          <w:highlight w:val="none"/>
        </w:rPr>
        <w:t>采购人在中华人民共和国境内使用供应商提供的货物及服务时免受第三方提出的侵犯其专利权或其它知识产权的起诉。如果第三方提出侵权指控，中标人应承担由此而引起的一切法律责任和费用。</w:t>
      </w:r>
    </w:p>
    <w:p w14:paraId="7E9AD369">
      <w:pPr>
        <w:pStyle w:val="3"/>
        <w:shd w:val="clear"/>
        <w:spacing w:line="240" w:lineRule="auto"/>
        <w:ind w:firstLine="643"/>
        <w:rPr>
          <w:rFonts w:hint="eastAsia" w:ascii="仿宋" w:hAnsi="仿宋" w:eastAsia="仿宋" w:cs="仿宋"/>
          <w:color w:val="auto"/>
          <w:highlight w:val="none"/>
        </w:rPr>
      </w:pPr>
      <w:r>
        <w:rPr>
          <w:rFonts w:hint="eastAsia" w:ascii="仿宋" w:hAnsi="仿宋" w:eastAsia="仿宋" w:cs="仿宋"/>
          <w:color w:val="auto"/>
          <w:highlight w:val="none"/>
          <w:lang w:val="en-US" w:eastAsia="zh-CN"/>
        </w:rPr>
        <w:t>五</w:t>
      </w:r>
      <w:r>
        <w:rPr>
          <w:rFonts w:hint="eastAsia" w:ascii="仿宋" w:hAnsi="仿宋" w:eastAsia="仿宋" w:cs="仿宋"/>
          <w:color w:val="auto"/>
          <w:highlight w:val="none"/>
        </w:rPr>
        <w:t>、其他商务要求内容</w:t>
      </w:r>
    </w:p>
    <w:p w14:paraId="62AF1573">
      <w:pPr>
        <w:pStyle w:val="2"/>
        <w:spacing w:line="240" w:lineRule="auto"/>
        <w:ind w:firstLine="480" w:firstLineChars="200"/>
        <w:jc w:val="both"/>
        <w:rPr>
          <w:rFonts w:hint="eastAsia" w:ascii="仿宋" w:hAnsi="仿宋" w:eastAsia="仿宋" w:cs="仿宋"/>
          <w:color w:val="auto"/>
          <w:sz w:val="24"/>
          <w:szCs w:val="24"/>
          <w:highlight w:val="none"/>
        </w:rPr>
      </w:pPr>
      <w:r>
        <w:rPr>
          <w:rFonts w:hint="eastAsia" w:ascii="仿宋" w:hAnsi="仿宋" w:eastAsia="仿宋" w:cs="仿宋"/>
          <w:b w:val="0"/>
          <w:color w:val="auto"/>
          <w:kern w:val="2"/>
          <w:sz w:val="24"/>
          <w:szCs w:val="18"/>
          <w:highlight w:val="none"/>
          <w:lang w:val="en-US" w:eastAsia="zh-CN" w:bidi="ar-SA"/>
        </w:rPr>
        <w:t>其他未尽事宜由供需双方在合同中约定。</w:t>
      </w:r>
      <w:r>
        <w:rPr>
          <w:rFonts w:hint="eastAsia" w:ascii="仿宋" w:hAnsi="仿宋" w:eastAsia="仿宋" w:cs="仿宋"/>
          <w:color w:val="auto"/>
          <w:sz w:val="24"/>
          <w:szCs w:val="24"/>
          <w:highlight w:val="none"/>
        </w:rPr>
        <w:br w:type="page"/>
      </w:r>
      <w:bookmarkStart w:id="79" w:name="_Toc109836389"/>
      <w:bookmarkStart w:id="80" w:name="_Toc183783144"/>
      <w:r>
        <w:rPr>
          <w:rFonts w:hint="eastAsia" w:ascii="仿宋" w:hAnsi="仿宋" w:eastAsia="仿宋" w:cs="仿宋"/>
          <w:color w:val="auto"/>
          <w:sz w:val="40"/>
          <w:szCs w:val="18"/>
          <w:highlight w:val="none"/>
        </w:rPr>
        <w:t>第四篇  竞采程序、评标办法</w:t>
      </w:r>
      <w:bookmarkEnd w:id="79"/>
      <w:r>
        <w:rPr>
          <w:rFonts w:hint="eastAsia" w:ascii="仿宋" w:hAnsi="仿宋" w:eastAsia="仿宋" w:cs="仿宋"/>
          <w:color w:val="auto"/>
          <w:sz w:val="40"/>
          <w:szCs w:val="18"/>
          <w:highlight w:val="none"/>
        </w:rPr>
        <w:t>、无效响应及采购终止</w:t>
      </w:r>
      <w:bookmarkEnd w:id="80"/>
    </w:p>
    <w:p w14:paraId="71D6C48D">
      <w:pPr>
        <w:pStyle w:val="3"/>
        <w:spacing w:line="240" w:lineRule="auto"/>
        <w:ind w:firstLine="643"/>
        <w:rPr>
          <w:rFonts w:hint="eastAsia" w:ascii="仿宋" w:hAnsi="仿宋" w:eastAsia="仿宋" w:cs="仿宋"/>
          <w:color w:val="auto"/>
          <w:highlight w:val="none"/>
        </w:rPr>
      </w:pPr>
      <w:bookmarkStart w:id="81" w:name="_Toc10124"/>
      <w:bookmarkStart w:id="82" w:name="_Toc183783145"/>
      <w:r>
        <w:rPr>
          <w:rFonts w:hint="eastAsia" w:ascii="仿宋" w:hAnsi="仿宋" w:eastAsia="仿宋" w:cs="仿宋"/>
          <w:color w:val="auto"/>
          <w:highlight w:val="none"/>
        </w:rPr>
        <w:t>一、</w:t>
      </w:r>
      <w:bookmarkEnd w:id="81"/>
      <w:bookmarkStart w:id="83" w:name="_Toc75793518"/>
      <w:r>
        <w:rPr>
          <w:rFonts w:hint="eastAsia" w:ascii="仿宋" w:hAnsi="仿宋" w:eastAsia="仿宋" w:cs="仿宋"/>
          <w:color w:val="auto"/>
          <w:highlight w:val="none"/>
        </w:rPr>
        <w:t>网上竞采程序</w:t>
      </w:r>
      <w:bookmarkEnd w:id="82"/>
      <w:bookmarkEnd w:id="83"/>
    </w:p>
    <w:p w14:paraId="573F4504">
      <w:pPr>
        <w:ind w:firstLine="48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（一）报价截止后评审小组对各供应商的资格条件、响应文件的有效性、完整性和响应程度进行审查。各供应商只有在完全符合要求的前提下，才能参与正式评审。</w:t>
      </w:r>
    </w:p>
    <w:p w14:paraId="31478498">
      <w:pPr>
        <w:ind w:firstLine="482" w:firstLineChars="200"/>
        <w:jc w:val="left"/>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1.资格性检查。</w:t>
      </w:r>
      <w:r>
        <w:rPr>
          <w:rFonts w:hint="eastAsia" w:ascii="仿宋" w:hAnsi="仿宋" w:eastAsia="仿宋" w:cs="仿宋"/>
          <w:color w:val="auto"/>
          <w:sz w:val="24"/>
          <w:szCs w:val="24"/>
          <w:highlight w:val="none"/>
        </w:rPr>
        <w:t>依据法律法规和采购文件的规定，对响应文件中的资格证明等进行审查，以确定供应商是否具备资格。资格性检查资料表如下：</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709"/>
        <w:gridCol w:w="2976"/>
        <w:gridCol w:w="5155"/>
      </w:tblGrid>
      <w:tr w14:paraId="7354D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Align w:val="center"/>
          </w:tcPr>
          <w:p w14:paraId="1FB68267">
            <w:pP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序号</w:t>
            </w:r>
          </w:p>
        </w:tc>
        <w:tc>
          <w:tcPr>
            <w:tcW w:w="3685" w:type="dxa"/>
            <w:gridSpan w:val="2"/>
            <w:vAlign w:val="center"/>
          </w:tcPr>
          <w:p w14:paraId="37B57253">
            <w:pPr>
              <w:ind w:firstLine="482"/>
              <w:jc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检查因素</w:t>
            </w:r>
          </w:p>
        </w:tc>
        <w:tc>
          <w:tcPr>
            <w:tcW w:w="5155" w:type="dxa"/>
            <w:vAlign w:val="center"/>
          </w:tcPr>
          <w:p w14:paraId="46EFA9E0">
            <w:pPr>
              <w:ind w:firstLine="482"/>
              <w:jc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检查内容</w:t>
            </w:r>
          </w:p>
        </w:tc>
      </w:tr>
      <w:tr w14:paraId="65175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Merge w:val="restart"/>
            <w:vAlign w:val="center"/>
          </w:tcPr>
          <w:p w14:paraId="194B8E11">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p>
        </w:tc>
        <w:tc>
          <w:tcPr>
            <w:tcW w:w="709" w:type="dxa"/>
            <w:vMerge w:val="restart"/>
            <w:vAlign w:val="center"/>
          </w:tcPr>
          <w:p w14:paraId="0295E457">
            <w:pPr>
              <w:jc w:val="center"/>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rPr>
              <w:t>供应商</w:t>
            </w:r>
            <w:r>
              <w:rPr>
                <w:rFonts w:hint="eastAsia" w:ascii="仿宋" w:hAnsi="仿宋" w:eastAsia="仿宋" w:cs="仿宋"/>
                <w:color w:val="auto"/>
                <w:sz w:val="24"/>
                <w:szCs w:val="24"/>
                <w:highlight w:val="none"/>
                <w:lang w:val="zh-CN"/>
              </w:rPr>
              <w:t>应符合的基本</w:t>
            </w:r>
            <w:r>
              <w:rPr>
                <w:rFonts w:hint="eastAsia" w:ascii="仿宋" w:hAnsi="仿宋" w:eastAsia="仿宋" w:cs="仿宋"/>
                <w:color w:val="auto"/>
                <w:sz w:val="24"/>
                <w:szCs w:val="24"/>
                <w:highlight w:val="none"/>
              </w:rPr>
              <w:t>资格</w:t>
            </w:r>
            <w:r>
              <w:rPr>
                <w:rFonts w:hint="eastAsia" w:ascii="仿宋" w:hAnsi="仿宋" w:eastAsia="仿宋" w:cs="仿宋"/>
                <w:color w:val="auto"/>
                <w:sz w:val="24"/>
                <w:szCs w:val="24"/>
                <w:highlight w:val="none"/>
                <w:lang w:val="zh-CN"/>
              </w:rPr>
              <w:t>条件</w:t>
            </w:r>
          </w:p>
        </w:tc>
        <w:tc>
          <w:tcPr>
            <w:tcW w:w="2976" w:type="dxa"/>
            <w:vAlign w:val="center"/>
          </w:tcPr>
          <w:p w14:paraId="4B659FFE">
            <w:pPr>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（1）具有独立承担民事责任的能力</w:t>
            </w:r>
          </w:p>
        </w:tc>
        <w:tc>
          <w:tcPr>
            <w:tcW w:w="5155" w:type="dxa"/>
            <w:vAlign w:val="center"/>
          </w:tcPr>
          <w:p w14:paraId="14B7AA92">
            <w:pPr>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供应商法人营业执照（副本）或事业单位法人证书（副本）； 供应商法定代表人身份证明和法定代表人授权代表委托书。</w:t>
            </w:r>
          </w:p>
        </w:tc>
      </w:tr>
      <w:tr w14:paraId="745C3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Merge w:val="continue"/>
            <w:vAlign w:val="center"/>
          </w:tcPr>
          <w:p w14:paraId="4C9549A8">
            <w:pPr>
              <w:ind w:firstLine="480"/>
              <w:jc w:val="left"/>
              <w:rPr>
                <w:rFonts w:hint="eastAsia" w:ascii="仿宋" w:hAnsi="仿宋" w:eastAsia="仿宋" w:cs="仿宋"/>
                <w:color w:val="auto"/>
                <w:sz w:val="24"/>
                <w:szCs w:val="24"/>
                <w:highlight w:val="none"/>
              </w:rPr>
            </w:pPr>
          </w:p>
        </w:tc>
        <w:tc>
          <w:tcPr>
            <w:tcW w:w="709" w:type="dxa"/>
            <w:vMerge w:val="continue"/>
            <w:vAlign w:val="center"/>
          </w:tcPr>
          <w:p w14:paraId="16379AB5">
            <w:pPr>
              <w:ind w:firstLine="480"/>
              <w:jc w:val="left"/>
              <w:rPr>
                <w:rFonts w:hint="eastAsia" w:ascii="仿宋" w:hAnsi="仿宋" w:eastAsia="仿宋" w:cs="仿宋"/>
                <w:color w:val="auto"/>
                <w:sz w:val="24"/>
                <w:szCs w:val="24"/>
                <w:highlight w:val="none"/>
                <w:lang w:val="zh-CN"/>
              </w:rPr>
            </w:pPr>
          </w:p>
        </w:tc>
        <w:tc>
          <w:tcPr>
            <w:tcW w:w="2976" w:type="dxa"/>
            <w:vAlign w:val="center"/>
          </w:tcPr>
          <w:p w14:paraId="6E36E213">
            <w:pPr>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（2）具有良好的商业信誉和健全的财务会计制度</w:t>
            </w:r>
          </w:p>
        </w:tc>
        <w:tc>
          <w:tcPr>
            <w:tcW w:w="5155" w:type="dxa"/>
            <w:vMerge w:val="restart"/>
            <w:vAlign w:val="center"/>
          </w:tcPr>
          <w:p w14:paraId="4A8BE851">
            <w:pPr>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供应商提供承诺函（见格式文件）</w:t>
            </w:r>
          </w:p>
        </w:tc>
      </w:tr>
      <w:tr w14:paraId="0D5D8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Merge w:val="continue"/>
            <w:vAlign w:val="center"/>
          </w:tcPr>
          <w:p w14:paraId="10BDABB1">
            <w:pPr>
              <w:ind w:firstLine="480"/>
              <w:jc w:val="left"/>
              <w:rPr>
                <w:rFonts w:hint="eastAsia" w:ascii="仿宋" w:hAnsi="仿宋" w:eastAsia="仿宋" w:cs="仿宋"/>
                <w:color w:val="auto"/>
                <w:sz w:val="24"/>
                <w:szCs w:val="24"/>
                <w:highlight w:val="none"/>
              </w:rPr>
            </w:pPr>
          </w:p>
        </w:tc>
        <w:tc>
          <w:tcPr>
            <w:tcW w:w="709" w:type="dxa"/>
            <w:vMerge w:val="continue"/>
            <w:vAlign w:val="center"/>
          </w:tcPr>
          <w:p w14:paraId="57705FF8">
            <w:pPr>
              <w:ind w:firstLine="480"/>
              <w:jc w:val="left"/>
              <w:rPr>
                <w:rFonts w:hint="eastAsia" w:ascii="仿宋" w:hAnsi="仿宋" w:eastAsia="仿宋" w:cs="仿宋"/>
                <w:color w:val="auto"/>
                <w:sz w:val="24"/>
                <w:szCs w:val="24"/>
                <w:highlight w:val="none"/>
                <w:lang w:val="zh-CN"/>
              </w:rPr>
            </w:pPr>
          </w:p>
        </w:tc>
        <w:tc>
          <w:tcPr>
            <w:tcW w:w="2976" w:type="dxa"/>
            <w:vAlign w:val="center"/>
          </w:tcPr>
          <w:p w14:paraId="0D1E8F8E">
            <w:pPr>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（3）具有履行合同所必需的设备和专业技术能力</w:t>
            </w:r>
          </w:p>
        </w:tc>
        <w:tc>
          <w:tcPr>
            <w:tcW w:w="5155" w:type="dxa"/>
            <w:vMerge w:val="continue"/>
            <w:vAlign w:val="center"/>
          </w:tcPr>
          <w:p w14:paraId="6875E19F">
            <w:pPr>
              <w:ind w:firstLine="480"/>
              <w:jc w:val="left"/>
              <w:rPr>
                <w:rFonts w:hint="eastAsia" w:ascii="仿宋" w:hAnsi="仿宋" w:eastAsia="仿宋" w:cs="仿宋"/>
                <w:color w:val="auto"/>
                <w:sz w:val="24"/>
                <w:szCs w:val="24"/>
                <w:highlight w:val="none"/>
              </w:rPr>
            </w:pPr>
          </w:p>
        </w:tc>
      </w:tr>
      <w:tr w14:paraId="4F9FA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676" w:type="dxa"/>
            <w:vMerge w:val="continue"/>
            <w:vAlign w:val="center"/>
          </w:tcPr>
          <w:p w14:paraId="57759D96">
            <w:pPr>
              <w:ind w:firstLine="480"/>
              <w:jc w:val="left"/>
              <w:rPr>
                <w:rFonts w:hint="eastAsia" w:ascii="仿宋" w:hAnsi="仿宋" w:eastAsia="仿宋" w:cs="仿宋"/>
                <w:color w:val="auto"/>
                <w:sz w:val="24"/>
                <w:szCs w:val="24"/>
                <w:highlight w:val="none"/>
              </w:rPr>
            </w:pPr>
          </w:p>
        </w:tc>
        <w:tc>
          <w:tcPr>
            <w:tcW w:w="709" w:type="dxa"/>
            <w:vMerge w:val="continue"/>
            <w:vAlign w:val="center"/>
          </w:tcPr>
          <w:p w14:paraId="562B6041">
            <w:pPr>
              <w:ind w:firstLine="480"/>
              <w:jc w:val="left"/>
              <w:rPr>
                <w:rFonts w:hint="eastAsia" w:ascii="仿宋" w:hAnsi="仿宋" w:eastAsia="仿宋" w:cs="仿宋"/>
                <w:color w:val="auto"/>
                <w:sz w:val="24"/>
                <w:szCs w:val="24"/>
                <w:highlight w:val="none"/>
                <w:lang w:val="zh-CN"/>
              </w:rPr>
            </w:pPr>
          </w:p>
        </w:tc>
        <w:tc>
          <w:tcPr>
            <w:tcW w:w="2976" w:type="dxa"/>
            <w:vAlign w:val="center"/>
          </w:tcPr>
          <w:p w14:paraId="59187281">
            <w:pPr>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（4）有依法缴纳税收和社会保障金的良好记录</w:t>
            </w:r>
          </w:p>
        </w:tc>
        <w:tc>
          <w:tcPr>
            <w:tcW w:w="5155" w:type="dxa"/>
            <w:vMerge w:val="continue"/>
            <w:vAlign w:val="center"/>
          </w:tcPr>
          <w:p w14:paraId="19EDB75A">
            <w:pPr>
              <w:ind w:firstLine="480"/>
              <w:jc w:val="left"/>
              <w:rPr>
                <w:rFonts w:hint="eastAsia" w:ascii="仿宋" w:hAnsi="仿宋" w:eastAsia="仿宋" w:cs="仿宋"/>
                <w:color w:val="auto"/>
                <w:sz w:val="24"/>
                <w:szCs w:val="24"/>
                <w:highlight w:val="none"/>
              </w:rPr>
            </w:pPr>
          </w:p>
        </w:tc>
      </w:tr>
      <w:tr w14:paraId="29C43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Merge w:val="continue"/>
            <w:vAlign w:val="center"/>
          </w:tcPr>
          <w:p w14:paraId="3BE9837C">
            <w:pPr>
              <w:ind w:firstLine="480"/>
              <w:jc w:val="left"/>
              <w:rPr>
                <w:rFonts w:hint="eastAsia" w:ascii="仿宋" w:hAnsi="仿宋" w:eastAsia="仿宋" w:cs="仿宋"/>
                <w:color w:val="auto"/>
                <w:sz w:val="24"/>
                <w:szCs w:val="24"/>
                <w:highlight w:val="none"/>
              </w:rPr>
            </w:pPr>
          </w:p>
        </w:tc>
        <w:tc>
          <w:tcPr>
            <w:tcW w:w="709" w:type="dxa"/>
            <w:vMerge w:val="continue"/>
            <w:vAlign w:val="center"/>
          </w:tcPr>
          <w:p w14:paraId="0865FA0D">
            <w:pPr>
              <w:ind w:firstLine="480"/>
              <w:jc w:val="left"/>
              <w:rPr>
                <w:rFonts w:hint="eastAsia" w:ascii="仿宋" w:hAnsi="仿宋" w:eastAsia="仿宋" w:cs="仿宋"/>
                <w:color w:val="auto"/>
                <w:sz w:val="24"/>
                <w:szCs w:val="24"/>
                <w:highlight w:val="none"/>
                <w:lang w:val="zh-CN"/>
              </w:rPr>
            </w:pPr>
          </w:p>
        </w:tc>
        <w:tc>
          <w:tcPr>
            <w:tcW w:w="2976" w:type="dxa"/>
            <w:vAlign w:val="center"/>
          </w:tcPr>
          <w:p w14:paraId="4B367B92">
            <w:pPr>
              <w:jc w:val="left"/>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rPr>
              <w:t>（5）参加政府采购活动前三年内，在经营活动中没有重大违法记录</w:t>
            </w:r>
          </w:p>
        </w:tc>
        <w:tc>
          <w:tcPr>
            <w:tcW w:w="5155" w:type="dxa"/>
            <w:vAlign w:val="center"/>
          </w:tcPr>
          <w:p w14:paraId="528B68D0">
            <w:pPr>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1.供应商提供书面声明（见格式文件）；</w:t>
            </w:r>
          </w:p>
          <w:p w14:paraId="5CFCA0FC">
            <w:pPr>
              <w:jc w:val="left"/>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2.</w:t>
            </w:r>
            <w:r>
              <w:rPr>
                <w:rFonts w:hint="eastAsia" w:ascii="仿宋" w:hAnsi="仿宋" w:eastAsia="仿宋" w:cs="仿宋"/>
                <w:color w:val="auto"/>
                <w:sz w:val="24"/>
                <w:szCs w:val="24"/>
                <w:highlight w:val="none"/>
                <w:lang w:val="en-US" w:eastAsia="zh-CN"/>
              </w:rPr>
              <w:t>采购人或采购代理机构将通过 “信用中国”网站(www.creditchina.gov.cn)、"中国政府采购网"(www.ccgp.gov.cn)等渠道查询供应商信用记录，对列入失信被执行人、重大税收违法案件当事人名单、政府采购严重违法失信行为记录名单的供应商将拒绝其参与政府采购活动</w:t>
            </w:r>
          </w:p>
        </w:tc>
      </w:tr>
      <w:tr w14:paraId="4AC12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676" w:type="dxa"/>
            <w:vMerge w:val="continue"/>
            <w:vAlign w:val="center"/>
          </w:tcPr>
          <w:p w14:paraId="669885B8">
            <w:pPr>
              <w:ind w:firstLine="480"/>
              <w:jc w:val="left"/>
              <w:rPr>
                <w:rFonts w:hint="eastAsia" w:ascii="仿宋" w:hAnsi="仿宋" w:eastAsia="仿宋" w:cs="仿宋"/>
                <w:color w:val="auto"/>
                <w:sz w:val="24"/>
                <w:szCs w:val="24"/>
                <w:highlight w:val="none"/>
              </w:rPr>
            </w:pPr>
          </w:p>
        </w:tc>
        <w:tc>
          <w:tcPr>
            <w:tcW w:w="709" w:type="dxa"/>
            <w:vMerge w:val="continue"/>
            <w:vAlign w:val="center"/>
          </w:tcPr>
          <w:p w14:paraId="044ED0F1">
            <w:pPr>
              <w:ind w:firstLine="480"/>
              <w:jc w:val="left"/>
              <w:rPr>
                <w:rFonts w:hint="eastAsia" w:ascii="仿宋" w:hAnsi="仿宋" w:eastAsia="仿宋" w:cs="仿宋"/>
                <w:color w:val="auto"/>
                <w:sz w:val="24"/>
                <w:szCs w:val="24"/>
                <w:highlight w:val="none"/>
                <w:lang w:val="zh-CN"/>
              </w:rPr>
            </w:pPr>
          </w:p>
        </w:tc>
        <w:tc>
          <w:tcPr>
            <w:tcW w:w="2976" w:type="dxa"/>
            <w:vAlign w:val="center"/>
          </w:tcPr>
          <w:p w14:paraId="5EB27302">
            <w:pPr>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（6）法律、行政法规规定的其他条件</w:t>
            </w:r>
          </w:p>
        </w:tc>
        <w:tc>
          <w:tcPr>
            <w:tcW w:w="5155" w:type="dxa"/>
            <w:vAlign w:val="center"/>
          </w:tcPr>
          <w:p w14:paraId="7EF2FC2C">
            <w:pPr>
              <w:ind w:firstLine="480"/>
              <w:jc w:val="left"/>
              <w:rPr>
                <w:rFonts w:hint="eastAsia" w:ascii="仿宋" w:hAnsi="仿宋" w:eastAsia="仿宋" w:cs="仿宋"/>
                <w:color w:val="auto"/>
                <w:sz w:val="24"/>
                <w:szCs w:val="24"/>
                <w:highlight w:val="none"/>
              </w:rPr>
            </w:pPr>
          </w:p>
        </w:tc>
      </w:tr>
      <w:tr w14:paraId="3D77A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676" w:type="dxa"/>
            <w:vAlign w:val="center"/>
          </w:tcPr>
          <w:p w14:paraId="6FC6C979">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p>
        </w:tc>
        <w:tc>
          <w:tcPr>
            <w:tcW w:w="3685" w:type="dxa"/>
            <w:gridSpan w:val="2"/>
            <w:vAlign w:val="center"/>
          </w:tcPr>
          <w:p w14:paraId="382C1ED8">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特定资格条件</w:t>
            </w:r>
          </w:p>
        </w:tc>
        <w:tc>
          <w:tcPr>
            <w:tcW w:w="5155" w:type="dxa"/>
            <w:vAlign w:val="center"/>
          </w:tcPr>
          <w:p w14:paraId="0FA80FED">
            <w:pPr>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按第一篇“三、供应商资格条件（二）本项目的特定资格要求”的要求提交</w:t>
            </w:r>
          </w:p>
        </w:tc>
      </w:tr>
    </w:tbl>
    <w:p w14:paraId="325640E5">
      <w:pPr>
        <w:snapToGrid w:val="0"/>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注：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由执行人所在的省、自治区、直辖市人民政府制定，国务院有关部门规定了较大数额标准的，从其规定。</w:t>
      </w:r>
    </w:p>
    <w:p w14:paraId="32046437">
      <w:pPr>
        <w:snapToGrid w:val="0"/>
        <w:ind w:firstLine="482" w:firstLineChars="200"/>
        <w:rPr>
          <w:rFonts w:hint="eastAsia" w:ascii="仿宋" w:hAnsi="仿宋" w:eastAsia="仿宋" w:cs="仿宋"/>
          <w:color w:val="auto"/>
          <w:kern w:val="0"/>
          <w:sz w:val="24"/>
          <w:szCs w:val="24"/>
          <w:highlight w:val="none"/>
        </w:rPr>
      </w:pPr>
      <w:r>
        <w:rPr>
          <w:rFonts w:hint="eastAsia" w:ascii="仿宋" w:hAnsi="仿宋" w:eastAsia="仿宋" w:cs="仿宋"/>
          <w:b/>
          <w:bCs/>
          <w:color w:val="auto"/>
          <w:kern w:val="0"/>
          <w:sz w:val="24"/>
          <w:szCs w:val="24"/>
          <w:highlight w:val="none"/>
        </w:rPr>
        <w:t>2.符合性检查。</w:t>
      </w:r>
      <w:r>
        <w:rPr>
          <w:rFonts w:hint="eastAsia" w:ascii="仿宋" w:hAnsi="仿宋" w:eastAsia="仿宋" w:cs="仿宋"/>
          <w:color w:val="auto"/>
          <w:kern w:val="0"/>
          <w:sz w:val="24"/>
          <w:szCs w:val="24"/>
          <w:highlight w:val="none"/>
        </w:rPr>
        <w:t>依据网上竞采文件的规定，从响应文件的有效性、完整性和对网上竞采文件的响应程度进行审查，以确定是否对网上竞采文件的实质性要求作出响应。符合性检查资料表如下：</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
        <w:gridCol w:w="1500"/>
        <w:gridCol w:w="1884"/>
        <w:gridCol w:w="5409"/>
      </w:tblGrid>
      <w:tr w14:paraId="06D91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835" w:type="dxa"/>
            <w:vAlign w:val="center"/>
          </w:tcPr>
          <w:p w14:paraId="6D854F58">
            <w:pP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序号</w:t>
            </w:r>
          </w:p>
        </w:tc>
        <w:tc>
          <w:tcPr>
            <w:tcW w:w="3384" w:type="dxa"/>
            <w:gridSpan w:val="2"/>
            <w:vAlign w:val="center"/>
          </w:tcPr>
          <w:p w14:paraId="2E41DA1B">
            <w:pPr>
              <w:ind w:firstLine="482"/>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评审</w:t>
            </w:r>
            <w:r>
              <w:rPr>
                <w:rFonts w:hint="eastAsia" w:ascii="仿宋" w:hAnsi="仿宋" w:eastAsia="仿宋" w:cs="仿宋"/>
                <w:b/>
                <w:bCs/>
                <w:color w:val="auto"/>
                <w:sz w:val="24"/>
                <w:szCs w:val="24"/>
                <w:highlight w:val="none"/>
              </w:rPr>
              <w:t>因素</w:t>
            </w:r>
          </w:p>
        </w:tc>
        <w:tc>
          <w:tcPr>
            <w:tcW w:w="5409" w:type="dxa"/>
            <w:vAlign w:val="center"/>
          </w:tcPr>
          <w:p w14:paraId="2F591075">
            <w:pPr>
              <w:ind w:firstLine="482"/>
              <w:jc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评审标准</w:t>
            </w:r>
          </w:p>
        </w:tc>
      </w:tr>
      <w:tr w14:paraId="18332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835" w:type="dxa"/>
            <w:vMerge w:val="restart"/>
            <w:vAlign w:val="center"/>
          </w:tcPr>
          <w:p w14:paraId="51AFF6B5">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p>
        </w:tc>
        <w:tc>
          <w:tcPr>
            <w:tcW w:w="1500" w:type="dxa"/>
            <w:vMerge w:val="restart"/>
            <w:vAlign w:val="center"/>
          </w:tcPr>
          <w:p w14:paraId="66984E60">
            <w:pPr>
              <w:jc w:val="left"/>
              <w:rPr>
                <w:rFonts w:hint="eastAsia" w:ascii="仿宋" w:hAnsi="仿宋" w:eastAsia="仿宋" w:cs="仿宋"/>
                <w:color w:val="auto"/>
                <w:kern w:val="0"/>
                <w:sz w:val="24"/>
                <w:szCs w:val="24"/>
                <w:highlight w:val="none"/>
              </w:rPr>
            </w:pPr>
            <w:r>
              <w:rPr>
                <w:rFonts w:hint="eastAsia" w:ascii="仿宋" w:hAnsi="仿宋" w:eastAsia="仿宋" w:cs="仿宋"/>
                <w:color w:val="auto"/>
                <w:sz w:val="24"/>
                <w:szCs w:val="24"/>
                <w:highlight w:val="none"/>
              </w:rPr>
              <w:t>有效性</w:t>
            </w:r>
            <w:r>
              <w:rPr>
                <w:rFonts w:hint="eastAsia" w:ascii="仿宋" w:hAnsi="仿宋" w:eastAsia="仿宋" w:cs="仿宋"/>
                <w:color w:val="auto"/>
                <w:kern w:val="0"/>
                <w:sz w:val="24"/>
                <w:szCs w:val="24"/>
                <w:highlight w:val="none"/>
              </w:rPr>
              <w:t>审查</w:t>
            </w:r>
          </w:p>
        </w:tc>
        <w:tc>
          <w:tcPr>
            <w:tcW w:w="1884" w:type="dxa"/>
            <w:vAlign w:val="center"/>
          </w:tcPr>
          <w:p w14:paraId="7C03A3CB">
            <w:pPr>
              <w:jc w:val="left"/>
              <w:rPr>
                <w:rFonts w:hint="eastAsia" w:ascii="仿宋" w:hAnsi="仿宋" w:eastAsia="仿宋" w:cs="仿宋"/>
                <w:color w:val="auto"/>
                <w:kern w:val="0"/>
                <w:sz w:val="24"/>
                <w:szCs w:val="24"/>
                <w:highlight w:val="none"/>
              </w:rPr>
            </w:pPr>
            <w:r>
              <w:rPr>
                <w:rFonts w:hint="eastAsia" w:ascii="仿宋" w:hAnsi="仿宋" w:eastAsia="仿宋" w:cs="仿宋"/>
                <w:color w:val="auto"/>
                <w:sz w:val="24"/>
                <w:szCs w:val="24"/>
                <w:highlight w:val="none"/>
              </w:rPr>
              <w:t>响应文件签署</w:t>
            </w:r>
          </w:p>
        </w:tc>
        <w:tc>
          <w:tcPr>
            <w:tcW w:w="5409" w:type="dxa"/>
            <w:vAlign w:val="center"/>
          </w:tcPr>
          <w:p w14:paraId="32AFAAAB">
            <w:pPr>
              <w:jc w:val="left"/>
              <w:rPr>
                <w:rFonts w:hint="eastAsia" w:ascii="仿宋" w:hAnsi="仿宋" w:eastAsia="仿宋" w:cs="仿宋"/>
                <w:color w:val="auto"/>
                <w:kern w:val="0"/>
                <w:sz w:val="24"/>
                <w:szCs w:val="24"/>
                <w:highlight w:val="none"/>
              </w:rPr>
            </w:pPr>
            <w:r>
              <w:rPr>
                <w:rFonts w:hint="eastAsia" w:ascii="仿宋" w:hAnsi="仿宋" w:eastAsia="仿宋" w:cs="仿宋"/>
                <w:color w:val="auto"/>
                <w:sz w:val="24"/>
                <w:highlight w:val="none"/>
              </w:rPr>
              <w:t>响应文件</w:t>
            </w:r>
            <w:r>
              <w:rPr>
                <w:rFonts w:hint="eastAsia" w:ascii="仿宋" w:hAnsi="仿宋" w:eastAsia="仿宋" w:cs="仿宋"/>
                <w:color w:val="auto"/>
                <w:sz w:val="24"/>
                <w:szCs w:val="24"/>
                <w:highlight w:val="none"/>
              </w:rPr>
              <w:t>上法定代表人或其授权代表人的签字齐全。</w:t>
            </w:r>
          </w:p>
        </w:tc>
      </w:tr>
      <w:tr w14:paraId="240D8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835" w:type="dxa"/>
            <w:vMerge w:val="continue"/>
            <w:vAlign w:val="center"/>
          </w:tcPr>
          <w:p w14:paraId="7DB03F25">
            <w:pPr>
              <w:ind w:firstLine="480"/>
              <w:jc w:val="center"/>
              <w:rPr>
                <w:rFonts w:hint="eastAsia" w:ascii="仿宋" w:hAnsi="仿宋" w:eastAsia="仿宋" w:cs="仿宋"/>
                <w:color w:val="auto"/>
                <w:kern w:val="0"/>
                <w:sz w:val="24"/>
                <w:szCs w:val="24"/>
                <w:highlight w:val="none"/>
              </w:rPr>
            </w:pPr>
          </w:p>
        </w:tc>
        <w:tc>
          <w:tcPr>
            <w:tcW w:w="1500" w:type="dxa"/>
            <w:vMerge w:val="continue"/>
            <w:vAlign w:val="center"/>
          </w:tcPr>
          <w:p w14:paraId="6D735B03">
            <w:pPr>
              <w:ind w:firstLine="480"/>
              <w:rPr>
                <w:rFonts w:hint="eastAsia" w:ascii="仿宋" w:hAnsi="仿宋" w:eastAsia="仿宋" w:cs="仿宋"/>
                <w:color w:val="auto"/>
                <w:kern w:val="0"/>
                <w:sz w:val="24"/>
                <w:szCs w:val="24"/>
                <w:highlight w:val="none"/>
              </w:rPr>
            </w:pPr>
          </w:p>
        </w:tc>
        <w:tc>
          <w:tcPr>
            <w:tcW w:w="1884" w:type="dxa"/>
            <w:vAlign w:val="center"/>
          </w:tcPr>
          <w:p w14:paraId="7D776391">
            <w:pPr>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法定代表人身份证明及授权委托书</w:t>
            </w:r>
          </w:p>
        </w:tc>
        <w:tc>
          <w:tcPr>
            <w:tcW w:w="5409" w:type="dxa"/>
            <w:vAlign w:val="center"/>
          </w:tcPr>
          <w:p w14:paraId="6833BE04">
            <w:pPr>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法定代表人身份证明及授权委托书有效，符合网上竞采文件规定的格式，签字或盖章齐全。</w:t>
            </w:r>
          </w:p>
        </w:tc>
      </w:tr>
      <w:tr w14:paraId="3AD8D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35" w:type="dxa"/>
            <w:vMerge w:val="continue"/>
            <w:vAlign w:val="center"/>
          </w:tcPr>
          <w:p w14:paraId="352F35B1">
            <w:pPr>
              <w:ind w:firstLine="480"/>
              <w:jc w:val="center"/>
              <w:rPr>
                <w:rFonts w:hint="eastAsia" w:ascii="仿宋" w:hAnsi="仿宋" w:eastAsia="仿宋" w:cs="仿宋"/>
                <w:color w:val="auto"/>
                <w:kern w:val="0"/>
                <w:sz w:val="24"/>
                <w:szCs w:val="24"/>
                <w:highlight w:val="none"/>
              </w:rPr>
            </w:pPr>
          </w:p>
        </w:tc>
        <w:tc>
          <w:tcPr>
            <w:tcW w:w="1500" w:type="dxa"/>
            <w:vMerge w:val="continue"/>
            <w:vAlign w:val="center"/>
          </w:tcPr>
          <w:p w14:paraId="6F2BA7BB">
            <w:pPr>
              <w:ind w:firstLine="480"/>
              <w:rPr>
                <w:rFonts w:hint="eastAsia" w:ascii="仿宋" w:hAnsi="仿宋" w:eastAsia="仿宋" w:cs="仿宋"/>
                <w:color w:val="auto"/>
                <w:kern w:val="0"/>
                <w:sz w:val="24"/>
                <w:szCs w:val="24"/>
                <w:highlight w:val="none"/>
              </w:rPr>
            </w:pPr>
          </w:p>
        </w:tc>
        <w:tc>
          <w:tcPr>
            <w:tcW w:w="1884" w:type="dxa"/>
            <w:vAlign w:val="center"/>
          </w:tcPr>
          <w:p w14:paraId="78CEA85E">
            <w:pPr>
              <w:jc w:val="left"/>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rPr>
              <w:t>响应</w:t>
            </w:r>
            <w:r>
              <w:rPr>
                <w:rFonts w:hint="eastAsia" w:ascii="仿宋" w:hAnsi="仿宋" w:eastAsia="仿宋" w:cs="仿宋"/>
                <w:color w:val="auto"/>
                <w:sz w:val="24"/>
                <w:szCs w:val="24"/>
                <w:highlight w:val="none"/>
                <w:lang w:val="zh-CN"/>
              </w:rPr>
              <w:t>方案</w:t>
            </w:r>
          </w:p>
        </w:tc>
        <w:tc>
          <w:tcPr>
            <w:tcW w:w="5409" w:type="dxa"/>
            <w:vAlign w:val="center"/>
          </w:tcPr>
          <w:p w14:paraId="2B1E0CAB">
            <w:pPr>
              <w:jc w:val="left"/>
              <w:rPr>
                <w:rFonts w:hint="eastAsia" w:ascii="仿宋" w:hAnsi="仿宋" w:eastAsia="仿宋" w:cs="仿宋"/>
                <w:color w:val="auto"/>
                <w:kern w:val="0"/>
                <w:sz w:val="24"/>
                <w:szCs w:val="24"/>
                <w:highlight w:val="none"/>
              </w:rPr>
            </w:pPr>
            <w:r>
              <w:rPr>
                <w:rFonts w:hint="eastAsia" w:ascii="仿宋" w:hAnsi="仿宋" w:eastAsia="仿宋" w:cs="仿宋"/>
                <w:color w:val="auto"/>
                <w:sz w:val="24"/>
                <w:szCs w:val="24"/>
                <w:highlight w:val="none"/>
                <w:lang w:val="zh-CN"/>
              </w:rPr>
              <w:t>每个</w:t>
            </w:r>
            <w:r>
              <w:rPr>
                <w:rFonts w:hint="eastAsia" w:ascii="仿宋" w:hAnsi="仿宋" w:eastAsia="仿宋" w:cs="仿宋"/>
                <w:color w:val="auto"/>
                <w:sz w:val="24"/>
                <w:szCs w:val="24"/>
                <w:highlight w:val="none"/>
              </w:rPr>
              <w:t>分包</w:t>
            </w:r>
            <w:r>
              <w:rPr>
                <w:rFonts w:hint="eastAsia" w:ascii="仿宋" w:hAnsi="仿宋" w:eastAsia="仿宋" w:cs="仿宋"/>
                <w:color w:val="auto"/>
                <w:sz w:val="24"/>
                <w:szCs w:val="24"/>
                <w:highlight w:val="none"/>
                <w:lang w:val="zh-CN"/>
              </w:rPr>
              <w:t>只能有一个</w:t>
            </w:r>
            <w:r>
              <w:rPr>
                <w:rFonts w:hint="eastAsia" w:ascii="仿宋" w:hAnsi="仿宋" w:eastAsia="仿宋" w:cs="仿宋"/>
                <w:color w:val="auto"/>
                <w:sz w:val="24"/>
                <w:szCs w:val="24"/>
                <w:highlight w:val="none"/>
              </w:rPr>
              <w:t>响应</w:t>
            </w:r>
            <w:r>
              <w:rPr>
                <w:rFonts w:hint="eastAsia" w:ascii="仿宋" w:hAnsi="仿宋" w:eastAsia="仿宋" w:cs="仿宋"/>
                <w:color w:val="auto"/>
                <w:sz w:val="24"/>
                <w:szCs w:val="24"/>
                <w:highlight w:val="none"/>
                <w:lang w:val="zh-CN"/>
              </w:rPr>
              <w:t>方案。</w:t>
            </w:r>
          </w:p>
        </w:tc>
      </w:tr>
      <w:tr w14:paraId="28743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835" w:type="dxa"/>
            <w:vMerge w:val="continue"/>
            <w:vAlign w:val="center"/>
          </w:tcPr>
          <w:p w14:paraId="2B221537">
            <w:pPr>
              <w:ind w:firstLine="480"/>
              <w:jc w:val="center"/>
              <w:rPr>
                <w:rFonts w:hint="eastAsia" w:ascii="仿宋" w:hAnsi="仿宋" w:eastAsia="仿宋" w:cs="仿宋"/>
                <w:color w:val="auto"/>
                <w:kern w:val="0"/>
                <w:sz w:val="24"/>
                <w:szCs w:val="24"/>
                <w:highlight w:val="none"/>
              </w:rPr>
            </w:pPr>
          </w:p>
        </w:tc>
        <w:tc>
          <w:tcPr>
            <w:tcW w:w="1500" w:type="dxa"/>
            <w:vMerge w:val="continue"/>
            <w:vAlign w:val="center"/>
          </w:tcPr>
          <w:p w14:paraId="55949D65">
            <w:pPr>
              <w:ind w:firstLine="480"/>
              <w:rPr>
                <w:rFonts w:hint="eastAsia" w:ascii="仿宋" w:hAnsi="仿宋" w:eastAsia="仿宋" w:cs="仿宋"/>
                <w:color w:val="auto"/>
                <w:kern w:val="0"/>
                <w:sz w:val="24"/>
                <w:szCs w:val="24"/>
                <w:highlight w:val="none"/>
              </w:rPr>
            </w:pPr>
          </w:p>
        </w:tc>
        <w:tc>
          <w:tcPr>
            <w:tcW w:w="1884" w:type="dxa"/>
            <w:vAlign w:val="center"/>
          </w:tcPr>
          <w:p w14:paraId="4167114B">
            <w:pPr>
              <w:jc w:val="left"/>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rPr>
              <w:t>报价唯一</w:t>
            </w:r>
          </w:p>
        </w:tc>
        <w:tc>
          <w:tcPr>
            <w:tcW w:w="5409" w:type="dxa"/>
            <w:vAlign w:val="center"/>
          </w:tcPr>
          <w:p w14:paraId="2A0F4FC7">
            <w:pPr>
              <w:jc w:val="left"/>
              <w:rPr>
                <w:rFonts w:hint="eastAsia" w:ascii="仿宋" w:hAnsi="仿宋" w:eastAsia="仿宋" w:cs="仿宋"/>
                <w:color w:val="auto"/>
                <w:kern w:val="0"/>
                <w:sz w:val="24"/>
                <w:szCs w:val="24"/>
                <w:highlight w:val="none"/>
              </w:rPr>
            </w:pPr>
            <w:r>
              <w:rPr>
                <w:rFonts w:hint="eastAsia" w:ascii="仿宋" w:hAnsi="仿宋" w:eastAsia="仿宋" w:cs="仿宋"/>
                <w:color w:val="auto"/>
                <w:sz w:val="24"/>
                <w:szCs w:val="24"/>
                <w:highlight w:val="none"/>
                <w:lang w:val="zh-CN"/>
              </w:rPr>
              <w:t>只能在采购预算范围内报价，</w:t>
            </w:r>
            <w:r>
              <w:rPr>
                <w:rFonts w:hint="eastAsia" w:ascii="仿宋" w:hAnsi="仿宋" w:eastAsia="仿宋" w:cs="仿宋"/>
                <w:color w:val="auto"/>
                <w:sz w:val="24"/>
                <w:szCs w:val="24"/>
                <w:highlight w:val="none"/>
              </w:rPr>
              <w:t>只能有一个有效报价，不得提交选择性报价。</w:t>
            </w:r>
          </w:p>
        </w:tc>
      </w:tr>
      <w:tr w14:paraId="16B5A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835" w:type="dxa"/>
            <w:vAlign w:val="center"/>
          </w:tcPr>
          <w:p w14:paraId="0E67C718">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p>
        </w:tc>
        <w:tc>
          <w:tcPr>
            <w:tcW w:w="1500" w:type="dxa"/>
            <w:vAlign w:val="center"/>
          </w:tcPr>
          <w:p w14:paraId="3E4D9FA9">
            <w:pPr>
              <w:jc w:val="left"/>
              <w:rPr>
                <w:rFonts w:hint="eastAsia" w:ascii="仿宋" w:hAnsi="仿宋" w:eastAsia="仿宋" w:cs="仿宋"/>
                <w:color w:val="auto"/>
                <w:kern w:val="0"/>
                <w:sz w:val="24"/>
                <w:szCs w:val="24"/>
                <w:highlight w:val="none"/>
              </w:rPr>
            </w:pPr>
            <w:r>
              <w:rPr>
                <w:rFonts w:hint="eastAsia" w:ascii="仿宋" w:hAnsi="仿宋" w:eastAsia="仿宋" w:cs="仿宋"/>
                <w:color w:val="auto"/>
                <w:sz w:val="24"/>
                <w:szCs w:val="24"/>
                <w:highlight w:val="none"/>
              </w:rPr>
              <w:t>完整性</w:t>
            </w:r>
            <w:r>
              <w:rPr>
                <w:rFonts w:hint="eastAsia" w:ascii="仿宋" w:hAnsi="仿宋" w:eastAsia="仿宋" w:cs="仿宋"/>
                <w:color w:val="auto"/>
                <w:kern w:val="0"/>
                <w:sz w:val="24"/>
                <w:szCs w:val="24"/>
                <w:highlight w:val="none"/>
              </w:rPr>
              <w:t>审查</w:t>
            </w:r>
          </w:p>
        </w:tc>
        <w:tc>
          <w:tcPr>
            <w:tcW w:w="1884" w:type="dxa"/>
            <w:vAlign w:val="center"/>
          </w:tcPr>
          <w:p w14:paraId="42F2FC39">
            <w:pPr>
              <w:jc w:val="left"/>
              <w:rPr>
                <w:rFonts w:hint="eastAsia" w:ascii="仿宋" w:hAnsi="仿宋" w:eastAsia="仿宋" w:cs="仿宋"/>
                <w:color w:val="auto"/>
                <w:kern w:val="0"/>
                <w:sz w:val="24"/>
                <w:szCs w:val="24"/>
                <w:highlight w:val="none"/>
              </w:rPr>
            </w:pPr>
            <w:r>
              <w:rPr>
                <w:rFonts w:hint="eastAsia" w:ascii="仿宋" w:hAnsi="仿宋" w:eastAsia="仿宋" w:cs="仿宋"/>
                <w:color w:val="auto"/>
                <w:sz w:val="24"/>
                <w:szCs w:val="24"/>
                <w:highlight w:val="none"/>
              </w:rPr>
              <w:t>响应</w:t>
            </w:r>
            <w:r>
              <w:rPr>
                <w:rFonts w:hint="eastAsia" w:ascii="仿宋" w:hAnsi="仿宋" w:eastAsia="仿宋" w:cs="仿宋"/>
                <w:color w:val="auto"/>
                <w:sz w:val="24"/>
                <w:szCs w:val="24"/>
                <w:highlight w:val="none"/>
                <w:lang w:val="zh-CN"/>
              </w:rPr>
              <w:t>文件份数</w:t>
            </w:r>
          </w:p>
        </w:tc>
        <w:tc>
          <w:tcPr>
            <w:tcW w:w="5409" w:type="dxa"/>
            <w:vAlign w:val="center"/>
          </w:tcPr>
          <w:p w14:paraId="7EC2EAC6">
            <w:pPr>
              <w:jc w:val="left"/>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lang w:val="zh-CN"/>
              </w:rPr>
              <w:t>响应</w:t>
            </w:r>
            <w:r>
              <w:rPr>
                <w:rFonts w:hint="eastAsia" w:ascii="仿宋" w:hAnsi="仿宋" w:eastAsia="仿宋" w:cs="仿宋"/>
                <w:color w:val="auto"/>
                <w:sz w:val="24"/>
                <w:szCs w:val="24"/>
                <w:highlight w:val="none"/>
              </w:rPr>
              <w:t>文件</w:t>
            </w:r>
            <w:r>
              <w:rPr>
                <w:rFonts w:hint="eastAsia" w:ascii="仿宋" w:hAnsi="仿宋" w:eastAsia="仿宋" w:cs="仿宋"/>
                <w:color w:val="auto"/>
                <w:sz w:val="24"/>
                <w:szCs w:val="24"/>
                <w:highlight w:val="none"/>
                <w:lang w:val="zh-CN"/>
              </w:rPr>
              <w:t>数量（含电子文档）符合网上竞采文件要求。</w:t>
            </w:r>
          </w:p>
        </w:tc>
      </w:tr>
      <w:tr w14:paraId="7A703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835" w:type="dxa"/>
            <w:vAlign w:val="center"/>
          </w:tcPr>
          <w:p w14:paraId="51C0ED4A">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w:t>
            </w:r>
          </w:p>
        </w:tc>
        <w:tc>
          <w:tcPr>
            <w:tcW w:w="1500" w:type="dxa"/>
            <w:vAlign w:val="center"/>
          </w:tcPr>
          <w:p w14:paraId="715C0E97">
            <w:pPr>
              <w:jc w:val="left"/>
              <w:rPr>
                <w:rFonts w:hint="eastAsia" w:ascii="仿宋" w:hAnsi="仿宋" w:eastAsia="仿宋" w:cs="仿宋"/>
                <w:color w:val="auto"/>
                <w:kern w:val="0"/>
                <w:sz w:val="24"/>
                <w:szCs w:val="24"/>
                <w:highlight w:val="none"/>
              </w:rPr>
            </w:pPr>
            <w:r>
              <w:rPr>
                <w:rFonts w:hint="eastAsia" w:ascii="仿宋" w:hAnsi="仿宋" w:eastAsia="仿宋" w:cs="仿宋"/>
                <w:color w:val="auto"/>
                <w:sz w:val="24"/>
                <w:szCs w:val="24"/>
                <w:highlight w:val="none"/>
              </w:rPr>
              <w:t>响应</w:t>
            </w:r>
            <w:r>
              <w:rPr>
                <w:rFonts w:hint="eastAsia" w:ascii="仿宋" w:hAnsi="仿宋" w:eastAsia="仿宋" w:cs="仿宋"/>
                <w:color w:val="auto"/>
                <w:kern w:val="0"/>
                <w:sz w:val="24"/>
                <w:szCs w:val="24"/>
                <w:highlight w:val="none"/>
              </w:rPr>
              <w:t>程度审查</w:t>
            </w:r>
          </w:p>
        </w:tc>
        <w:tc>
          <w:tcPr>
            <w:tcW w:w="1884" w:type="dxa"/>
            <w:vAlign w:val="center"/>
          </w:tcPr>
          <w:p w14:paraId="73A8A778">
            <w:pPr>
              <w:jc w:val="lef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响应文件内容</w:t>
            </w:r>
          </w:p>
        </w:tc>
        <w:tc>
          <w:tcPr>
            <w:tcW w:w="5409" w:type="dxa"/>
            <w:vAlign w:val="center"/>
          </w:tcPr>
          <w:p w14:paraId="282DA719">
            <w:pPr>
              <w:jc w:val="left"/>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lang w:val="zh-CN"/>
              </w:rPr>
              <w:t>对网上竞采文件第二篇、第三篇规定的内容作出实质性响应。</w:t>
            </w:r>
          </w:p>
        </w:tc>
      </w:tr>
    </w:tbl>
    <w:p w14:paraId="3D21A67B">
      <w:pPr>
        <w:snapToGrid w:val="0"/>
        <w:ind w:firstLine="482" w:firstLineChars="200"/>
        <w:rPr>
          <w:rFonts w:hint="eastAsia"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3.评选方法：综合评分法。</w:t>
      </w:r>
    </w:p>
    <w:p w14:paraId="4EFC886F">
      <w:pPr>
        <w:ind w:firstLine="480" w:firstLineChars="200"/>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综合评分法，是指响应文件满足网上竞采文件全部实质性要求且按照评审因素的量化指标评审得分最高的供应商为成交候选供应商的评审方法。供应商总得分为价格、技术、商务等评定因素分别按照相应权重值计算分项得分后相加，满分为100分。按评审后得分由高到低的排列顺序推荐综合得分排名前三的供应商为本包（项目）中标候选人，排名第一的为第一中标候选人。得分相同的，按投标报价由低到高顺序排列。得分且投标报价相同的并列。</w:t>
      </w:r>
    </w:p>
    <w:p w14:paraId="490AFCAA">
      <w:pPr>
        <w:ind w:firstLine="48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澄清有关问题。评审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458BE6A4">
      <w:pPr>
        <w:ind w:firstLine="48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评审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231BF619">
      <w:pPr>
        <w:ind w:firstLine="48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（四）在网上竞采过程中网上竞采的任何一方不得向他人透露与网上竞采有关的服务资料、价格或其他信息。</w:t>
      </w:r>
    </w:p>
    <w:p w14:paraId="25B894A7">
      <w:pPr>
        <w:ind w:firstLine="48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（五）供应商在网上竞采时作出的所有书面承诺须由法定代表人或其授权代表签字。</w:t>
      </w:r>
    </w:p>
    <w:p w14:paraId="352B7E4C">
      <w:pPr>
        <w:pStyle w:val="3"/>
        <w:spacing w:line="240" w:lineRule="auto"/>
        <w:ind w:firstLine="643"/>
        <w:rPr>
          <w:rFonts w:hint="eastAsia" w:ascii="仿宋" w:hAnsi="仿宋" w:eastAsia="仿宋" w:cs="仿宋"/>
          <w:color w:val="auto"/>
          <w:highlight w:val="none"/>
        </w:rPr>
      </w:pPr>
      <w:bookmarkStart w:id="84" w:name="_Toc183783146"/>
      <w:r>
        <w:rPr>
          <w:rFonts w:hint="eastAsia" w:ascii="仿宋" w:hAnsi="仿宋" w:eastAsia="仿宋" w:cs="仿宋"/>
          <w:color w:val="auto"/>
          <w:highlight w:val="none"/>
        </w:rPr>
        <w:t>二、评审标准</w:t>
      </w:r>
      <w:bookmarkEnd w:id="84"/>
    </w:p>
    <w:p w14:paraId="6098F9DB">
      <w:pPr>
        <w:pStyle w:val="7"/>
        <w:ind w:firstLine="640"/>
        <w:rPr>
          <w:rFonts w:hint="eastAsia" w:ascii="仿宋" w:hAnsi="仿宋" w:eastAsia="仿宋" w:cs="仿宋"/>
          <w:color w:val="auto"/>
          <w:highlight w:val="none"/>
        </w:rPr>
      </w:pPr>
      <w:bookmarkStart w:id="85" w:name="_Hlk27399823"/>
      <w:r>
        <w:rPr>
          <w:rFonts w:hint="eastAsia" w:ascii="仿宋" w:hAnsi="仿宋" w:eastAsia="仿宋" w:cs="仿宋"/>
          <w:color w:val="auto"/>
          <w:highlight w:val="none"/>
        </w:rPr>
        <w:t>（一）评审因素</w:t>
      </w:r>
    </w:p>
    <w:tbl>
      <w:tblPr>
        <w:tblStyle w:val="20"/>
        <w:tblW w:w="8682" w:type="dxa"/>
        <w:tblInd w:w="1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3"/>
        <w:gridCol w:w="1219"/>
        <w:gridCol w:w="951"/>
        <w:gridCol w:w="832"/>
        <w:gridCol w:w="3742"/>
        <w:gridCol w:w="1375"/>
      </w:tblGrid>
      <w:tr w14:paraId="61BEC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3" w:type="dxa"/>
            <w:vAlign w:val="center"/>
          </w:tcPr>
          <w:p w14:paraId="299C3043">
            <w:pPr>
              <w:ind w:firstLine="28"/>
              <w:jc w:val="center"/>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序号</w:t>
            </w:r>
          </w:p>
        </w:tc>
        <w:tc>
          <w:tcPr>
            <w:tcW w:w="1219" w:type="dxa"/>
            <w:vAlign w:val="center"/>
          </w:tcPr>
          <w:p w14:paraId="2336B8A2">
            <w:pPr>
              <w:ind w:firstLine="28"/>
              <w:jc w:val="center"/>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评分因素</w:t>
            </w:r>
          </w:p>
          <w:p w14:paraId="3F3C0DF4">
            <w:pPr>
              <w:ind w:firstLine="28"/>
              <w:jc w:val="center"/>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及权重</w:t>
            </w:r>
          </w:p>
        </w:tc>
        <w:tc>
          <w:tcPr>
            <w:tcW w:w="951" w:type="dxa"/>
            <w:vAlign w:val="center"/>
          </w:tcPr>
          <w:p w14:paraId="1E1DD091">
            <w:pPr>
              <w:ind w:firstLine="28"/>
              <w:jc w:val="center"/>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分值</w:t>
            </w:r>
          </w:p>
        </w:tc>
        <w:tc>
          <w:tcPr>
            <w:tcW w:w="4574" w:type="dxa"/>
            <w:gridSpan w:val="2"/>
            <w:vAlign w:val="center"/>
          </w:tcPr>
          <w:p w14:paraId="59D91F15">
            <w:pPr>
              <w:ind w:firstLine="28"/>
              <w:jc w:val="center"/>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评分标准</w:t>
            </w:r>
          </w:p>
        </w:tc>
        <w:tc>
          <w:tcPr>
            <w:tcW w:w="1375" w:type="dxa"/>
            <w:vAlign w:val="center"/>
          </w:tcPr>
          <w:p w14:paraId="7C908700">
            <w:pPr>
              <w:pStyle w:val="26"/>
              <w:spacing w:before="0" w:after="0" w:line="240" w:lineRule="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说明</w:t>
            </w:r>
          </w:p>
        </w:tc>
      </w:tr>
      <w:tr w14:paraId="0EECF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3" w:type="dxa"/>
            <w:vAlign w:val="center"/>
          </w:tcPr>
          <w:p w14:paraId="0E708C1E">
            <w:pPr>
              <w:ind w:firstLine="28"/>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1</w:t>
            </w:r>
          </w:p>
        </w:tc>
        <w:tc>
          <w:tcPr>
            <w:tcW w:w="1219" w:type="dxa"/>
            <w:vAlign w:val="center"/>
          </w:tcPr>
          <w:p w14:paraId="1F8827D6">
            <w:pPr>
              <w:jc w:val="left"/>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竞采报价</w:t>
            </w:r>
          </w:p>
          <w:p w14:paraId="6CD254B6">
            <w:pPr>
              <w:jc w:val="left"/>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（20%）</w:t>
            </w:r>
          </w:p>
        </w:tc>
        <w:tc>
          <w:tcPr>
            <w:tcW w:w="951" w:type="dxa"/>
            <w:vAlign w:val="center"/>
          </w:tcPr>
          <w:p w14:paraId="70C822C0">
            <w:pPr>
              <w:ind w:firstLine="210" w:firstLineChars="100"/>
              <w:jc w:val="left"/>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20分</w:t>
            </w:r>
          </w:p>
        </w:tc>
        <w:tc>
          <w:tcPr>
            <w:tcW w:w="4574" w:type="dxa"/>
            <w:gridSpan w:val="2"/>
            <w:vAlign w:val="center"/>
          </w:tcPr>
          <w:p w14:paraId="66AEC922">
            <w:pPr>
              <w:jc w:val="left"/>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满足资格性、符合性要求且</w:t>
            </w:r>
            <w:r>
              <w:rPr>
                <w:rFonts w:hint="eastAsia" w:ascii="仿宋" w:hAnsi="仿宋" w:eastAsia="仿宋" w:cs="仿宋"/>
                <w:color w:val="auto"/>
                <w:sz w:val="21"/>
                <w:szCs w:val="21"/>
                <w:highlight w:val="none"/>
                <w:lang w:val="en-US" w:eastAsia="zh-CN"/>
              </w:rPr>
              <w:t>报价</w:t>
            </w:r>
            <w:r>
              <w:rPr>
                <w:rFonts w:hint="eastAsia" w:ascii="仿宋" w:hAnsi="仿宋" w:eastAsia="仿宋" w:cs="仿宋"/>
                <w:color w:val="auto"/>
                <w:sz w:val="21"/>
                <w:szCs w:val="21"/>
                <w:highlight w:val="none"/>
              </w:rPr>
              <w:t>最低为竞采基准价，其价格分为满分。其他供应商的价格分统一按照下列公式计算：</w:t>
            </w:r>
          </w:p>
          <w:p w14:paraId="654EAC22">
            <w:pP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竞采报价得分=（竞采基准价/竞采</w:t>
            </w:r>
            <w:r>
              <w:rPr>
                <w:rFonts w:hint="eastAsia" w:ascii="仿宋" w:hAnsi="仿宋" w:eastAsia="仿宋" w:cs="仿宋"/>
                <w:color w:val="auto"/>
                <w:sz w:val="21"/>
                <w:szCs w:val="21"/>
                <w:highlight w:val="none"/>
                <w:lang w:val="en-US" w:eastAsia="zh-CN"/>
              </w:rPr>
              <w:t>报价</w:t>
            </w:r>
            <w:r>
              <w:rPr>
                <w:rFonts w:hint="eastAsia" w:ascii="仿宋" w:hAnsi="仿宋" w:eastAsia="仿宋" w:cs="仿宋"/>
                <w:color w:val="auto"/>
                <w:sz w:val="21"/>
                <w:szCs w:val="21"/>
                <w:highlight w:val="none"/>
              </w:rPr>
              <w:t>）×价格权值×100（按四舍五入法保留两位小数）</w:t>
            </w:r>
          </w:p>
        </w:tc>
        <w:tc>
          <w:tcPr>
            <w:tcW w:w="1375" w:type="dxa"/>
            <w:vAlign w:val="center"/>
          </w:tcPr>
          <w:p w14:paraId="76BE2889">
            <w:pPr>
              <w:ind w:left="-38"/>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高于预算价为无效报价</w:t>
            </w:r>
          </w:p>
        </w:tc>
      </w:tr>
      <w:tr w14:paraId="52F34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1" w:hRule="atLeast"/>
        </w:trPr>
        <w:tc>
          <w:tcPr>
            <w:tcW w:w="563" w:type="dxa"/>
            <w:vMerge w:val="restart"/>
            <w:vAlign w:val="center"/>
          </w:tcPr>
          <w:p w14:paraId="729D4F9F">
            <w:pPr>
              <w:ind w:firstLine="28"/>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w:t>
            </w:r>
          </w:p>
        </w:tc>
        <w:tc>
          <w:tcPr>
            <w:tcW w:w="1219" w:type="dxa"/>
            <w:vMerge w:val="restart"/>
            <w:vAlign w:val="center"/>
          </w:tcPr>
          <w:p w14:paraId="50066B01">
            <w:pPr>
              <w:ind w:firstLine="28"/>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服务部分</w:t>
            </w:r>
          </w:p>
          <w:p w14:paraId="12068065">
            <w:pPr>
              <w:ind w:firstLine="28"/>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w:t>
            </w:r>
            <w:r>
              <w:rPr>
                <w:rFonts w:hint="eastAsia" w:ascii="仿宋" w:hAnsi="仿宋" w:eastAsia="仿宋" w:cs="仿宋"/>
                <w:color w:val="auto"/>
                <w:sz w:val="21"/>
                <w:szCs w:val="21"/>
                <w:highlight w:val="none"/>
                <w:lang w:val="en-US" w:eastAsia="zh-CN"/>
              </w:rPr>
              <w:t>6</w:t>
            </w:r>
            <w:r>
              <w:rPr>
                <w:rFonts w:hint="eastAsia" w:ascii="仿宋" w:hAnsi="仿宋" w:eastAsia="仿宋" w:cs="仿宋"/>
                <w:color w:val="auto"/>
                <w:sz w:val="21"/>
                <w:szCs w:val="21"/>
                <w:highlight w:val="none"/>
              </w:rPr>
              <w:t>0%）</w:t>
            </w:r>
          </w:p>
        </w:tc>
        <w:tc>
          <w:tcPr>
            <w:tcW w:w="951" w:type="dxa"/>
            <w:vMerge w:val="restart"/>
            <w:vAlign w:val="center"/>
          </w:tcPr>
          <w:p w14:paraId="43829E5C">
            <w:pPr>
              <w:ind w:firstLine="28" w:firstLineChars="0"/>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60分</w:t>
            </w:r>
          </w:p>
        </w:tc>
        <w:tc>
          <w:tcPr>
            <w:tcW w:w="832" w:type="dxa"/>
            <w:vAlign w:val="center"/>
          </w:tcPr>
          <w:p w14:paraId="4E0FB98D">
            <w:pPr>
              <w:wordWrap w:val="0"/>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整体服务方案</w:t>
            </w:r>
          </w:p>
          <w:p w14:paraId="46A8E544">
            <w:pPr>
              <w:wordWrap w:val="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20分</w:t>
            </w:r>
            <w:r>
              <w:rPr>
                <w:rFonts w:hint="eastAsia" w:ascii="仿宋" w:hAnsi="仿宋" w:eastAsia="仿宋" w:cs="仿宋"/>
                <w:color w:val="auto"/>
                <w:sz w:val="24"/>
                <w:szCs w:val="24"/>
                <w:highlight w:val="none"/>
                <w:lang w:eastAsia="zh-CN"/>
              </w:rPr>
              <w:t>）</w:t>
            </w:r>
          </w:p>
        </w:tc>
        <w:tc>
          <w:tcPr>
            <w:tcW w:w="3742" w:type="dxa"/>
            <w:vAlign w:val="center"/>
          </w:tcPr>
          <w:p w14:paraId="4CFF32BC">
            <w:pPr>
              <w:snapToGrid w:val="0"/>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rPr>
              <w:t>供应商</w:t>
            </w:r>
            <w:r>
              <w:rPr>
                <w:rFonts w:hint="eastAsia" w:ascii="仿宋" w:hAnsi="仿宋" w:eastAsia="仿宋" w:cs="仿宋"/>
                <w:color w:val="auto"/>
                <w:sz w:val="24"/>
                <w:szCs w:val="24"/>
                <w:highlight w:val="none"/>
                <w:lang w:val="zh-CN"/>
              </w:rPr>
              <w:t>针对本</w:t>
            </w:r>
            <w:r>
              <w:rPr>
                <w:rFonts w:hint="eastAsia" w:ascii="仿宋" w:hAnsi="仿宋" w:eastAsia="仿宋" w:cs="仿宋"/>
                <w:color w:val="auto"/>
                <w:sz w:val="24"/>
                <w:szCs w:val="24"/>
                <w:highlight w:val="none"/>
              </w:rPr>
              <w:t>项目</w:t>
            </w:r>
            <w:r>
              <w:rPr>
                <w:rFonts w:hint="eastAsia" w:ascii="仿宋" w:hAnsi="仿宋" w:eastAsia="仿宋" w:cs="仿宋"/>
                <w:color w:val="auto"/>
                <w:sz w:val="24"/>
                <w:szCs w:val="24"/>
                <w:highlight w:val="none"/>
                <w:lang w:val="zh-CN"/>
              </w:rPr>
              <w:t>工作内容提供</w:t>
            </w:r>
            <w:r>
              <w:rPr>
                <w:rFonts w:hint="eastAsia" w:ascii="仿宋" w:hAnsi="仿宋" w:eastAsia="仿宋" w:cs="仿宋"/>
                <w:b/>
                <w:bCs/>
                <w:color w:val="auto"/>
                <w:sz w:val="24"/>
                <w:szCs w:val="24"/>
                <w:highlight w:val="none"/>
                <w:lang w:val="zh-CN"/>
              </w:rPr>
              <w:t>“整体服务方案”</w:t>
            </w:r>
            <w:r>
              <w:rPr>
                <w:rFonts w:hint="eastAsia" w:ascii="仿宋" w:hAnsi="仿宋" w:eastAsia="仿宋" w:cs="仿宋"/>
                <w:color w:val="auto"/>
                <w:sz w:val="24"/>
                <w:szCs w:val="24"/>
                <w:highlight w:val="none"/>
                <w:lang w:val="zh-CN"/>
              </w:rPr>
              <w:t>，</w:t>
            </w:r>
            <w:r>
              <w:rPr>
                <w:rFonts w:hint="eastAsia" w:ascii="仿宋" w:hAnsi="仿宋" w:eastAsia="仿宋" w:cs="仿宋"/>
                <w:color w:val="auto"/>
                <w:kern w:val="0"/>
                <w:sz w:val="24"/>
                <w:szCs w:val="24"/>
                <w:highlight w:val="none"/>
              </w:rPr>
              <w:t>方案</w:t>
            </w:r>
            <w:r>
              <w:rPr>
                <w:rFonts w:hint="eastAsia" w:ascii="仿宋" w:hAnsi="仿宋" w:eastAsia="仿宋" w:cs="仿宋"/>
                <w:color w:val="auto"/>
                <w:sz w:val="24"/>
                <w:szCs w:val="24"/>
                <w:highlight w:val="none"/>
              </w:rPr>
              <w:t>内容包括但不限于：</w:t>
            </w:r>
            <w:r>
              <w:rPr>
                <w:rFonts w:hint="eastAsia" w:ascii="仿宋" w:hAnsi="仿宋" w:eastAsia="仿宋" w:cs="仿宋"/>
                <w:color w:val="auto"/>
                <w:kern w:val="0"/>
                <w:sz w:val="24"/>
                <w:szCs w:val="24"/>
                <w:highlight w:val="none"/>
              </w:rPr>
              <w:t>①审计人员安排、②审计流程、③项目的重难点等。</w:t>
            </w:r>
            <w:r>
              <w:rPr>
                <w:rFonts w:hint="eastAsia" w:ascii="仿宋" w:hAnsi="仿宋" w:eastAsia="仿宋" w:cs="仿宋"/>
                <w:color w:val="auto"/>
                <w:sz w:val="24"/>
                <w:szCs w:val="24"/>
                <w:highlight w:val="none"/>
                <w:lang w:val="zh-CN"/>
              </w:rPr>
              <w:t>可从方案的合理性、完整性、针对性及可操作性等方面进行评审。</w:t>
            </w:r>
          </w:p>
          <w:p w14:paraId="25997525">
            <w:pPr>
              <w:snapToGrid w:val="0"/>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lang w:val="zh-CN"/>
              </w:rPr>
              <w:t>①</w:t>
            </w:r>
            <w:r>
              <w:rPr>
                <w:rFonts w:hint="eastAsia" w:ascii="仿宋" w:hAnsi="仿宋" w:eastAsia="仿宋" w:cs="仿宋"/>
                <w:b/>
                <w:bCs/>
                <w:color w:val="auto"/>
                <w:sz w:val="24"/>
                <w:szCs w:val="24"/>
                <w:highlight w:val="none"/>
                <w:lang w:val="zh-CN"/>
              </w:rPr>
              <w:t>整体服务方案</w:t>
            </w:r>
            <w:r>
              <w:rPr>
                <w:rFonts w:hint="eastAsia" w:ascii="仿宋" w:hAnsi="仿宋" w:eastAsia="仿宋" w:cs="仿宋"/>
                <w:color w:val="auto"/>
                <w:sz w:val="24"/>
                <w:szCs w:val="24"/>
                <w:highlight w:val="none"/>
                <w:lang w:val="zh-CN"/>
              </w:rPr>
              <w:t>优（方案合理、完整性、针对性及可操作性强）得</w:t>
            </w:r>
            <w:r>
              <w:rPr>
                <w:rFonts w:hint="eastAsia" w:ascii="仿宋" w:hAnsi="仿宋" w:eastAsia="仿宋" w:cs="仿宋"/>
                <w:color w:val="auto"/>
                <w:sz w:val="24"/>
                <w:szCs w:val="24"/>
                <w:highlight w:val="none"/>
              </w:rPr>
              <w:t>20</w:t>
            </w:r>
            <w:r>
              <w:rPr>
                <w:rFonts w:hint="eastAsia" w:ascii="仿宋" w:hAnsi="仿宋" w:eastAsia="仿宋" w:cs="仿宋"/>
                <w:color w:val="auto"/>
                <w:sz w:val="24"/>
                <w:szCs w:val="24"/>
                <w:highlight w:val="none"/>
                <w:lang w:val="zh-CN"/>
              </w:rPr>
              <w:t>分；</w:t>
            </w:r>
          </w:p>
          <w:p w14:paraId="78257794">
            <w:pPr>
              <w:snapToGrid w:val="0"/>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lang w:val="zh-CN"/>
              </w:rPr>
              <w:t>②</w:t>
            </w:r>
            <w:r>
              <w:rPr>
                <w:rFonts w:hint="eastAsia" w:ascii="仿宋" w:hAnsi="仿宋" w:eastAsia="仿宋" w:cs="仿宋"/>
                <w:b/>
                <w:bCs/>
                <w:color w:val="auto"/>
                <w:sz w:val="24"/>
                <w:szCs w:val="24"/>
                <w:highlight w:val="none"/>
                <w:lang w:val="zh-CN"/>
              </w:rPr>
              <w:t>整体服务方案</w:t>
            </w:r>
            <w:r>
              <w:rPr>
                <w:rFonts w:hint="eastAsia" w:ascii="仿宋" w:hAnsi="仿宋" w:eastAsia="仿宋" w:cs="仿宋"/>
                <w:color w:val="auto"/>
                <w:sz w:val="24"/>
                <w:szCs w:val="24"/>
                <w:highlight w:val="none"/>
                <w:lang w:val="zh-CN"/>
              </w:rPr>
              <w:t>良（方案合理、完整性、针对性及可操作性较强）得</w:t>
            </w:r>
            <w:r>
              <w:rPr>
                <w:rFonts w:hint="eastAsia" w:ascii="仿宋" w:hAnsi="仿宋" w:eastAsia="仿宋" w:cs="仿宋"/>
                <w:color w:val="auto"/>
                <w:sz w:val="24"/>
                <w:szCs w:val="24"/>
                <w:highlight w:val="none"/>
              </w:rPr>
              <w:t>15</w:t>
            </w:r>
            <w:r>
              <w:rPr>
                <w:rFonts w:hint="eastAsia" w:ascii="仿宋" w:hAnsi="仿宋" w:eastAsia="仿宋" w:cs="仿宋"/>
                <w:color w:val="auto"/>
                <w:sz w:val="24"/>
                <w:szCs w:val="24"/>
                <w:highlight w:val="none"/>
                <w:lang w:val="zh-CN"/>
              </w:rPr>
              <w:t>分；</w:t>
            </w:r>
          </w:p>
          <w:p w14:paraId="00F86D29">
            <w:pPr>
              <w:snapToGrid w:val="0"/>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lang w:val="zh-CN"/>
              </w:rPr>
              <w:t>③</w:t>
            </w:r>
            <w:r>
              <w:rPr>
                <w:rFonts w:hint="eastAsia" w:ascii="仿宋" w:hAnsi="仿宋" w:eastAsia="仿宋" w:cs="仿宋"/>
                <w:b/>
                <w:bCs/>
                <w:color w:val="auto"/>
                <w:sz w:val="24"/>
                <w:szCs w:val="24"/>
                <w:highlight w:val="none"/>
                <w:lang w:val="zh-CN"/>
              </w:rPr>
              <w:t>整体服务方案</w:t>
            </w:r>
            <w:r>
              <w:rPr>
                <w:rFonts w:hint="eastAsia" w:ascii="仿宋" w:hAnsi="仿宋" w:eastAsia="仿宋" w:cs="仿宋"/>
                <w:color w:val="auto"/>
                <w:sz w:val="24"/>
                <w:szCs w:val="24"/>
                <w:highlight w:val="none"/>
                <w:lang w:val="zh-CN"/>
              </w:rPr>
              <w:t>一般（方案合理、完整性、针对性及可操作性一般）得</w:t>
            </w:r>
            <w:r>
              <w:rPr>
                <w:rFonts w:hint="eastAsia" w:ascii="仿宋" w:hAnsi="仿宋" w:eastAsia="仿宋" w:cs="仿宋"/>
                <w:color w:val="auto"/>
                <w:sz w:val="24"/>
                <w:szCs w:val="24"/>
                <w:highlight w:val="none"/>
              </w:rPr>
              <w:t>10</w:t>
            </w:r>
            <w:r>
              <w:rPr>
                <w:rFonts w:hint="eastAsia" w:ascii="仿宋" w:hAnsi="仿宋" w:eastAsia="仿宋" w:cs="仿宋"/>
                <w:color w:val="auto"/>
                <w:sz w:val="24"/>
                <w:szCs w:val="24"/>
                <w:highlight w:val="none"/>
                <w:lang w:val="zh-CN"/>
              </w:rPr>
              <w:t>分；</w:t>
            </w:r>
          </w:p>
          <w:p w14:paraId="49B47479">
            <w:pPr>
              <w:snapToGrid w:val="0"/>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lang w:val="zh-CN"/>
              </w:rPr>
              <w:t>④</w:t>
            </w:r>
            <w:r>
              <w:rPr>
                <w:rFonts w:hint="eastAsia" w:ascii="仿宋" w:hAnsi="仿宋" w:eastAsia="仿宋" w:cs="仿宋"/>
                <w:b/>
                <w:bCs/>
                <w:color w:val="auto"/>
                <w:sz w:val="24"/>
                <w:szCs w:val="24"/>
                <w:highlight w:val="none"/>
                <w:lang w:val="zh-CN"/>
              </w:rPr>
              <w:t>整体服务方案</w:t>
            </w:r>
            <w:r>
              <w:rPr>
                <w:rFonts w:hint="eastAsia" w:ascii="仿宋" w:hAnsi="仿宋" w:eastAsia="仿宋" w:cs="仿宋"/>
                <w:color w:val="auto"/>
                <w:sz w:val="24"/>
                <w:szCs w:val="24"/>
                <w:highlight w:val="none"/>
                <w:lang w:val="zh-CN"/>
              </w:rPr>
              <w:t>差（方案不合理、不完整、没有针对性及可操作性）得</w:t>
            </w:r>
            <w:r>
              <w:rPr>
                <w:rFonts w:hint="eastAsia" w:ascii="仿宋" w:hAnsi="仿宋" w:eastAsia="仿宋" w:cs="仿宋"/>
                <w:color w:val="auto"/>
                <w:sz w:val="24"/>
                <w:szCs w:val="24"/>
                <w:highlight w:val="none"/>
              </w:rPr>
              <w:t>5</w:t>
            </w:r>
            <w:r>
              <w:rPr>
                <w:rFonts w:hint="eastAsia" w:ascii="仿宋" w:hAnsi="仿宋" w:eastAsia="仿宋" w:cs="仿宋"/>
                <w:color w:val="auto"/>
                <w:sz w:val="24"/>
                <w:szCs w:val="24"/>
                <w:highlight w:val="none"/>
                <w:lang w:val="zh-CN"/>
              </w:rPr>
              <w:t>分；</w:t>
            </w:r>
          </w:p>
          <w:p w14:paraId="65849D5C">
            <w:pPr>
              <w:wordWrap w:val="0"/>
              <w:jc w:val="left"/>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zh-CN"/>
              </w:rPr>
              <w:t>⑤</w:t>
            </w:r>
            <w:r>
              <w:rPr>
                <w:rFonts w:hint="eastAsia" w:ascii="仿宋" w:hAnsi="仿宋" w:eastAsia="仿宋" w:cs="仿宋"/>
                <w:b/>
                <w:bCs/>
                <w:color w:val="auto"/>
                <w:sz w:val="24"/>
                <w:szCs w:val="24"/>
                <w:highlight w:val="none"/>
                <w:lang w:val="zh-CN"/>
              </w:rPr>
              <w:t>整体服务方案</w:t>
            </w:r>
            <w:r>
              <w:rPr>
                <w:rFonts w:hint="eastAsia" w:ascii="仿宋" w:hAnsi="仿宋" w:eastAsia="仿宋" w:cs="仿宋"/>
                <w:color w:val="auto"/>
                <w:sz w:val="24"/>
                <w:szCs w:val="24"/>
                <w:highlight w:val="none"/>
                <w:lang w:val="zh-CN"/>
              </w:rPr>
              <w:t>未提供得0分。</w:t>
            </w:r>
          </w:p>
        </w:tc>
        <w:tc>
          <w:tcPr>
            <w:tcW w:w="1375" w:type="dxa"/>
            <w:vMerge w:val="restart"/>
            <w:vAlign w:val="center"/>
          </w:tcPr>
          <w:p w14:paraId="777EB05F">
            <w:pP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供应商在响应文件中提供方案，格式自拟</w:t>
            </w:r>
          </w:p>
        </w:tc>
      </w:tr>
      <w:tr w14:paraId="6296B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4" w:hRule="atLeast"/>
        </w:trPr>
        <w:tc>
          <w:tcPr>
            <w:tcW w:w="563" w:type="dxa"/>
            <w:vMerge w:val="continue"/>
            <w:vAlign w:val="center"/>
          </w:tcPr>
          <w:p w14:paraId="124E8AD3">
            <w:pPr>
              <w:rPr>
                <w:rFonts w:hint="eastAsia" w:ascii="仿宋" w:hAnsi="仿宋" w:eastAsia="仿宋" w:cs="仿宋"/>
                <w:color w:val="auto"/>
                <w:highlight w:val="none"/>
              </w:rPr>
            </w:pPr>
          </w:p>
        </w:tc>
        <w:tc>
          <w:tcPr>
            <w:tcW w:w="1219" w:type="dxa"/>
            <w:vMerge w:val="continue"/>
            <w:vAlign w:val="center"/>
          </w:tcPr>
          <w:p w14:paraId="7A6E6B7E">
            <w:pPr>
              <w:rPr>
                <w:rFonts w:hint="eastAsia" w:ascii="仿宋" w:hAnsi="仿宋" w:eastAsia="仿宋" w:cs="仿宋"/>
                <w:color w:val="auto"/>
                <w:highlight w:val="none"/>
              </w:rPr>
            </w:pPr>
          </w:p>
        </w:tc>
        <w:tc>
          <w:tcPr>
            <w:tcW w:w="951" w:type="dxa"/>
            <w:vMerge w:val="continue"/>
            <w:vAlign w:val="center"/>
          </w:tcPr>
          <w:p w14:paraId="6346C956">
            <w:pPr>
              <w:rPr>
                <w:rFonts w:hint="eastAsia" w:ascii="仿宋" w:hAnsi="仿宋" w:eastAsia="仿宋" w:cs="仿宋"/>
                <w:color w:val="auto"/>
                <w:highlight w:val="none"/>
              </w:rPr>
            </w:pPr>
          </w:p>
        </w:tc>
        <w:tc>
          <w:tcPr>
            <w:tcW w:w="832" w:type="dxa"/>
            <w:vAlign w:val="center"/>
          </w:tcPr>
          <w:p w14:paraId="7CC96EA3">
            <w:pPr>
              <w:wordWrap w:val="0"/>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进度计划方案</w:t>
            </w:r>
          </w:p>
          <w:p w14:paraId="0C7E871D">
            <w:pPr>
              <w:wordWrap w:val="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20</w:t>
            </w:r>
            <w:r>
              <w:rPr>
                <w:rFonts w:hint="eastAsia" w:ascii="仿宋" w:hAnsi="仿宋" w:eastAsia="仿宋" w:cs="仿宋"/>
                <w:color w:val="auto"/>
                <w:sz w:val="24"/>
                <w:szCs w:val="24"/>
                <w:highlight w:val="none"/>
              </w:rPr>
              <w:t>分</w:t>
            </w:r>
            <w:r>
              <w:rPr>
                <w:rFonts w:hint="eastAsia" w:ascii="仿宋" w:hAnsi="仿宋" w:eastAsia="仿宋" w:cs="仿宋"/>
                <w:color w:val="auto"/>
                <w:sz w:val="24"/>
                <w:szCs w:val="24"/>
                <w:highlight w:val="none"/>
                <w:lang w:eastAsia="zh-CN"/>
              </w:rPr>
              <w:t>）</w:t>
            </w:r>
          </w:p>
        </w:tc>
        <w:tc>
          <w:tcPr>
            <w:tcW w:w="3742" w:type="dxa"/>
            <w:vAlign w:val="center"/>
          </w:tcPr>
          <w:p w14:paraId="6892E5F6">
            <w:pPr>
              <w:snapToGrid w:val="0"/>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rPr>
              <w:t>供应商</w:t>
            </w:r>
            <w:r>
              <w:rPr>
                <w:rFonts w:hint="eastAsia" w:ascii="仿宋" w:hAnsi="仿宋" w:eastAsia="仿宋" w:cs="仿宋"/>
                <w:color w:val="auto"/>
                <w:sz w:val="24"/>
                <w:szCs w:val="24"/>
                <w:highlight w:val="none"/>
                <w:lang w:val="zh-CN"/>
              </w:rPr>
              <w:t>针对本</w:t>
            </w:r>
            <w:r>
              <w:rPr>
                <w:rFonts w:hint="eastAsia" w:ascii="仿宋" w:hAnsi="仿宋" w:eastAsia="仿宋" w:cs="仿宋"/>
                <w:color w:val="auto"/>
                <w:sz w:val="24"/>
                <w:szCs w:val="24"/>
                <w:highlight w:val="none"/>
              </w:rPr>
              <w:t>项目</w:t>
            </w:r>
            <w:r>
              <w:rPr>
                <w:rFonts w:hint="eastAsia" w:ascii="仿宋" w:hAnsi="仿宋" w:eastAsia="仿宋" w:cs="仿宋"/>
                <w:color w:val="auto"/>
                <w:sz w:val="24"/>
                <w:szCs w:val="24"/>
                <w:highlight w:val="none"/>
                <w:lang w:val="zh-CN"/>
              </w:rPr>
              <w:t>工作内容提供</w:t>
            </w:r>
            <w:r>
              <w:rPr>
                <w:rFonts w:hint="eastAsia" w:ascii="仿宋" w:hAnsi="仿宋" w:eastAsia="仿宋" w:cs="仿宋"/>
                <w:b/>
                <w:bCs/>
                <w:color w:val="auto"/>
                <w:sz w:val="24"/>
                <w:szCs w:val="24"/>
                <w:highlight w:val="none"/>
                <w:lang w:val="zh-CN"/>
              </w:rPr>
              <w:t>“进度计划方案”</w:t>
            </w:r>
            <w:r>
              <w:rPr>
                <w:rFonts w:hint="eastAsia" w:ascii="仿宋" w:hAnsi="仿宋" w:eastAsia="仿宋" w:cs="仿宋"/>
                <w:color w:val="auto"/>
                <w:sz w:val="24"/>
                <w:szCs w:val="24"/>
                <w:highlight w:val="none"/>
                <w:lang w:val="zh-CN"/>
              </w:rPr>
              <w:t>，</w:t>
            </w:r>
            <w:r>
              <w:rPr>
                <w:rFonts w:hint="eastAsia" w:ascii="仿宋" w:hAnsi="仿宋" w:eastAsia="仿宋" w:cs="仿宋"/>
                <w:color w:val="auto"/>
                <w:kern w:val="0"/>
                <w:sz w:val="24"/>
                <w:szCs w:val="24"/>
                <w:highlight w:val="none"/>
              </w:rPr>
              <w:t>方案</w:t>
            </w:r>
            <w:r>
              <w:rPr>
                <w:rFonts w:hint="eastAsia" w:ascii="仿宋" w:hAnsi="仿宋" w:eastAsia="仿宋" w:cs="仿宋"/>
                <w:color w:val="auto"/>
                <w:sz w:val="24"/>
                <w:szCs w:val="24"/>
                <w:highlight w:val="none"/>
              </w:rPr>
              <w:t>内容包括但不限于：</w:t>
            </w:r>
            <w:r>
              <w:rPr>
                <w:rFonts w:hint="eastAsia" w:ascii="仿宋" w:hAnsi="仿宋" w:eastAsia="仿宋" w:cs="仿宋"/>
                <w:color w:val="auto"/>
                <w:kern w:val="0"/>
                <w:sz w:val="24"/>
                <w:szCs w:val="24"/>
                <w:highlight w:val="none"/>
              </w:rPr>
              <w:t>①整体进度计划、②各时间节点安排等。</w:t>
            </w:r>
            <w:r>
              <w:rPr>
                <w:rFonts w:hint="eastAsia" w:ascii="仿宋" w:hAnsi="仿宋" w:eastAsia="仿宋" w:cs="仿宋"/>
                <w:color w:val="auto"/>
                <w:sz w:val="24"/>
                <w:szCs w:val="24"/>
                <w:highlight w:val="none"/>
                <w:lang w:val="zh-CN"/>
              </w:rPr>
              <w:t>可从方案的合理性、完整性、针对性及可操作性等方面进行评审。</w:t>
            </w:r>
          </w:p>
          <w:p w14:paraId="2EAFDB7C">
            <w:pPr>
              <w:numPr>
                <w:ilvl w:val="-1"/>
                <w:numId w:val="0"/>
              </w:numPr>
              <w:snapToGrid w:val="0"/>
              <w:ind w:left="0" w:firstLine="0"/>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lang w:val="zh-CN"/>
              </w:rPr>
              <w:t>①</w:t>
            </w:r>
            <w:r>
              <w:rPr>
                <w:rFonts w:hint="eastAsia" w:ascii="仿宋" w:hAnsi="仿宋" w:eastAsia="仿宋" w:cs="仿宋"/>
                <w:b/>
                <w:bCs/>
                <w:color w:val="auto"/>
                <w:sz w:val="24"/>
                <w:szCs w:val="24"/>
                <w:highlight w:val="none"/>
                <w:lang w:val="zh-CN"/>
              </w:rPr>
              <w:t>进度计划方案</w:t>
            </w:r>
            <w:r>
              <w:rPr>
                <w:rFonts w:hint="eastAsia" w:ascii="仿宋" w:hAnsi="仿宋" w:eastAsia="仿宋" w:cs="仿宋"/>
                <w:color w:val="auto"/>
                <w:sz w:val="24"/>
                <w:szCs w:val="24"/>
                <w:highlight w:val="none"/>
                <w:lang w:val="zh-CN"/>
              </w:rPr>
              <w:t>优（方案合理、完整性、针对性及可操作性强）得</w:t>
            </w:r>
            <w:r>
              <w:rPr>
                <w:rFonts w:hint="eastAsia" w:ascii="仿宋" w:hAnsi="仿宋" w:eastAsia="仿宋" w:cs="仿宋"/>
                <w:color w:val="auto"/>
                <w:sz w:val="24"/>
                <w:szCs w:val="24"/>
                <w:highlight w:val="none"/>
                <w:lang w:val="en-US" w:eastAsia="zh-CN"/>
              </w:rPr>
              <w:t>20</w:t>
            </w:r>
            <w:r>
              <w:rPr>
                <w:rFonts w:hint="eastAsia" w:ascii="仿宋" w:hAnsi="仿宋" w:eastAsia="仿宋" w:cs="仿宋"/>
                <w:color w:val="auto"/>
                <w:sz w:val="24"/>
                <w:szCs w:val="24"/>
                <w:highlight w:val="none"/>
                <w:lang w:val="zh-CN"/>
              </w:rPr>
              <w:t>分；</w:t>
            </w:r>
          </w:p>
          <w:p w14:paraId="0F64DB4A">
            <w:pPr>
              <w:snapToGrid w:val="0"/>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lang w:val="zh-CN"/>
              </w:rPr>
              <w:t>②</w:t>
            </w:r>
            <w:r>
              <w:rPr>
                <w:rFonts w:hint="eastAsia" w:ascii="仿宋" w:hAnsi="仿宋" w:eastAsia="仿宋" w:cs="仿宋"/>
                <w:b/>
                <w:bCs/>
                <w:color w:val="auto"/>
                <w:sz w:val="24"/>
                <w:szCs w:val="24"/>
                <w:highlight w:val="none"/>
                <w:lang w:val="zh-CN"/>
              </w:rPr>
              <w:t>进度计划方案</w:t>
            </w:r>
            <w:r>
              <w:rPr>
                <w:rFonts w:hint="eastAsia" w:ascii="仿宋" w:hAnsi="仿宋" w:eastAsia="仿宋" w:cs="仿宋"/>
                <w:color w:val="auto"/>
                <w:sz w:val="24"/>
                <w:szCs w:val="24"/>
                <w:highlight w:val="none"/>
                <w:lang w:val="zh-CN"/>
              </w:rPr>
              <w:t>良（方案合理、完整性、针对性及可操作性较强）得</w:t>
            </w:r>
            <w:r>
              <w:rPr>
                <w:rFonts w:hint="eastAsia" w:ascii="仿宋" w:hAnsi="仿宋" w:eastAsia="仿宋" w:cs="仿宋"/>
                <w:color w:val="auto"/>
                <w:sz w:val="24"/>
                <w:szCs w:val="24"/>
                <w:highlight w:val="none"/>
                <w:lang w:val="en-US" w:eastAsia="zh-CN"/>
              </w:rPr>
              <w:t>15</w:t>
            </w:r>
            <w:r>
              <w:rPr>
                <w:rFonts w:hint="eastAsia" w:ascii="仿宋" w:hAnsi="仿宋" w:eastAsia="仿宋" w:cs="仿宋"/>
                <w:color w:val="auto"/>
                <w:sz w:val="24"/>
                <w:szCs w:val="24"/>
                <w:highlight w:val="none"/>
                <w:lang w:val="zh-CN"/>
              </w:rPr>
              <w:t>分；</w:t>
            </w:r>
          </w:p>
          <w:p w14:paraId="67E3DE3E">
            <w:pPr>
              <w:snapToGrid w:val="0"/>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lang w:val="zh-CN"/>
              </w:rPr>
              <w:t>③</w:t>
            </w:r>
            <w:r>
              <w:rPr>
                <w:rFonts w:hint="eastAsia" w:ascii="仿宋" w:hAnsi="仿宋" w:eastAsia="仿宋" w:cs="仿宋"/>
                <w:b/>
                <w:bCs/>
                <w:color w:val="auto"/>
                <w:sz w:val="24"/>
                <w:szCs w:val="24"/>
                <w:highlight w:val="none"/>
                <w:lang w:val="zh-CN"/>
              </w:rPr>
              <w:t>进度计划方案</w:t>
            </w:r>
            <w:r>
              <w:rPr>
                <w:rFonts w:hint="eastAsia" w:ascii="仿宋" w:hAnsi="仿宋" w:eastAsia="仿宋" w:cs="仿宋"/>
                <w:color w:val="auto"/>
                <w:sz w:val="24"/>
                <w:szCs w:val="24"/>
                <w:highlight w:val="none"/>
                <w:lang w:val="zh-CN"/>
              </w:rPr>
              <w:t>一般（方案合理、完整性、针对性及可操作性一般）得</w:t>
            </w:r>
            <w:r>
              <w:rPr>
                <w:rFonts w:hint="eastAsia" w:ascii="仿宋" w:hAnsi="仿宋" w:eastAsia="仿宋" w:cs="仿宋"/>
                <w:color w:val="auto"/>
                <w:sz w:val="24"/>
                <w:szCs w:val="24"/>
                <w:highlight w:val="none"/>
                <w:lang w:val="en-US" w:eastAsia="zh-CN"/>
              </w:rPr>
              <w:t>10</w:t>
            </w:r>
            <w:r>
              <w:rPr>
                <w:rFonts w:hint="eastAsia" w:ascii="仿宋" w:hAnsi="仿宋" w:eastAsia="仿宋" w:cs="仿宋"/>
                <w:color w:val="auto"/>
                <w:sz w:val="24"/>
                <w:szCs w:val="24"/>
                <w:highlight w:val="none"/>
                <w:lang w:val="zh-CN"/>
              </w:rPr>
              <w:t>分；</w:t>
            </w:r>
          </w:p>
          <w:p w14:paraId="7EEF43EE">
            <w:pPr>
              <w:snapToGrid w:val="0"/>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lang w:val="zh-CN"/>
              </w:rPr>
              <w:t>④</w:t>
            </w:r>
            <w:r>
              <w:rPr>
                <w:rFonts w:hint="eastAsia" w:ascii="仿宋" w:hAnsi="仿宋" w:eastAsia="仿宋" w:cs="仿宋"/>
                <w:b/>
                <w:bCs/>
                <w:color w:val="auto"/>
                <w:sz w:val="24"/>
                <w:szCs w:val="24"/>
                <w:highlight w:val="none"/>
                <w:lang w:val="zh-CN"/>
              </w:rPr>
              <w:t>进度计划方案</w:t>
            </w:r>
            <w:r>
              <w:rPr>
                <w:rFonts w:hint="eastAsia" w:ascii="仿宋" w:hAnsi="仿宋" w:eastAsia="仿宋" w:cs="仿宋"/>
                <w:color w:val="auto"/>
                <w:sz w:val="24"/>
                <w:szCs w:val="24"/>
                <w:highlight w:val="none"/>
                <w:lang w:val="zh-CN"/>
              </w:rPr>
              <w:t>差（方案不合理、不完整、没有针对性及可操作性）得</w:t>
            </w:r>
            <w:r>
              <w:rPr>
                <w:rFonts w:hint="eastAsia" w:ascii="仿宋" w:hAnsi="仿宋" w:eastAsia="仿宋" w:cs="仿宋"/>
                <w:color w:val="auto"/>
                <w:sz w:val="24"/>
                <w:szCs w:val="24"/>
                <w:highlight w:val="none"/>
              </w:rPr>
              <w:t>5</w:t>
            </w:r>
            <w:r>
              <w:rPr>
                <w:rFonts w:hint="eastAsia" w:ascii="仿宋" w:hAnsi="仿宋" w:eastAsia="仿宋" w:cs="仿宋"/>
                <w:color w:val="auto"/>
                <w:sz w:val="24"/>
                <w:szCs w:val="24"/>
                <w:highlight w:val="none"/>
                <w:lang w:val="zh-CN"/>
              </w:rPr>
              <w:t>分；</w:t>
            </w:r>
          </w:p>
          <w:p w14:paraId="5DC9F55E">
            <w:pPr>
              <w:wordWrap w:val="0"/>
              <w:jc w:val="left"/>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zh-CN"/>
              </w:rPr>
              <w:t>⑤</w:t>
            </w:r>
            <w:r>
              <w:rPr>
                <w:rFonts w:hint="eastAsia" w:ascii="仿宋" w:hAnsi="仿宋" w:eastAsia="仿宋" w:cs="仿宋"/>
                <w:b/>
                <w:bCs/>
                <w:color w:val="auto"/>
                <w:sz w:val="24"/>
                <w:szCs w:val="24"/>
                <w:highlight w:val="none"/>
                <w:lang w:val="zh-CN"/>
              </w:rPr>
              <w:t>进度计划方案</w:t>
            </w:r>
            <w:r>
              <w:rPr>
                <w:rFonts w:hint="eastAsia" w:ascii="仿宋" w:hAnsi="仿宋" w:eastAsia="仿宋" w:cs="仿宋"/>
                <w:color w:val="auto"/>
                <w:sz w:val="24"/>
                <w:szCs w:val="24"/>
                <w:highlight w:val="none"/>
                <w:lang w:val="zh-CN"/>
              </w:rPr>
              <w:t>未提供得0分。</w:t>
            </w:r>
          </w:p>
        </w:tc>
        <w:tc>
          <w:tcPr>
            <w:tcW w:w="1375" w:type="dxa"/>
            <w:vMerge w:val="continue"/>
            <w:vAlign w:val="center"/>
          </w:tcPr>
          <w:p w14:paraId="60175F75">
            <w:pPr>
              <w:rPr>
                <w:rFonts w:hint="eastAsia" w:ascii="仿宋" w:hAnsi="仿宋" w:eastAsia="仿宋" w:cs="仿宋"/>
                <w:color w:val="auto"/>
                <w:highlight w:val="none"/>
              </w:rPr>
            </w:pPr>
          </w:p>
        </w:tc>
      </w:tr>
      <w:tr w14:paraId="7594C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 w:hRule="atLeast"/>
        </w:trPr>
        <w:tc>
          <w:tcPr>
            <w:tcW w:w="563" w:type="dxa"/>
            <w:vMerge w:val="continue"/>
            <w:vAlign w:val="center"/>
          </w:tcPr>
          <w:p w14:paraId="7B4615CD">
            <w:pPr>
              <w:rPr>
                <w:color w:val="auto"/>
                <w:highlight w:val="none"/>
              </w:rPr>
            </w:pPr>
          </w:p>
        </w:tc>
        <w:tc>
          <w:tcPr>
            <w:tcW w:w="1219" w:type="dxa"/>
            <w:vMerge w:val="continue"/>
            <w:vAlign w:val="center"/>
          </w:tcPr>
          <w:p w14:paraId="44016705">
            <w:pPr>
              <w:rPr>
                <w:color w:val="auto"/>
                <w:highlight w:val="none"/>
              </w:rPr>
            </w:pPr>
          </w:p>
        </w:tc>
        <w:tc>
          <w:tcPr>
            <w:tcW w:w="951" w:type="dxa"/>
            <w:vMerge w:val="continue"/>
            <w:vAlign w:val="center"/>
          </w:tcPr>
          <w:p w14:paraId="66015CD3">
            <w:pPr>
              <w:rPr>
                <w:color w:val="auto"/>
                <w:highlight w:val="none"/>
              </w:rPr>
            </w:pPr>
          </w:p>
        </w:tc>
        <w:tc>
          <w:tcPr>
            <w:tcW w:w="832" w:type="dxa"/>
            <w:vAlign w:val="center"/>
          </w:tcPr>
          <w:p w14:paraId="54209DEF">
            <w:pPr>
              <w:wordWrap w:val="0"/>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质量控制方案</w:t>
            </w:r>
          </w:p>
          <w:p w14:paraId="6BD7693E">
            <w:pPr>
              <w:wordWrap w:val="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20</w:t>
            </w:r>
            <w:r>
              <w:rPr>
                <w:rFonts w:hint="eastAsia" w:ascii="仿宋" w:hAnsi="仿宋" w:eastAsia="仿宋" w:cs="仿宋"/>
                <w:color w:val="auto"/>
                <w:sz w:val="24"/>
                <w:szCs w:val="24"/>
                <w:highlight w:val="none"/>
              </w:rPr>
              <w:t>分</w:t>
            </w:r>
            <w:r>
              <w:rPr>
                <w:rFonts w:hint="eastAsia" w:ascii="仿宋" w:hAnsi="仿宋" w:eastAsia="仿宋" w:cs="仿宋"/>
                <w:color w:val="auto"/>
                <w:sz w:val="24"/>
                <w:szCs w:val="24"/>
                <w:highlight w:val="none"/>
                <w:lang w:eastAsia="zh-CN"/>
              </w:rPr>
              <w:t>）</w:t>
            </w:r>
          </w:p>
        </w:tc>
        <w:tc>
          <w:tcPr>
            <w:tcW w:w="3742" w:type="dxa"/>
            <w:vAlign w:val="center"/>
          </w:tcPr>
          <w:p w14:paraId="1F2BC9BE">
            <w:pPr>
              <w:snapToGrid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供应商针对本项目工作内容提供“</w:t>
            </w:r>
            <w:r>
              <w:rPr>
                <w:rFonts w:hint="eastAsia" w:ascii="仿宋" w:hAnsi="仿宋" w:eastAsia="仿宋" w:cs="仿宋"/>
                <w:b/>
                <w:bCs/>
                <w:color w:val="auto"/>
                <w:sz w:val="24"/>
                <w:szCs w:val="24"/>
                <w:highlight w:val="none"/>
              </w:rPr>
              <w:t>质量控制方案</w:t>
            </w:r>
            <w:r>
              <w:rPr>
                <w:rFonts w:hint="eastAsia" w:ascii="仿宋" w:hAnsi="仿宋" w:eastAsia="仿宋" w:cs="仿宋"/>
                <w:color w:val="auto"/>
                <w:sz w:val="24"/>
                <w:szCs w:val="24"/>
                <w:highlight w:val="none"/>
              </w:rPr>
              <w:t>”，方案内容包括但不限于：①质量控制计划、②质量管理考核体系及措施等。可从方案的合理性、完整性、针对性及可操作性等方面进行评审。</w:t>
            </w:r>
          </w:p>
          <w:p w14:paraId="7AFAB742">
            <w:pPr>
              <w:numPr>
                <w:ilvl w:val="-1"/>
                <w:numId w:val="0"/>
              </w:numPr>
              <w:snapToGrid w:val="0"/>
              <w:ind w:left="0" w:firstLine="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zh-CN"/>
              </w:rPr>
              <w:t>①</w:t>
            </w:r>
            <w:r>
              <w:rPr>
                <w:rFonts w:hint="eastAsia" w:ascii="仿宋" w:hAnsi="仿宋" w:eastAsia="仿宋" w:cs="仿宋"/>
                <w:b/>
                <w:bCs/>
                <w:color w:val="auto"/>
                <w:sz w:val="24"/>
                <w:szCs w:val="24"/>
                <w:highlight w:val="none"/>
              </w:rPr>
              <w:t>质量控制方案</w:t>
            </w:r>
            <w:r>
              <w:rPr>
                <w:rFonts w:hint="eastAsia" w:ascii="仿宋" w:hAnsi="仿宋" w:eastAsia="仿宋" w:cs="仿宋"/>
                <w:color w:val="auto"/>
                <w:sz w:val="24"/>
                <w:szCs w:val="24"/>
                <w:highlight w:val="none"/>
              </w:rPr>
              <w:t>优（方案合理、完整性、针对性及可操作性强）得</w:t>
            </w:r>
            <w:r>
              <w:rPr>
                <w:rFonts w:hint="eastAsia" w:ascii="仿宋" w:hAnsi="仿宋" w:eastAsia="仿宋" w:cs="仿宋"/>
                <w:color w:val="auto"/>
                <w:sz w:val="24"/>
                <w:szCs w:val="24"/>
                <w:highlight w:val="none"/>
                <w:lang w:val="en-US" w:eastAsia="zh-CN"/>
              </w:rPr>
              <w:t>20</w:t>
            </w:r>
            <w:r>
              <w:rPr>
                <w:rFonts w:hint="eastAsia" w:ascii="仿宋" w:hAnsi="仿宋" w:eastAsia="仿宋" w:cs="仿宋"/>
                <w:color w:val="auto"/>
                <w:sz w:val="24"/>
                <w:szCs w:val="24"/>
                <w:highlight w:val="none"/>
              </w:rPr>
              <w:t>分；</w:t>
            </w:r>
          </w:p>
          <w:p w14:paraId="66E517C0">
            <w:pPr>
              <w:numPr>
                <w:ilvl w:val="-1"/>
                <w:numId w:val="0"/>
              </w:numPr>
              <w:snapToGrid w:val="0"/>
              <w:ind w:left="0" w:firstLine="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zh-CN"/>
              </w:rPr>
              <w:t>②</w:t>
            </w:r>
            <w:r>
              <w:rPr>
                <w:rFonts w:hint="eastAsia" w:ascii="仿宋" w:hAnsi="仿宋" w:eastAsia="仿宋" w:cs="仿宋"/>
                <w:b/>
                <w:bCs/>
                <w:color w:val="auto"/>
                <w:sz w:val="24"/>
                <w:szCs w:val="24"/>
                <w:highlight w:val="none"/>
              </w:rPr>
              <w:t>质量控制方案</w:t>
            </w:r>
            <w:r>
              <w:rPr>
                <w:rFonts w:hint="eastAsia" w:ascii="仿宋" w:hAnsi="仿宋" w:eastAsia="仿宋" w:cs="仿宋"/>
                <w:color w:val="auto"/>
                <w:sz w:val="24"/>
                <w:szCs w:val="24"/>
                <w:highlight w:val="none"/>
              </w:rPr>
              <w:t>良（方案合理、完整性、针对性及可操作性较强）得1</w:t>
            </w:r>
            <w:r>
              <w:rPr>
                <w:rFonts w:hint="eastAsia" w:ascii="仿宋" w:hAnsi="仿宋" w:eastAsia="仿宋" w:cs="仿宋"/>
                <w:color w:val="auto"/>
                <w:sz w:val="24"/>
                <w:szCs w:val="24"/>
                <w:highlight w:val="none"/>
                <w:lang w:val="en-US" w:eastAsia="zh-CN"/>
              </w:rPr>
              <w:t>5</w:t>
            </w:r>
            <w:r>
              <w:rPr>
                <w:rFonts w:hint="eastAsia" w:ascii="仿宋" w:hAnsi="仿宋" w:eastAsia="仿宋" w:cs="仿宋"/>
                <w:color w:val="auto"/>
                <w:sz w:val="24"/>
                <w:szCs w:val="24"/>
                <w:highlight w:val="none"/>
              </w:rPr>
              <w:t>分；</w:t>
            </w:r>
          </w:p>
          <w:p w14:paraId="22EDE273">
            <w:pPr>
              <w:numPr>
                <w:ilvl w:val="-1"/>
                <w:numId w:val="0"/>
              </w:numPr>
              <w:snapToGrid w:val="0"/>
              <w:ind w:left="0" w:firstLine="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zh-CN"/>
              </w:rPr>
              <w:t>③</w:t>
            </w:r>
            <w:r>
              <w:rPr>
                <w:rFonts w:hint="eastAsia" w:ascii="仿宋" w:hAnsi="仿宋" w:eastAsia="仿宋" w:cs="仿宋"/>
                <w:b/>
                <w:bCs/>
                <w:color w:val="auto"/>
                <w:sz w:val="24"/>
                <w:szCs w:val="24"/>
                <w:highlight w:val="none"/>
              </w:rPr>
              <w:t>质量控制方案</w:t>
            </w:r>
            <w:r>
              <w:rPr>
                <w:rFonts w:hint="eastAsia" w:ascii="仿宋" w:hAnsi="仿宋" w:eastAsia="仿宋" w:cs="仿宋"/>
                <w:color w:val="auto"/>
                <w:sz w:val="24"/>
                <w:szCs w:val="24"/>
                <w:highlight w:val="none"/>
              </w:rPr>
              <w:t>一般（方案合理、完整性、针对性及可操作性一般）得</w:t>
            </w:r>
            <w:r>
              <w:rPr>
                <w:rFonts w:hint="eastAsia" w:ascii="仿宋" w:hAnsi="仿宋" w:eastAsia="仿宋" w:cs="仿宋"/>
                <w:color w:val="auto"/>
                <w:sz w:val="24"/>
                <w:szCs w:val="24"/>
                <w:highlight w:val="none"/>
                <w:lang w:val="en-US" w:eastAsia="zh-CN"/>
              </w:rPr>
              <w:t>10</w:t>
            </w:r>
            <w:r>
              <w:rPr>
                <w:rFonts w:hint="eastAsia" w:ascii="仿宋" w:hAnsi="仿宋" w:eastAsia="仿宋" w:cs="仿宋"/>
                <w:color w:val="auto"/>
                <w:sz w:val="24"/>
                <w:szCs w:val="24"/>
                <w:highlight w:val="none"/>
              </w:rPr>
              <w:t>分；</w:t>
            </w:r>
          </w:p>
          <w:p w14:paraId="4D930054">
            <w:pPr>
              <w:snapToGrid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④</w:t>
            </w:r>
            <w:r>
              <w:rPr>
                <w:rFonts w:hint="eastAsia" w:ascii="仿宋" w:hAnsi="仿宋" w:eastAsia="仿宋" w:cs="仿宋"/>
                <w:b/>
                <w:bCs/>
                <w:color w:val="auto"/>
                <w:sz w:val="24"/>
                <w:szCs w:val="24"/>
                <w:highlight w:val="none"/>
              </w:rPr>
              <w:t>质量控制方案</w:t>
            </w:r>
            <w:r>
              <w:rPr>
                <w:rFonts w:hint="eastAsia" w:ascii="仿宋" w:hAnsi="仿宋" w:eastAsia="仿宋" w:cs="仿宋"/>
                <w:color w:val="auto"/>
                <w:sz w:val="24"/>
                <w:szCs w:val="24"/>
                <w:highlight w:val="none"/>
              </w:rPr>
              <w:t>差（方案不合理、不完整、没有针对性及可操作性）得5分；</w:t>
            </w:r>
          </w:p>
          <w:p w14:paraId="597CE6D7">
            <w:pPr>
              <w:snapToGrid w:val="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⑤</w:t>
            </w:r>
            <w:r>
              <w:rPr>
                <w:rFonts w:hint="eastAsia" w:ascii="仿宋" w:hAnsi="仿宋" w:eastAsia="仿宋" w:cs="仿宋"/>
                <w:b/>
                <w:bCs/>
                <w:color w:val="auto"/>
                <w:sz w:val="24"/>
                <w:szCs w:val="24"/>
                <w:highlight w:val="none"/>
              </w:rPr>
              <w:t>质量控制方案</w:t>
            </w:r>
            <w:r>
              <w:rPr>
                <w:rFonts w:hint="eastAsia" w:ascii="仿宋" w:hAnsi="仿宋" w:eastAsia="仿宋" w:cs="仿宋"/>
                <w:color w:val="auto"/>
                <w:sz w:val="24"/>
                <w:szCs w:val="24"/>
                <w:highlight w:val="none"/>
              </w:rPr>
              <w:t>未提供得0分</w:t>
            </w:r>
          </w:p>
        </w:tc>
        <w:tc>
          <w:tcPr>
            <w:tcW w:w="1375" w:type="dxa"/>
            <w:vMerge w:val="continue"/>
            <w:vAlign w:val="center"/>
          </w:tcPr>
          <w:p w14:paraId="72F8B05F">
            <w:pPr>
              <w:rPr>
                <w:rFonts w:hint="eastAsia" w:ascii="仿宋" w:hAnsi="仿宋" w:eastAsia="仿宋" w:cs="仿宋"/>
                <w:color w:val="auto"/>
                <w:sz w:val="21"/>
                <w:szCs w:val="21"/>
                <w:highlight w:val="none"/>
                <w:lang w:val="en-US" w:eastAsia="zh-CN"/>
              </w:rPr>
            </w:pPr>
          </w:p>
        </w:tc>
      </w:tr>
      <w:tr w14:paraId="23B48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atLeast"/>
        </w:trPr>
        <w:tc>
          <w:tcPr>
            <w:tcW w:w="563" w:type="dxa"/>
            <w:vAlign w:val="center"/>
          </w:tcPr>
          <w:p w14:paraId="5BCC081C">
            <w:pPr>
              <w:ind w:firstLine="28"/>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3</w:t>
            </w:r>
          </w:p>
        </w:tc>
        <w:tc>
          <w:tcPr>
            <w:tcW w:w="1219" w:type="dxa"/>
            <w:vAlign w:val="center"/>
          </w:tcPr>
          <w:p w14:paraId="5344743C">
            <w:pPr>
              <w:ind w:firstLine="28"/>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商务部分</w:t>
            </w:r>
          </w:p>
          <w:p w14:paraId="460101E8">
            <w:pPr>
              <w:ind w:firstLine="28"/>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w:t>
            </w:r>
            <w:r>
              <w:rPr>
                <w:rFonts w:hint="eastAsia" w:ascii="仿宋" w:hAnsi="仿宋" w:eastAsia="仿宋" w:cs="仿宋"/>
                <w:color w:val="auto"/>
                <w:sz w:val="21"/>
                <w:szCs w:val="21"/>
                <w:highlight w:val="none"/>
                <w:lang w:val="en-US" w:eastAsia="zh-CN"/>
              </w:rPr>
              <w:t>2</w:t>
            </w:r>
            <w:r>
              <w:rPr>
                <w:rFonts w:hint="eastAsia" w:ascii="仿宋" w:hAnsi="仿宋" w:eastAsia="仿宋" w:cs="仿宋"/>
                <w:color w:val="auto"/>
                <w:sz w:val="21"/>
                <w:szCs w:val="21"/>
                <w:highlight w:val="none"/>
              </w:rPr>
              <w:t>0%）</w:t>
            </w:r>
          </w:p>
        </w:tc>
        <w:tc>
          <w:tcPr>
            <w:tcW w:w="951" w:type="dxa"/>
            <w:vAlign w:val="center"/>
          </w:tcPr>
          <w:p w14:paraId="00DBE1AD">
            <w:pPr>
              <w:widowControl/>
              <w:ind w:firstLine="28" w:firstLineChars="0"/>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kern w:val="0"/>
                <w:sz w:val="20"/>
                <w:szCs w:val="20"/>
                <w:highlight w:val="none"/>
                <w:lang w:val="en-US" w:eastAsia="zh-CN" w:bidi="ar"/>
              </w:rPr>
              <w:t>供应商</w:t>
            </w:r>
            <w:r>
              <w:rPr>
                <w:rFonts w:ascii="仿宋" w:hAnsi="仿宋" w:eastAsia="仿宋" w:cs="仿宋"/>
                <w:color w:val="auto"/>
                <w:kern w:val="0"/>
                <w:sz w:val="20"/>
                <w:szCs w:val="20"/>
                <w:highlight w:val="none"/>
                <w:lang w:val="en-US" w:eastAsia="zh-CN" w:bidi="ar"/>
              </w:rPr>
              <w:t>业</w:t>
            </w:r>
            <w:r>
              <w:rPr>
                <w:rFonts w:hint="eastAsia" w:ascii="仿宋" w:hAnsi="仿宋" w:eastAsia="仿宋" w:cs="仿宋"/>
                <w:color w:val="auto"/>
                <w:kern w:val="0"/>
                <w:sz w:val="20"/>
                <w:szCs w:val="20"/>
                <w:highlight w:val="none"/>
                <w:lang w:val="en-US" w:eastAsia="zh-CN" w:bidi="ar"/>
              </w:rPr>
              <w:t>绩（20 分）</w:t>
            </w:r>
          </w:p>
        </w:tc>
        <w:tc>
          <w:tcPr>
            <w:tcW w:w="4574" w:type="dxa"/>
            <w:gridSpan w:val="2"/>
            <w:vAlign w:val="center"/>
          </w:tcPr>
          <w:p w14:paraId="28B6D68A">
            <w:pPr>
              <w:keepNext w:val="0"/>
              <w:keepLines w:val="0"/>
              <w:widowControl/>
              <w:suppressLineNumbers w:val="0"/>
              <w:ind w:firstLine="28"/>
              <w:jc w:val="left"/>
              <w:rPr>
                <w:rFonts w:hint="eastAsia" w:ascii="仿宋" w:hAnsi="仿宋" w:eastAsia="仿宋" w:cs="仿宋"/>
                <w:color w:val="auto"/>
                <w:sz w:val="21"/>
                <w:szCs w:val="21"/>
                <w:highlight w:val="none"/>
                <w:lang w:val="en-US" w:eastAsia="zh-CN"/>
              </w:rPr>
            </w:pPr>
            <w:r>
              <w:rPr>
                <w:rFonts w:hint="eastAsia" w:ascii="仿宋" w:hAnsi="仿宋" w:eastAsia="仿宋" w:cs="仿宋"/>
                <w:color w:val="auto"/>
                <w:kern w:val="0"/>
                <w:sz w:val="20"/>
                <w:szCs w:val="20"/>
                <w:highlight w:val="none"/>
                <w:lang w:val="en-US" w:eastAsia="zh-CN" w:bidi="ar"/>
              </w:rPr>
              <w:t>供应商</w:t>
            </w:r>
            <w:r>
              <w:rPr>
                <w:rFonts w:ascii="仿宋" w:hAnsi="仿宋" w:eastAsia="仿宋" w:cs="仿宋"/>
                <w:color w:val="auto"/>
                <w:kern w:val="0"/>
                <w:sz w:val="20"/>
                <w:szCs w:val="20"/>
                <w:highlight w:val="none"/>
                <w:lang w:val="en-US" w:eastAsia="zh-CN" w:bidi="ar"/>
              </w:rPr>
              <w:t>自</w:t>
            </w:r>
            <w:r>
              <w:rPr>
                <w:rFonts w:hint="eastAsia" w:ascii="仿宋" w:hAnsi="仿宋" w:eastAsia="仿宋" w:cs="仿宋"/>
                <w:color w:val="auto"/>
                <w:kern w:val="0"/>
                <w:sz w:val="20"/>
                <w:szCs w:val="20"/>
                <w:highlight w:val="none"/>
                <w:lang w:val="en-US" w:eastAsia="zh-CN" w:bidi="ar"/>
              </w:rPr>
              <w:t>2022年1月1日至今，每提供过一个审计服务业绩的得5分，得分不超过20分</w:t>
            </w:r>
          </w:p>
        </w:tc>
        <w:tc>
          <w:tcPr>
            <w:tcW w:w="1375" w:type="dxa"/>
            <w:vAlign w:val="center"/>
          </w:tcPr>
          <w:p w14:paraId="03AA7101">
            <w:pPr>
              <w:widowControl/>
              <w:ind w:firstLine="0" w:firstLineChars="0"/>
              <w:jc w:val="left"/>
              <w:rPr>
                <w:rFonts w:hint="eastAsia" w:ascii="仿宋" w:hAnsi="仿宋" w:eastAsia="仿宋" w:cs="仿宋"/>
                <w:color w:val="auto"/>
                <w:sz w:val="21"/>
                <w:szCs w:val="21"/>
                <w:highlight w:val="none"/>
                <w:lang w:val="en-US" w:eastAsia="zh-CN"/>
              </w:rPr>
            </w:pPr>
            <w:r>
              <w:rPr>
                <w:rFonts w:ascii="仿宋" w:hAnsi="仿宋" w:eastAsia="仿宋" w:cs="仿宋"/>
                <w:color w:val="auto"/>
                <w:kern w:val="0"/>
                <w:sz w:val="20"/>
                <w:szCs w:val="20"/>
                <w:highlight w:val="none"/>
                <w:lang w:val="en-US" w:eastAsia="zh-CN" w:bidi="ar"/>
              </w:rPr>
              <w:t>提供合同复印件</w:t>
            </w:r>
            <w:r>
              <w:rPr>
                <w:rFonts w:hint="eastAsia" w:ascii="仿宋" w:hAnsi="仿宋" w:eastAsia="仿宋" w:cs="仿宋"/>
                <w:color w:val="auto"/>
                <w:kern w:val="0"/>
                <w:sz w:val="20"/>
                <w:szCs w:val="20"/>
                <w:highlight w:val="none"/>
                <w:lang w:val="en-US" w:eastAsia="zh-CN" w:bidi="ar"/>
              </w:rPr>
              <w:t>并加盖供应商公章。</w:t>
            </w:r>
          </w:p>
        </w:tc>
      </w:tr>
    </w:tbl>
    <w:p w14:paraId="74C3C581">
      <w:pPr>
        <w:rPr>
          <w:rFonts w:hint="eastAsia" w:ascii="仿宋" w:hAnsi="仿宋" w:eastAsia="仿宋" w:cs="仿宋"/>
          <w:color w:val="auto"/>
          <w:highlight w:val="none"/>
        </w:rPr>
      </w:pPr>
    </w:p>
    <w:bookmarkEnd w:id="85"/>
    <w:p w14:paraId="58AB485E">
      <w:pPr>
        <w:pStyle w:val="3"/>
        <w:spacing w:line="240" w:lineRule="auto"/>
        <w:ind w:firstLine="643"/>
        <w:rPr>
          <w:rFonts w:hint="eastAsia" w:ascii="仿宋" w:hAnsi="仿宋" w:eastAsia="仿宋" w:cs="仿宋"/>
          <w:color w:val="auto"/>
          <w:highlight w:val="none"/>
        </w:rPr>
      </w:pPr>
      <w:bookmarkStart w:id="86" w:name="_Toc183783147"/>
      <w:bookmarkStart w:id="87" w:name="_Toc106030892"/>
      <w:bookmarkStart w:id="88" w:name="_Toc76462337"/>
      <w:bookmarkStart w:id="89" w:name="_Toc102227313"/>
      <w:r>
        <w:rPr>
          <w:rFonts w:hint="eastAsia" w:ascii="仿宋" w:hAnsi="仿宋" w:eastAsia="仿宋" w:cs="仿宋"/>
          <w:color w:val="auto"/>
          <w:highlight w:val="none"/>
        </w:rPr>
        <w:t>三、无效响应</w:t>
      </w:r>
      <w:bookmarkEnd w:id="86"/>
    </w:p>
    <w:p w14:paraId="3E0434FC">
      <w:pPr>
        <w:snapToGrid w:val="0"/>
        <w:ind w:firstLine="480" w:firstLineChars="200"/>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供应商发生以下条款情况之一者，视为无效报价：</w:t>
      </w:r>
    </w:p>
    <w:p w14:paraId="42718488">
      <w:pPr>
        <w:pStyle w:val="12"/>
        <w:spacing w:line="240" w:lineRule="auto"/>
        <w:ind w:firstLine="480" w:firstLineChars="200"/>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（一）供应商不符合规定的资格条件的；</w:t>
      </w:r>
    </w:p>
    <w:p w14:paraId="17F63F35">
      <w:pPr>
        <w:pStyle w:val="12"/>
        <w:spacing w:line="240" w:lineRule="auto"/>
        <w:ind w:firstLine="480" w:firstLineChars="200"/>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（二）供应商未通过实质性响应审查的；</w:t>
      </w:r>
    </w:p>
    <w:p w14:paraId="5CE39A03">
      <w:pPr>
        <w:pStyle w:val="12"/>
        <w:spacing w:line="240" w:lineRule="auto"/>
        <w:ind w:firstLine="480" w:firstLineChars="200"/>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（三）供应商所提交的响应文件未按“第七篇响应文件格式要求”要求签署或盖章的；</w:t>
      </w:r>
    </w:p>
    <w:p w14:paraId="2298430D">
      <w:pPr>
        <w:pStyle w:val="12"/>
        <w:spacing w:line="240" w:lineRule="auto"/>
        <w:ind w:firstLine="480" w:firstLineChars="200"/>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（四）供应商的报价超过采购预算或最高限价的；</w:t>
      </w:r>
    </w:p>
    <w:p w14:paraId="46511B05">
      <w:pPr>
        <w:pStyle w:val="12"/>
        <w:spacing w:line="240" w:lineRule="auto"/>
        <w:ind w:firstLine="480" w:firstLineChars="200"/>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（五）单位负责人为同一人或者存在直接控股、管理关系的不同供应商，参加同一合同项（包）报价的；</w:t>
      </w:r>
    </w:p>
    <w:p w14:paraId="30866BBB">
      <w:pPr>
        <w:pStyle w:val="12"/>
        <w:spacing w:line="240" w:lineRule="auto"/>
        <w:ind w:firstLine="480" w:firstLineChars="200"/>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（六）为采购项目提供整体设计、规范编制或者项目管理、监理、检测等服务的供应商再参加该采购项目的其他采购活动的；</w:t>
      </w:r>
    </w:p>
    <w:p w14:paraId="2FDFA167">
      <w:pPr>
        <w:pStyle w:val="12"/>
        <w:spacing w:line="240" w:lineRule="auto"/>
        <w:ind w:firstLine="480" w:firstLineChars="200"/>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（七）法律、法规和竞采邀请书规定的其他无效情形。</w:t>
      </w:r>
    </w:p>
    <w:p w14:paraId="313FB64C">
      <w:pPr>
        <w:pStyle w:val="3"/>
        <w:spacing w:line="240" w:lineRule="auto"/>
        <w:ind w:firstLine="643"/>
        <w:rPr>
          <w:rFonts w:hint="eastAsia" w:ascii="仿宋" w:hAnsi="仿宋" w:eastAsia="仿宋" w:cs="仿宋"/>
          <w:color w:val="auto"/>
          <w:highlight w:val="none"/>
        </w:rPr>
      </w:pPr>
      <w:bookmarkStart w:id="90" w:name="_Toc30605"/>
      <w:bookmarkStart w:id="91" w:name="_Toc75793522"/>
      <w:bookmarkStart w:id="92" w:name="_Toc14355"/>
      <w:bookmarkStart w:id="93" w:name="_Toc6956"/>
      <w:bookmarkStart w:id="94" w:name="_Toc11293"/>
      <w:bookmarkStart w:id="95" w:name="_Toc27133"/>
      <w:bookmarkStart w:id="96" w:name="_Toc21946"/>
      <w:bookmarkStart w:id="97" w:name="_Toc20005"/>
      <w:bookmarkStart w:id="98" w:name="_Toc7802"/>
      <w:bookmarkStart w:id="99" w:name="_Toc6719"/>
      <w:bookmarkStart w:id="100" w:name="_Toc23533"/>
      <w:bookmarkStart w:id="101" w:name="_Toc4422"/>
      <w:bookmarkStart w:id="102" w:name="_Toc25549"/>
      <w:bookmarkStart w:id="103" w:name="_Toc106030398"/>
      <w:bookmarkStart w:id="104" w:name="_Toc6204"/>
      <w:bookmarkStart w:id="105" w:name="_Toc25960"/>
      <w:bookmarkStart w:id="106" w:name="_Toc183783148"/>
      <w:r>
        <w:rPr>
          <w:rFonts w:hint="eastAsia" w:ascii="仿宋" w:hAnsi="仿宋" w:eastAsia="仿宋" w:cs="仿宋"/>
          <w:color w:val="auto"/>
          <w:highlight w:val="none"/>
        </w:rPr>
        <w:t>四、</w:t>
      </w:r>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r>
        <w:rPr>
          <w:rFonts w:hint="eastAsia" w:ascii="仿宋" w:hAnsi="仿宋" w:eastAsia="仿宋" w:cs="仿宋"/>
          <w:color w:val="auto"/>
          <w:highlight w:val="none"/>
        </w:rPr>
        <w:t>采购终止</w:t>
      </w:r>
      <w:bookmarkEnd w:id="106"/>
    </w:p>
    <w:p w14:paraId="74415F31">
      <w:pPr>
        <w:snapToGrid w:val="0"/>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出现下列情形之一的，采购人或者采购代理机构应当终止采购活动，发布项目终止公告并说明原因，重新开展采购活动：</w:t>
      </w:r>
    </w:p>
    <w:p w14:paraId="0AEDD5FD">
      <w:pPr>
        <w:snapToGrid w:val="0"/>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（一）因情况变化，不再符合规定的采购方式适用情形的；</w:t>
      </w:r>
    </w:p>
    <w:p w14:paraId="6136EFB3">
      <w:pPr>
        <w:snapToGrid w:val="0"/>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（二）出现影响采购公正的违法、违规行为的；</w:t>
      </w:r>
    </w:p>
    <w:p w14:paraId="139686FD">
      <w:pPr>
        <w:snapToGrid w:val="0"/>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（三）在采购过程中符合竞采要求的供应商不足3家的。</w:t>
      </w:r>
    </w:p>
    <w:p w14:paraId="0487B826">
      <w:pPr>
        <w:snapToGrid w:val="0"/>
        <w:ind w:firstLine="480" w:firstLineChars="200"/>
        <w:rPr>
          <w:rFonts w:hint="eastAsia" w:ascii="仿宋" w:hAnsi="仿宋" w:eastAsia="仿宋" w:cs="仿宋"/>
          <w:color w:val="auto"/>
          <w:highlight w:val="none"/>
        </w:rPr>
      </w:pPr>
      <w:r>
        <w:rPr>
          <w:rFonts w:hint="eastAsia" w:ascii="仿宋" w:hAnsi="仿宋" w:eastAsia="仿宋" w:cs="仿宋"/>
          <w:color w:val="auto"/>
          <w:sz w:val="24"/>
          <w:szCs w:val="24"/>
          <w:highlight w:val="none"/>
        </w:rPr>
        <w:t>（四）项目出现其他实质性影响，可能导致项目无法正常开展的情形。</w:t>
      </w:r>
    </w:p>
    <w:p w14:paraId="2B437FF5">
      <w:pPr>
        <w:widowControl/>
        <w:ind w:firstLine="723"/>
        <w:jc w:val="left"/>
        <w:rPr>
          <w:rFonts w:hint="eastAsia" w:ascii="仿宋" w:hAnsi="仿宋" w:eastAsia="仿宋" w:cs="仿宋"/>
          <w:b/>
          <w:bCs/>
          <w:color w:val="auto"/>
          <w:kern w:val="0"/>
          <w:sz w:val="36"/>
          <w:szCs w:val="36"/>
          <w:highlight w:val="none"/>
        </w:rPr>
      </w:pPr>
      <w:r>
        <w:rPr>
          <w:rFonts w:hint="eastAsia" w:ascii="仿宋" w:hAnsi="仿宋" w:eastAsia="仿宋" w:cs="仿宋"/>
          <w:b/>
          <w:bCs/>
          <w:color w:val="auto"/>
          <w:sz w:val="36"/>
          <w:szCs w:val="36"/>
          <w:highlight w:val="none"/>
        </w:rPr>
        <w:br w:type="page"/>
      </w:r>
    </w:p>
    <w:p w14:paraId="2C1E4470">
      <w:pPr>
        <w:pStyle w:val="2"/>
        <w:spacing w:line="240" w:lineRule="auto"/>
        <w:ind w:firstLine="883"/>
        <w:jc w:val="center"/>
        <w:rPr>
          <w:rFonts w:hint="eastAsia" w:ascii="仿宋" w:hAnsi="仿宋" w:eastAsia="仿宋" w:cs="仿宋"/>
          <w:color w:val="auto"/>
          <w:highlight w:val="none"/>
        </w:rPr>
      </w:pPr>
      <w:bookmarkStart w:id="107" w:name="_Toc183783149"/>
      <w:r>
        <w:rPr>
          <w:rFonts w:hint="eastAsia" w:ascii="仿宋" w:hAnsi="仿宋" w:eastAsia="仿宋" w:cs="仿宋"/>
          <w:color w:val="auto"/>
          <w:highlight w:val="none"/>
        </w:rPr>
        <w:t xml:space="preserve">第五篇 </w:t>
      </w:r>
      <w:r>
        <w:rPr>
          <w:rFonts w:hint="eastAsia" w:ascii="仿宋" w:hAnsi="仿宋" w:eastAsia="仿宋" w:cs="仿宋"/>
          <w:color w:val="auto"/>
          <w:highlight w:val="none"/>
          <w:lang w:eastAsia="zh-CN"/>
        </w:rPr>
        <w:t>供应商</w:t>
      </w:r>
      <w:r>
        <w:rPr>
          <w:rFonts w:hint="eastAsia" w:ascii="仿宋" w:hAnsi="仿宋" w:eastAsia="仿宋" w:cs="仿宋"/>
          <w:color w:val="auto"/>
          <w:highlight w:val="none"/>
        </w:rPr>
        <w:t>须知</w:t>
      </w:r>
      <w:bookmarkEnd w:id="87"/>
      <w:bookmarkEnd w:id="88"/>
      <w:bookmarkEnd w:id="89"/>
      <w:bookmarkEnd w:id="107"/>
    </w:p>
    <w:p w14:paraId="203451A9">
      <w:pPr>
        <w:pStyle w:val="3"/>
        <w:spacing w:line="240" w:lineRule="auto"/>
        <w:ind w:firstLine="643"/>
        <w:rPr>
          <w:rFonts w:hint="eastAsia" w:ascii="仿宋" w:hAnsi="仿宋" w:eastAsia="仿宋" w:cs="仿宋"/>
          <w:color w:val="auto"/>
          <w:highlight w:val="none"/>
        </w:rPr>
      </w:pPr>
      <w:bookmarkStart w:id="108" w:name="_Toc76462338"/>
      <w:bookmarkStart w:id="109" w:name="_Toc183783150"/>
      <w:bookmarkStart w:id="110" w:name="_Toc342913389"/>
      <w:bookmarkStart w:id="111" w:name="_Toc106030893"/>
      <w:r>
        <w:rPr>
          <w:rFonts w:hint="eastAsia" w:ascii="仿宋" w:hAnsi="仿宋" w:eastAsia="仿宋" w:cs="仿宋"/>
          <w:color w:val="auto"/>
          <w:highlight w:val="none"/>
        </w:rPr>
        <w:t>一、竞采费用</w:t>
      </w:r>
      <w:bookmarkEnd w:id="108"/>
      <w:bookmarkEnd w:id="109"/>
      <w:bookmarkEnd w:id="110"/>
      <w:bookmarkEnd w:id="111"/>
    </w:p>
    <w:p w14:paraId="122D7320">
      <w:pPr>
        <w:pStyle w:val="27"/>
        <w:rPr>
          <w:rFonts w:hint="eastAsia" w:ascii="仿宋" w:hAnsi="仿宋" w:eastAsia="仿宋" w:cs="仿宋"/>
          <w:color w:val="auto"/>
          <w:highlight w:val="none"/>
        </w:rPr>
      </w:pPr>
      <w:r>
        <w:rPr>
          <w:rFonts w:hint="eastAsia" w:ascii="仿宋" w:hAnsi="仿宋" w:eastAsia="仿宋" w:cs="仿宋"/>
          <w:color w:val="auto"/>
          <w:highlight w:val="none"/>
        </w:rPr>
        <w:t>参与竞采的供应商应承担其编制响应文件与递交响应文件所涉及的一切费用，不论竞采结果如何，采购人和采购代理机构在任何情况下无义务也无责任承担这些费用。</w:t>
      </w:r>
    </w:p>
    <w:p w14:paraId="74A644F9">
      <w:pPr>
        <w:pStyle w:val="3"/>
        <w:spacing w:line="240" w:lineRule="auto"/>
        <w:ind w:firstLine="643"/>
        <w:rPr>
          <w:rFonts w:hint="eastAsia" w:ascii="仿宋" w:hAnsi="仿宋" w:eastAsia="仿宋" w:cs="仿宋"/>
          <w:color w:val="auto"/>
          <w:highlight w:val="none"/>
        </w:rPr>
      </w:pPr>
      <w:bookmarkStart w:id="112" w:name="_Toc106030894"/>
      <w:bookmarkStart w:id="113" w:name="_Toc342913391"/>
      <w:bookmarkStart w:id="114" w:name="_Toc183783151"/>
      <w:bookmarkStart w:id="115" w:name="_Toc76462339"/>
      <w:r>
        <w:rPr>
          <w:rFonts w:hint="eastAsia" w:ascii="仿宋" w:hAnsi="仿宋" w:eastAsia="仿宋" w:cs="仿宋"/>
          <w:color w:val="auto"/>
          <w:highlight w:val="none"/>
        </w:rPr>
        <w:t>二、竞采文件</w:t>
      </w:r>
      <w:bookmarkEnd w:id="112"/>
      <w:bookmarkEnd w:id="113"/>
      <w:bookmarkEnd w:id="114"/>
      <w:bookmarkEnd w:id="115"/>
    </w:p>
    <w:p w14:paraId="29B1070F">
      <w:pPr>
        <w:pStyle w:val="27"/>
        <w:rPr>
          <w:rFonts w:hint="eastAsia" w:ascii="仿宋" w:hAnsi="仿宋" w:eastAsia="仿宋" w:cs="仿宋"/>
          <w:color w:val="auto"/>
          <w:highlight w:val="none"/>
        </w:rPr>
      </w:pPr>
      <w:r>
        <w:rPr>
          <w:rFonts w:hint="eastAsia" w:ascii="仿宋" w:hAnsi="仿宋" w:eastAsia="仿宋" w:cs="仿宋"/>
          <w:color w:val="auto"/>
          <w:highlight w:val="none"/>
        </w:rPr>
        <w:t>（一）竞采文件由采购邀请书、项目技术（质量）需求、供应商须知、项目商务需求、竞采程序及评审标准、政府采购合同、响应文件编制要求七部分组成。</w:t>
      </w:r>
    </w:p>
    <w:p w14:paraId="07689502">
      <w:pPr>
        <w:pStyle w:val="27"/>
        <w:rPr>
          <w:rFonts w:hint="eastAsia" w:ascii="仿宋" w:hAnsi="仿宋" w:eastAsia="仿宋" w:cs="仿宋"/>
          <w:color w:val="auto"/>
          <w:highlight w:val="none"/>
        </w:rPr>
      </w:pPr>
      <w:r>
        <w:rPr>
          <w:rFonts w:hint="eastAsia" w:ascii="仿宋" w:hAnsi="仿宋" w:eastAsia="仿宋" w:cs="仿宋"/>
          <w:color w:val="auto"/>
          <w:highlight w:val="none"/>
        </w:rPr>
        <w:t>（二）采购人（或采购代理机构）所作的一切有效的书面通知、修改及补充，都是竞采文件不可分割的部分。</w:t>
      </w:r>
    </w:p>
    <w:p w14:paraId="522916F0">
      <w:pPr>
        <w:pStyle w:val="27"/>
        <w:rPr>
          <w:rFonts w:hint="eastAsia" w:ascii="仿宋" w:hAnsi="仿宋" w:eastAsia="仿宋" w:cs="仿宋"/>
          <w:color w:val="auto"/>
          <w:highlight w:val="none"/>
        </w:rPr>
      </w:pPr>
      <w:r>
        <w:rPr>
          <w:rFonts w:hint="eastAsia" w:ascii="仿宋" w:hAnsi="仿宋" w:eastAsia="仿宋" w:cs="仿宋"/>
          <w:color w:val="auto"/>
          <w:highlight w:val="none"/>
        </w:rPr>
        <w:t>（三）竞采文件的解释</w:t>
      </w:r>
    </w:p>
    <w:p w14:paraId="0D61CB49">
      <w:pPr>
        <w:pStyle w:val="27"/>
        <w:rPr>
          <w:rFonts w:hint="eastAsia" w:ascii="仿宋" w:hAnsi="仿宋" w:eastAsia="仿宋" w:cs="仿宋"/>
          <w:color w:val="auto"/>
          <w:highlight w:val="none"/>
        </w:rPr>
      </w:pPr>
      <w:r>
        <w:rPr>
          <w:rFonts w:hint="eastAsia" w:ascii="仿宋" w:hAnsi="仿宋" w:eastAsia="仿宋" w:cs="仿宋"/>
          <w:color w:val="auto"/>
          <w:highlight w:val="none"/>
        </w:rPr>
        <w:t>供应商如对竞采文件有疑问，必须以书面形式在提交响应文件截止时间2个工作日前向采购人（或采购代理机构）要求澄清，采购人（或采购代理机构）可视具体情况做出处理或答复。如供应商未提出疑问，视为完全理解并同意本竞采文件。一经进入评审程序，即视为供应商已详细阅读全部文件资料，完全理解竞采文件所有条款内容并同意放弃对这方面有不明白及误解的权利。</w:t>
      </w:r>
      <w:bookmarkStart w:id="116" w:name="_Toc318159780"/>
      <w:bookmarkStart w:id="117" w:name="_Toc318159349"/>
      <w:bookmarkStart w:id="118" w:name="_Toc318159160"/>
      <w:bookmarkStart w:id="119" w:name="_Toc318166429"/>
    </w:p>
    <w:p w14:paraId="7BC057AE">
      <w:pPr>
        <w:pStyle w:val="27"/>
        <w:rPr>
          <w:rFonts w:hint="eastAsia" w:ascii="仿宋" w:hAnsi="仿宋" w:eastAsia="仿宋" w:cs="仿宋"/>
          <w:color w:val="auto"/>
          <w:highlight w:val="none"/>
        </w:rPr>
      </w:pPr>
      <w:r>
        <w:rPr>
          <w:rFonts w:hint="eastAsia" w:ascii="仿宋" w:hAnsi="仿宋" w:eastAsia="仿宋" w:cs="仿宋"/>
          <w:color w:val="auto"/>
          <w:highlight w:val="none"/>
        </w:rPr>
        <w:t>（四）评审的依据为竞采文件和响应文件（含有效的书面承诺）。评审小组判断响应文件对竞采文件的响应，仅基于响应文件本身而不靠外部证据。</w:t>
      </w:r>
    </w:p>
    <w:bookmarkEnd w:id="116"/>
    <w:bookmarkEnd w:id="117"/>
    <w:bookmarkEnd w:id="118"/>
    <w:bookmarkEnd w:id="119"/>
    <w:p w14:paraId="1CF095D7">
      <w:pPr>
        <w:pStyle w:val="3"/>
        <w:spacing w:line="240" w:lineRule="auto"/>
        <w:ind w:firstLine="643"/>
        <w:rPr>
          <w:rFonts w:hint="eastAsia" w:ascii="仿宋" w:hAnsi="仿宋" w:eastAsia="仿宋" w:cs="仿宋"/>
          <w:color w:val="auto"/>
          <w:highlight w:val="none"/>
        </w:rPr>
      </w:pPr>
      <w:bookmarkStart w:id="120" w:name="_Toc179714297"/>
      <w:bookmarkStart w:id="121" w:name="_Toc102227318"/>
      <w:bookmarkStart w:id="122" w:name="_Toc183783152"/>
      <w:bookmarkStart w:id="123" w:name="_Toc106030895"/>
      <w:bookmarkStart w:id="124" w:name="_Toc76462340"/>
      <w:bookmarkStart w:id="125" w:name="_Toc342913392"/>
      <w:r>
        <w:rPr>
          <w:rFonts w:hint="eastAsia" w:ascii="仿宋" w:hAnsi="仿宋" w:eastAsia="仿宋" w:cs="仿宋"/>
          <w:color w:val="auto"/>
          <w:highlight w:val="none"/>
        </w:rPr>
        <w:t>三、竞采要求</w:t>
      </w:r>
      <w:bookmarkEnd w:id="120"/>
      <w:bookmarkEnd w:id="121"/>
      <w:bookmarkEnd w:id="122"/>
      <w:bookmarkEnd w:id="123"/>
      <w:bookmarkEnd w:id="124"/>
      <w:bookmarkEnd w:id="125"/>
    </w:p>
    <w:p w14:paraId="54B114AC">
      <w:pPr>
        <w:pStyle w:val="27"/>
        <w:rPr>
          <w:rFonts w:hint="eastAsia" w:ascii="仿宋" w:hAnsi="仿宋" w:eastAsia="仿宋" w:cs="仿宋"/>
          <w:color w:val="auto"/>
          <w:highlight w:val="none"/>
        </w:rPr>
      </w:pPr>
      <w:r>
        <w:rPr>
          <w:rFonts w:hint="eastAsia" w:ascii="仿宋" w:hAnsi="仿宋" w:eastAsia="仿宋" w:cs="仿宋"/>
          <w:color w:val="auto"/>
          <w:highlight w:val="none"/>
        </w:rPr>
        <w:t>（一）响应文件</w:t>
      </w:r>
    </w:p>
    <w:p w14:paraId="2872F3D6">
      <w:pPr>
        <w:pStyle w:val="27"/>
        <w:rPr>
          <w:rFonts w:hint="eastAsia" w:ascii="仿宋" w:hAnsi="仿宋" w:eastAsia="仿宋" w:cs="仿宋"/>
          <w:color w:val="auto"/>
          <w:highlight w:val="none"/>
        </w:rPr>
      </w:pPr>
      <w:r>
        <w:rPr>
          <w:rFonts w:hint="eastAsia" w:ascii="仿宋" w:hAnsi="仿宋" w:eastAsia="仿宋" w:cs="仿宋"/>
          <w:color w:val="auto"/>
          <w:highlight w:val="none"/>
        </w:rPr>
        <w:t>1.供应商应当按照竞采文件的要求编制响应文件，并对竞采文件提出的要求和条件作出实质性响应。</w:t>
      </w:r>
    </w:p>
    <w:p w14:paraId="5D011B0D">
      <w:pPr>
        <w:pStyle w:val="27"/>
        <w:rPr>
          <w:rFonts w:hint="eastAsia" w:ascii="仿宋" w:hAnsi="仿宋" w:eastAsia="仿宋" w:cs="仿宋"/>
          <w:color w:val="auto"/>
          <w:highlight w:val="none"/>
        </w:rPr>
      </w:pPr>
      <w:r>
        <w:rPr>
          <w:rFonts w:hint="eastAsia" w:ascii="仿宋" w:hAnsi="仿宋" w:eastAsia="仿宋" w:cs="仿宋"/>
          <w:color w:val="auto"/>
          <w:highlight w:val="none"/>
        </w:rPr>
        <w:t>2.响应文件组成</w:t>
      </w:r>
    </w:p>
    <w:p w14:paraId="0E77B86A">
      <w:pPr>
        <w:pStyle w:val="27"/>
        <w:rPr>
          <w:rFonts w:hint="eastAsia" w:ascii="仿宋" w:hAnsi="仿宋" w:eastAsia="仿宋" w:cs="仿宋"/>
          <w:color w:val="auto"/>
          <w:highlight w:val="none"/>
        </w:rPr>
      </w:pPr>
      <w:r>
        <w:rPr>
          <w:rFonts w:hint="eastAsia" w:ascii="仿宋" w:hAnsi="仿宋" w:eastAsia="仿宋" w:cs="仿宋"/>
          <w:color w:val="auto"/>
          <w:highlight w:val="none"/>
        </w:rPr>
        <w:t>响应文件由“第七篇响应文件编制要求”规定的部分和供应商所作的一切有效补充、修改和承诺等文件组成，供应商应按照“第七篇响应文件编制要求”规定的目录顺序组织编写和装订，也可在基本格式基础上对表格进行扩展，未规定格式的由供应商自定格式。</w:t>
      </w:r>
    </w:p>
    <w:p w14:paraId="21EA6332">
      <w:pPr>
        <w:pStyle w:val="27"/>
        <w:rPr>
          <w:rFonts w:hint="eastAsia" w:ascii="仿宋" w:hAnsi="仿宋" w:eastAsia="仿宋" w:cs="仿宋"/>
          <w:color w:val="auto"/>
          <w:highlight w:val="none"/>
        </w:rPr>
      </w:pPr>
      <w:r>
        <w:rPr>
          <w:rFonts w:hint="eastAsia" w:ascii="仿宋" w:hAnsi="仿宋" w:eastAsia="仿宋" w:cs="仿宋"/>
          <w:color w:val="auto"/>
          <w:highlight w:val="none"/>
        </w:rPr>
        <w:t>（二）竞采有效期：响应文件及有关承诺文件有效期为提交响应文件截止时间起90天。</w:t>
      </w:r>
    </w:p>
    <w:p w14:paraId="37EC40D8">
      <w:pPr>
        <w:pStyle w:val="27"/>
        <w:rPr>
          <w:rFonts w:hint="eastAsia" w:ascii="仿宋" w:hAnsi="仿宋" w:eastAsia="仿宋" w:cs="仿宋"/>
          <w:color w:val="auto"/>
          <w:highlight w:val="none"/>
        </w:rPr>
      </w:pPr>
      <w:r>
        <w:rPr>
          <w:rFonts w:hint="eastAsia" w:ascii="仿宋" w:hAnsi="仿宋" w:eastAsia="仿宋" w:cs="仿宋"/>
          <w:color w:val="auto"/>
          <w:highlight w:val="none"/>
        </w:rPr>
        <w:t>（三）修正错误</w:t>
      </w:r>
    </w:p>
    <w:p w14:paraId="7D806379">
      <w:pPr>
        <w:pStyle w:val="27"/>
        <w:rPr>
          <w:rFonts w:hint="eastAsia" w:ascii="仿宋" w:hAnsi="仿宋" w:eastAsia="仿宋" w:cs="仿宋"/>
          <w:color w:val="auto"/>
          <w:highlight w:val="none"/>
        </w:rPr>
      </w:pPr>
      <w:r>
        <w:rPr>
          <w:rFonts w:hint="eastAsia" w:ascii="仿宋" w:hAnsi="仿宋" w:eastAsia="仿宋" w:cs="仿宋"/>
          <w:color w:val="auto"/>
          <w:highlight w:val="none"/>
        </w:rPr>
        <w:t>1.若供应商所递交的响应文件或最后报价中的价格出现大写金额和小写金额不一致的错误，以</w:t>
      </w:r>
      <w:r>
        <w:rPr>
          <w:rFonts w:hint="eastAsia" w:ascii="仿宋" w:hAnsi="仿宋" w:eastAsia="仿宋" w:cs="仿宋"/>
          <w:b/>
          <w:bCs/>
          <w:color w:val="auto"/>
          <w:highlight w:val="none"/>
          <w:u w:val="single"/>
        </w:rPr>
        <w:t>大写金额修正为准</w:t>
      </w:r>
      <w:r>
        <w:rPr>
          <w:rFonts w:hint="eastAsia" w:ascii="仿宋" w:hAnsi="仿宋" w:eastAsia="仿宋" w:cs="仿宋"/>
          <w:color w:val="auto"/>
          <w:highlight w:val="none"/>
        </w:rPr>
        <w:t>。</w:t>
      </w:r>
    </w:p>
    <w:p w14:paraId="41752453">
      <w:pPr>
        <w:pStyle w:val="27"/>
        <w:rPr>
          <w:rFonts w:hint="eastAsia" w:ascii="仿宋" w:hAnsi="仿宋" w:eastAsia="仿宋" w:cs="仿宋"/>
          <w:color w:val="auto"/>
          <w:highlight w:val="none"/>
        </w:rPr>
      </w:pPr>
      <w:r>
        <w:rPr>
          <w:rFonts w:hint="eastAsia" w:ascii="仿宋" w:hAnsi="仿宋" w:eastAsia="仿宋" w:cs="仿宋"/>
          <w:color w:val="auto"/>
          <w:highlight w:val="none"/>
        </w:rPr>
        <w:t>2.竞采小组按上述修正错误的原则及方法修正供应商的报价，供应商同意并签字确认后，修正后的报价对供应商具有约束作用。如果供应商不接受修正后的价格，将失去成为成交供应商的资格。</w:t>
      </w:r>
    </w:p>
    <w:p w14:paraId="45FF584C">
      <w:pPr>
        <w:pStyle w:val="27"/>
        <w:rPr>
          <w:rFonts w:hint="eastAsia" w:ascii="仿宋" w:hAnsi="仿宋" w:eastAsia="仿宋" w:cs="仿宋"/>
          <w:color w:val="auto"/>
          <w:highlight w:val="none"/>
        </w:rPr>
      </w:pPr>
      <w:r>
        <w:rPr>
          <w:rFonts w:hint="eastAsia" w:ascii="仿宋" w:hAnsi="仿宋" w:eastAsia="仿宋" w:cs="仿宋"/>
          <w:color w:val="auto"/>
          <w:highlight w:val="none"/>
        </w:rPr>
        <w:t>（四）提交响应文件的份数和签署</w:t>
      </w:r>
    </w:p>
    <w:p w14:paraId="6FEB34C5">
      <w:pPr>
        <w:pStyle w:val="27"/>
        <w:rPr>
          <w:rFonts w:hint="eastAsia" w:ascii="仿宋" w:hAnsi="仿宋" w:eastAsia="仿宋" w:cs="仿宋"/>
          <w:color w:val="auto"/>
          <w:highlight w:val="none"/>
        </w:rPr>
      </w:pPr>
      <w:r>
        <w:rPr>
          <w:rFonts w:hint="eastAsia" w:ascii="仿宋" w:hAnsi="仿宋" w:eastAsia="仿宋" w:cs="仿宋"/>
          <w:color w:val="auto"/>
          <w:highlight w:val="none"/>
        </w:rPr>
        <w:t>1.响应文件电子文档一份。</w:t>
      </w:r>
    </w:p>
    <w:p w14:paraId="2D546F9D">
      <w:pPr>
        <w:pStyle w:val="27"/>
        <w:rPr>
          <w:rFonts w:hint="eastAsia" w:ascii="仿宋" w:hAnsi="仿宋" w:eastAsia="仿宋" w:cs="仿宋"/>
          <w:color w:val="auto"/>
          <w:highlight w:val="none"/>
        </w:rPr>
      </w:pPr>
      <w:r>
        <w:rPr>
          <w:rFonts w:hint="eastAsia" w:ascii="仿宋" w:hAnsi="仿宋" w:eastAsia="仿宋" w:cs="仿宋"/>
          <w:color w:val="auto"/>
          <w:highlight w:val="none"/>
        </w:rPr>
        <w:t>2.响应文件按竞采文件“第七篇响应文件编制要求”要求签署或盖章。</w:t>
      </w:r>
    </w:p>
    <w:p w14:paraId="1B4AB23A">
      <w:pPr>
        <w:pStyle w:val="27"/>
        <w:rPr>
          <w:rFonts w:hint="eastAsia" w:ascii="仿宋" w:hAnsi="仿宋" w:eastAsia="仿宋" w:cs="仿宋"/>
          <w:color w:val="auto"/>
          <w:highlight w:val="none"/>
        </w:rPr>
      </w:pPr>
      <w:r>
        <w:rPr>
          <w:rFonts w:hint="eastAsia" w:ascii="仿宋" w:hAnsi="仿宋" w:eastAsia="仿宋" w:cs="仿宋"/>
          <w:color w:val="auto"/>
          <w:highlight w:val="none"/>
        </w:rPr>
        <w:t>（五）响应文件的递交</w:t>
      </w:r>
    </w:p>
    <w:p w14:paraId="1BA42CE5">
      <w:pPr>
        <w:pStyle w:val="27"/>
        <w:rPr>
          <w:rFonts w:hint="eastAsia" w:ascii="仿宋" w:hAnsi="仿宋" w:eastAsia="仿宋" w:cs="仿宋"/>
          <w:color w:val="auto"/>
          <w:highlight w:val="none"/>
        </w:rPr>
      </w:pPr>
      <w:r>
        <w:rPr>
          <w:rFonts w:hint="eastAsia" w:ascii="仿宋" w:hAnsi="仿宋" w:eastAsia="仿宋" w:cs="仿宋"/>
          <w:color w:val="auto"/>
          <w:highlight w:val="none"/>
        </w:rPr>
        <w:t>响应文件的电子文档应在有效报名时间段内，通过竞采系统在线提交。</w:t>
      </w:r>
    </w:p>
    <w:p w14:paraId="045B0E29">
      <w:pPr>
        <w:pStyle w:val="27"/>
        <w:rPr>
          <w:rFonts w:hint="eastAsia" w:ascii="仿宋" w:hAnsi="仿宋" w:eastAsia="仿宋" w:cs="仿宋"/>
          <w:color w:val="auto"/>
          <w:highlight w:val="none"/>
        </w:rPr>
      </w:pPr>
      <w:r>
        <w:rPr>
          <w:rFonts w:hint="eastAsia" w:ascii="仿宋" w:hAnsi="仿宋" w:eastAsia="仿宋" w:cs="仿宋"/>
          <w:color w:val="auto"/>
          <w:highlight w:val="none"/>
        </w:rPr>
        <w:t>（竞采项目实行在线报名、在线评审，非必需，原则上供应商不参与线下评审环节。）</w:t>
      </w:r>
    </w:p>
    <w:p w14:paraId="343ADA84">
      <w:pPr>
        <w:pStyle w:val="27"/>
        <w:rPr>
          <w:rFonts w:hint="eastAsia" w:ascii="仿宋" w:hAnsi="仿宋" w:eastAsia="仿宋" w:cs="仿宋"/>
          <w:color w:val="auto"/>
          <w:highlight w:val="none"/>
        </w:rPr>
      </w:pPr>
      <w:bookmarkStart w:id="126" w:name="_Toc76462341"/>
      <w:bookmarkStart w:id="127" w:name="_Toc106030896"/>
      <w:r>
        <w:rPr>
          <w:rFonts w:hint="eastAsia" w:ascii="仿宋" w:hAnsi="仿宋" w:eastAsia="仿宋" w:cs="仿宋"/>
          <w:color w:val="auto"/>
          <w:highlight w:val="none"/>
        </w:rPr>
        <w:t>四、成交供应商的确认和变更</w:t>
      </w:r>
      <w:bookmarkEnd w:id="126"/>
      <w:bookmarkEnd w:id="127"/>
    </w:p>
    <w:p w14:paraId="50DDC674">
      <w:pPr>
        <w:pStyle w:val="27"/>
        <w:rPr>
          <w:rFonts w:hint="eastAsia" w:ascii="仿宋" w:hAnsi="仿宋" w:eastAsia="仿宋" w:cs="仿宋"/>
          <w:color w:val="auto"/>
          <w:highlight w:val="none"/>
        </w:rPr>
      </w:pPr>
      <w:r>
        <w:rPr>
          <w:rFonts w:hint="eastAsia" w:ascii="仿宋" w:hAnsi="仿宋" w:eastAsia="仿宋" w:cs="仿宋"/>
          <w:color w:val="auto"/>
          <w:highlight w:val="none"/>
        </w:rPr>
        <w:t>（一）成交供应商的确认</w:t>
      </w:r>
    </w:p>
    <w:p w14:paraId="67133B70">
      <w:pPr>
        <w:pStyle w:val="27"/>
        <w:rPr>
          <w:rFonts w:hint="eastAsia" w:ascii="仿宋" w:hAnsi="仿宋" w:eastAsia="仿宋" w:cs="仿宋"/>
          <w:color w:val="auto"/>
          <w:highlight w:val="none"/>
        </w:rPr>
      </w:pPr>
      <w:r>
        <w:rPr>
          <w:rFonts w:hint="eastAsia" w:ascii="仿宋" w:hAnsi="仿宋" w:eastAsia="仿宋" w:cs="仿宋"/>
          <w:color w:val="auto"/>
          <w:highlight w:val="none"/>
        </w:rPr>
        <w:t>采购人应当在5个工作日内，从评审报告提出的成交候选供应商中，按照排序由高到低的原则确定成交供应商，也可以授权竞采小组直接确定成交供应商。</w:t>
      </w:r>
    </w:p>
    <w:p w14:paraId="67DC15B8">
      <w:pPr>
        <w:pStyle w:val="27"/>
        <w:rPr>
          <w:rFonts w:hint="eastAsia" w:ascii="仿宋" w:hAnsi="仿宋" w:eastAsia="仿宋" w:cs="仿宋"/>
          <w:color w:val="auto"/>
          <w:highlight w:val="none"/>
        </w:rPr>
      </w:pPr>
      <w:r>
        <w:rPr>
          <w:rFonts w:hint="eastAsia" w:ascii="仿宋" w:hAnsi="仿宋" w:eastAsia="仿宋" w:cs="仿宋"/>
          <w:color w:val="auto"/>
          <w:highlight w:val="none"/>
        </w:rPr>
        <w:t>（二）成交供应商的变更</w:t>
      </w:r>
    </w:p>
    <w:p w14:paraId="013A327A">
      <w:pPr>
        <w:pStyle w:val="27"/>
        <w:rPr>
          <w:rFonts w:hint="eastAsia" w:ascii="仿宋" w:hAnsi="仿宋" w:eastAsia="仿宋" w:cs="仿宋"/>
          <w:color w:val="auto"/>
          <w:highlight w:val="none"/>
        </w:rPr>
      </w:pPr>
      <w:r>
        <w:rPr>
          <w:rFonts w:hint="eastAsia" w:ascii="仿宋" w:hAnsi="仿宋" w:eastAsia="仿宋" w:cs="仿宋"/>
          <w:color w:val="auto"/>
          <w:highlight w:val="none"/>
        </w:rPr>
        <w:t>成交供应商拒绝与采购人签订合同的，采购人可以按照评标报告推荐的成交候选供应商顺序，确定排名下一位的候选人为成交供应商，也可以重新开展竞采活动。</w:t>
      </w:r>
    </w:p>
    <w:p w14:paraId="30AF24C0">
      <w:pPr>
        <w:pStyle w:val="3"/>
        <w:spacing w:line="240" w:lineRule="auto"/>
        <w:ind w:firstLine="643"/>
        <w:rPr>
          <w:rFonts w:hint="eastAsia" w:ascii="仿宋" w:hAnsi="仿宋" w:eastAsia="仿宋" w:cs="仿宋"/>
          <w:color w:val="auto"/>
          <w:highlight w:val="none"/>
        </w:rPr>
      </w:pPr>
      <w:bookmarkStart w:id="128" w:name="_Toc183783153"/>
      <w:bookmarkStart w:id="129" w:name="_Toc342913395"/>
      <w:bookmarkStart w:id="130" w:name="_Toc106030897"/>
      <w:bookmarkStart w:id="131" w:name="_Toc102227321"/>
      <w:bookmarkStart w:id="132" w:name="_Toc76462342"/>
      <w:r>
        <w:rPr>
          <w:rFonts w:hint="eastAsia" w:ascii="仿宋" w:hAnsi="仿宋" w:eastAsia="仿宋" w:cs="仿宋"/>
          <w:color w:val="auto"/>
          <w:highlight w:val="none"/>
        </w:rPr>
        <w:t>五、成交通知</w:t>
      </w:r>
      <w:bookmarkEnd w:id="128"/>
      <w:bookmarkEnd w:id="129"/>
      <w:bookmarkEnd w:id="130"/>
      <w:bookmarkEnd w:id="131"/>
      <w:bookmarkEnd w:id="132"/>
    </w:p>
    <w:p w14:paraId="4A219698">
      <w:pPr>
        <w:pStyle w:val="27"/>
        <w:rPr>
          <w:rFonts w:hint="eastAsia" w:ascii="仿宋" w:hAnsi="仿宋" w:eastAsia="仿宋" w:cs="仿宋"/>
          <w:color w:val="auto"/>
          <w:highlight w:val="none"/>
        </w:rPr>
      </w:pPr>
      <w:r>
        <w:rPr>
          <w:rFonts w:hint="eastAsia" w:ascii="仿宋" w:hAnsi="仿宋" w:eastAsia="仿宋" w:cs="仿宋"/>
          <w:color w:val="auto"/>
          <w:highlight w:val="none"/>
        </w:rPr>
        <w:t>（一）成交供应商确定后，采购人/代理机构将在</w:t>
      </w:r>
      <w:r>
        <w:rPr>
          <w:rFonts w:hint="eastAsia" w:ascii="仿宋" w:hAnsi="仿宋" w:eastAsia="仿宋" w:cs="仿宋"/>
          <w:color w:val="auto"/>
          <w:szCs w:val="24"/>
          <w:highlight w:val="none"/>
        </w:rPr>
        <w:t>（https://www.gec123.com/）行采家</w:t>
      </w:r>
      <w:r>
        <w:rPr>
          <w:rFonts w:hint="eastAsia" w:ascii="仿宋" w:hAnsi="仿宋" w:eastAsia="仿宋" w:cs="仿宋"/>
          <w:color w:val="auto"/>
          <w:highlight w:val="none"/>
        </w:rPr>
        <w:t>上发布成交结果公告。</w:t>
      </w:r>
    </w:p>
    <w:p w14:paraId="059B1715">
      <w:pPr>
        <w:pStyle w:val="27"/>
        <w:rPr>
          <w:rFonts w:hint="eastAsia" w:ascii="仿宋" w:hAnsi="仿宋" w:eastAsia="仿宋" w:cs="仿宋"/>
          <w:color w:val="auto"/>
          <w:highlight w:val="none"/>
        </w:rPr>
      </w:pPr>
      <w:r>
        <w:rPr>
          <w:rFonts w:hint="eastAsia" w:ascii="仿宋" w:hAnsi="仿宋" w:eastAsia="仿宋" w:cs="仿宋"/>
          <w:color w:val="auto"/>
          <w:highlight w:val="none"/>
        </w:rPr>
        <w:t>（二）结果公告发出同时，采购人/代理机构将以书面形式发出《成交通知书》。《成交通知书》一经发出即发生法律效力。</w:t>
      </w:r>
    </w:p>
    <w:p w14:paraId="29D131EF">
      <w:pPr>
        <w:pStyle w:val="27"/>
        <w:rPr>
          <w:rFonts w:hint="eastAsia" w:ascii="仿宋" w:hAnsi="仿宋" w:eastAsia="仿宋" w:cs="仿宋"/>
          <w:color w:val="auto"/>
          <w:highlight w:val="none"/>
        </w:rPr>
      </w:pPr>
      <w:r>
        <w:rPr>
          <w:rFonts w:hint="eastAsia" w:ascii="仿宋" w:hAnsi="仿宋" w:eastAsia="仿宋" w:cs="仿宋"/>
          <w:color w:val="auto"/>
          <w:highlight w:val="none"/>
        </w:rPr>
        <w:t>（三）《成交通知书》作为签订合同的依据。</w:t>
      </w:r>
    </w:p>
    <w:p w14:paraId="5975653B">
      <w:pPr>
        <w:pStyle w:val="3"/>
        <w:spacing w:line="240" w:lineRule="auto"/>
        <w:ind w:firstLine="643"/>
        <w:rPr>
          <w:rFonts w:hint="eastAsia" w:ascii="仿宋" w:hAnsi="仿宋" w:eastAsia="仿宋" w:cs="仿宋"/>
          <w:color w:val="auto"/>
          <w:highlight w:val="none"/>
        </w:rPr>
      </w:pPr>
      <w:bookmarkStart w:id="133" w:name="_Toc183783154"/>
      <w:bookmarkStart w:id="134" w:name="_Toc106030898"/>
      <w:bookmarkStart w:id="135" w:name="_Toc76462343"/>
      <w:r>
        <w:rPr>
          <w:rFonts w:hint="eastAsia" w:ascii="仿宋" w:hAnsi="仿宋" w:eastAsia="仿宋" w:cs="仿宋"/>
          <w:color w:val="auto"/>
          <w:highlight w:val="none"/>
        </w:rPr>
        <w:t>六、关于质疑和投诉</w:t>
      </w:r>
      <w:bookmarkEnd w:id="133"/>
      <w:bookmarkEnd w:id="134"/>
      <w:bookmarkEnd w:id="135"/>
    </w:p>
    <w:p w14:paraId="07B9663F">
      <w:pPr>
        <w:pStyle w:val="27"/>
        <w:rPr>
          <w:rFonts w:hint="eastAsia" w:ascii="仿宋" w:hAnsi="仿宋" w:eastAsia="仿宋" w:cs="仿宋"/>
          <w:color w:val="auto"/>
          <w:highlight w:val="none"/>
        </w:rPr>
      </w:pPr>
      <w:r>
        <w:rPr>
          <w:rFonts w:hint="eastAsia" w:ascii="仿宋" w:hAnsi="仿宋" w:eastAsia="仿宋" w:cs="仿宋"/>
          <w:color w:val="auto"/>
          <w:highlight w:val="none"/>
        </w:rPr>
        <w:t>（一）质疑</w:t>
      </w:r>
    </w:p>
    <w:p w14:paraId="6E94423F">
      <w:pPr>
        <w:pStyle w:val="27"/>
        <w:rPr>
          <w:rFonts w:hint="eastAsia" w:ascii="仿宋" w:hAnsi="仿宋" w:eastAsia="仿宋" w:cs="仿宋"/>
          <w:color w:val="auto"/>
          <w:highlight w:val="none"/>
        </w:rPr>
      </w:pPr>
      <w:r>
        <w:rPr>
          <w:rFonts w:hint="eastAsia" w:ascii="仿宋" w:hAnsi="仿宋" w:eastAsia="仿宋" w:cs="仿宋"/>
          <w:color w:val="auto"/>
          <w:highlight w:val="none"/>
        </w:rPr>
        <w:t>供应商认为采购文件、采购过程和成交结果使自己的权益收到伤害的，可向采购人或采购代理机构以书面形式提出质疑。</w:t>
      </w:r>
    </w:p>
    <w:p w14:paraId="48BE500A">
      <w:pPr>
        <w:pStyle w:val="27"/>
        <w:rPr>
          <w:rFonts w:hint="eastAsia" w:ascii="仿宋" w:hAnsi="仿宋" w:eastAsia="仿宋" w:cs="仿宋"/>
          <w:color w:val="auto"/>
          <w:highlight w:val="none"/>
        </w:rPr>
      </w:pPr>
      <w:r>
        <w:rPr>
          <w:rFonts w:hint="eastAsia" w:ascii="仿宋" w:hAnsi="仿宋" w:eastAsia="仿宋" w:cs="仿宋"/>
          <w:color w:val="auto"/>
          <w:highlight w:val="none"/>
        </w:rPr>
        <w:t xml:space="preserve">提出质疑的应当是参与所质疑项目采购活动的供应商。 </w:t>
      </w:r>
    </w:p>
    <w:p w14:paraId="481171DD">
      <w:pPr>
        <w:pStyle w:val="27"/>
        <w:rPr>
          <w:rFonts w:hint="eastAsia" w:ascii="仿宋" w:hAnsi="仿宋" w:eastAsia="仿宋" w:cs="仿宋"/>
          <w:color w:val="auto"/>
          <w:highlight w:val="none"/>
        </w:rPr>
      </w:pPr>
      <w:r>
        <w:rPr>
          <w:rFonts w:hint="eastAsia" w:ascii="仿宋" w:hAnsi="仿宋" w:eastAsia="仿宋" w:cs="仿宋"/>
          <w:color w:val="auto"/>
          <w:highlight w:val="none"/>
        </w:rPr>
        <w:t>1.质疑时限、内容</w:t>
      </w:r>
    </w:p>
    <w:p w14:paraId="604A0A25">
      <w:pPr>
        <w:pStyle w:val="27"/>
        <w:rPr>
          <w:rFonts w:hint="eastAsia" w:ascii="仿宋" w:hAnsi="仿宋" w:eastAsia="仿宋" w:cs="仿宋"/>
          <w:color w:val="auto"/>
          <w:highlight w:val="none"/>
        </w:rPr>
      </w:pPr>
      <w:r>
        <w:rPr>
          <w:rFonts w:hint="eastAsia" w:ascii="仿宋" w:hAnsi="仿宋" w:eastAsia="仿宋" w:cs="仿宋"/>
          <w:color w:val="auto"/>
          <w:highlight w:val="none"/>
        </w:rPr>
        <w:t>供应商认为采购文件、采购过程、成交结果使自己的权益受到损害的，可以在知道或者应知其权益受到损害之日起2个工作日内，以书面形式向采购人、采购代理机构提出质疑。</w:t>
      </w:r>
    </w:p>
    <w:p w14:paraId="137405A3">
      <w:pPr>
        <w:pStyle w:val="27"/>
        <w:rPr>
          <w:rFonts w:hint="eastAsia" w:ascii="仿宋" w:hAnsi="仿宋" w:eastAsia="仿宋" w:cs="仿宋"/>
          <w:color w:val="auto"/>
          <w:highlight w:val="none"/>
        </w:rPr>
      </w:pPr>
      <w:r>
        <w:rPr>
          <w:rFonts w:hint="eastAsia" w:ascii="仿宋" w:hAnsi="仿宋" w:eastAsia="仿宋" w:cs="仿宋"/>
          <w:color w:val="auto"/>
          <w:highlight w:val="none"/>
        </w:rPr>
        <w:t>1.2供应商提出质疑应当提交质疑函和必要的证明材料，质疑函应当包括下列内容：</w:t>
      </w:r>
    </w:p>
    <w:p w14:paraId="6508E9AC">
      <w:pPr>
        <w:pStyle w:val="27"/>
        <w:rPr>
          <w:rFonts w:hint="eastAsia" w:ascii="仿宋" w:hAnsi="仿宋" w:eastAsia="仿宋" w:cs="仿宋"/>
          <w:color w:val="auto"/>
          <w:highlight w:val="none"/>
        </w:rPr>
      </w:pPr>
      <w:r>
        <w:rPr>
          <w:rFonts w:hint="eastAsia" w:ascii="仿宋" w:hAnsi="仿宋" w:eastAsia="仿宋" w:cs="仿宋"/>
          <w:color w:val="auto"/>
          <w:highlight w:val="none"/>
        </w:rPr>
        <w:t>1.2.1供应商的名称、地址、联系人及联系电话；</w:t>
      </w:r>
    </w:p>
    <w:p w14:paraId="21F952D0">
      <w:pPr>
        <w:pStyle w:val="27"/>
        <w:rPr>
          <w:rFonts w:hint="eastAsia" w:ascii="仿宋" w:hAnsi="仿宋" w:eastAsia="仿宋" w:cs="仿宋"/>
          <w:color w:val="auto"/>
          <w:highlight w:val="none"/>
        </w:rPr>
      </w:pPr>
      <w:r>
        <w:rPr>
          <w:rFonts w:hint="eastAsia" w:ascii="仿宋" w:hAnsi="仿宋" w:eastAsia="仿宋" w:cs="仿宋"/>
          <w:color w:val="auto"/>
          <w:highlight w:val="none"/>
        </w:rPr>
        <w:t>1.2.2质疑项目的名称、采购编号；</w:t>
      </w:r>
    </w:p>
    <w:p w14:paraId="74EABB8B">
      <w:pPr>
        <w:pStyle w:val="27"/>
        <w:rPr>
          <w:rFonts w:hint="eastAsia" w:ascii="仿宋" w:hAnsi="仿宋" w:eastAsia="仿宋" w:cs="仿宋"/>
          <w:color w:val="auto"/>
          <w:highlight w:val="none"/>
        </w:rPr>
      </w:pPr>
      <w:r>
        <w:rPr>
          <w:rFonts w:hint="eastAsia" w:ascii="仿宋" w:hAnsi="仿宋" w:eastAsia="仿宋" w:cs="仿宋"/>
          <w:color w:val="auto"/>
          <w:highlight w:val="none"/>
        </w:rPr>
        <w:t>1.2.3具体、明确的质疑事项和与质疑事项相关的请求；</w:t>
      </w:r>
    </w:p>
    <w:p w14:paraId="6C29B65C">
      <w:pPr>
        <w:pStyle w:val="27"/>
        <w:rPr>
          <w:rFonts w:hint="eastAsia" w:ascii="仿宋" w:hAnsi="仿宋" w:eastAsia="仿宋" w:cs="仿宋"/>
          <w:color w:val="auto"/>
          <w:highlight w:val="none"/>
        </w:rPr>
      </w:pPr>
      <w:r>
        <w:rPr>
          <w:rFonts w:hint="eastAsia" w:ascii="仿宋" w:hAnsi="仿宋" w:eastAsia="仿宋" w:cs="仿宋"/>
          <w:color w:val="auto"/>
          <w:highlight w:val="none"/>
        </w:rPr>
        <w:t>1.2.4事实依据；</w:t>
      </w:r>
    </w:p>
    <w:p w14:paraId="1745D2CC">
      <w:pPr>
        <w:pStyle w:val="27"/>
        <w:rPr>
          <w:rFonts w:hint="eastAsia" w:ascii="仿宋" w:hAnsi="仿宋" w:eastAsia="仿宋" w:cs="仿宋"/>
          <w:color w:val="auto"/>
          <w:highlight w:val="none"/>
        </w:rPr>
      </w:pPr>
      <w:r>
        <w:rPr>
          <w:rFonts w:hint="eastAsia" w:ascii="仿宋" w:hAnsi="仿宋" w:eastAsia="仿宋" w:cs="仿宋"/>
          <w:color w:val="auto"/>
          <w:highlight w:val="none"/>
        </w:rPr>
        <w:t>1.2.5必要的法律依据；</w:t>
      </w:r>
    </w:p>
    <w:p w14:paraId="6CB49AD2">
      <w:pPr>
        <w:pStyle w:val="27"/>
        <w:rPr>
          <w:rFonts w:hint="eastAsia" w:ascii="仿宋" w:hAnsi="仿宋" w:eastAsia="仿宋" w:cs="仿宋"/>
          <w:color w:val="auto"/>
          <w:highlight w:val="none"/>
        </w:rPr>
      </w:pPr>
      <w:r>
        <w:rPr>
          <w:rFonts w:hint="eastAsia" w:ascii="仿宋" w:hAnsi="仿宋" w:eastAsia="仿宋" w:cs="仿宋"/>
          <w:color w:val="auto"/>
          <w:highlight w:val="none"/>
        </w:rPr>
        <w:t>1.2.6提出质疑的日期；</w:t>
      </w:r>
    </w:p>
    <w:p w14:paraId="67A46BC3">
      <w:pPr>
        <w:pStyle w:val="27"/>
        <w:rPr>
          <w:rFonts w:hint="eastAsia" w:ascii="仿宋" w:hAnsi="仿宋" w:eastAsia="仿宋" w:cs="仿宋"/>
          <w:color w:val="auto"/>
          <w:highlight w:val="none"/>
        </w:rPr>
      </w:pPr>
      <w:r>
        <w:rPr>
          <w:rFonts w:hint="eastAsia" w:ascii="仿宋" w:hAnsi="仿宋" w:eastAsia="仿宋" w:cs="仿宋"/>
          <w:color w:val="auto"/>
          <w:highlight w:val="none"/>
        </w:rPr>
        <w:t>1.2.7营业执照（或事业单位法人证书，或个体工商户营业执照或有效的自然人身份证明）复印件；</w:t>
      </w:r>
    </w:p>
    <w:p w14:paraId="29C71340">
      <w:pPr>
        <w:pStyle w:val="27"/>
        <w:rPr>
          <w:rFonts w:hint="eastAsia" w:ascii="仿宋" w:hAnsi="仿宋" w:eastAsia="仿宋" w:cs="仿宋"/>
          <w:color w:val="auto"/>
          <w:highlight w:val="none"/>
        </w:rPr>
      </w:pPr>
      <w:r>
        <w:rPr>
          <w:rFonts w:hint="eastAsia" w:ascii="仿宋" w:hAnsi="仿宋" w:eastAsia="仿宋" w:cs="仿宋"/>
          <w:color w:val="auto"/>
          <w:highlight w:val="none"/>
        </w:rPr>
        <w:t>1.2.8法定代表人授权委托书原件、法定代表人身份证复印件和其授权代表的身份证复印件（供应商为自然人的提供自然人身份证复印件）；</w:t>
      </w:r>
    </w:p>
    <w:p w14:paraId="553A37F2">
      <w:pPr>
        <w:pStyle w:val="27"/>
        <w:rPr>
          <w:rFonts w:hint="eastAsia" w:ascii="仿宋" w:hAnsi="仿宋" w:eastAsia="仿宋" w:cs="仿宋"/>
          <w:color w:val="auto"/>
          <w:highlight w:val="none"/>
        </w:rPr>
      </w:pPr>
      <w:r>
        <w:rPr>
          <w:rFonts w:hint="eastAsia" w:ascii="仿宋" w:hAnsi="仿宋" w:eastAsia="仿宋" w:cs="仿宋"/>
          <w:color w:val="auto"/>
          <w:highlight w:val="none"/>
        </w:rPr>
        <w:t>1.3供应商为自然人的，质疑函应当由本人签字；供应商为法人或者其他组织的，质疑函应当由法定代表人、主要负责人，或者其授权代表签字或者盖章，并加盖公章。</w:t>
      </w:r>
    </w:p>
    <w:p w14:paraId="35811382">
      <w:pPr>
        <w:pStyle w:val="27"/>
        <w:rPr>
          <w:rFonts w:hint="eastAsia" w:ascii="仿宋" w:hAnsi="仿宋" w:eastAsia="仿宋" w:cs="仿宋"/>
          <w:color w:val="auto"/>
          <w:highlight w:val="none"/>
        </w:rPr>
      </w:pPr>
      <w:r>
        <w:rPr>
          <w:rFonts w:hint="eastAsia" w:ascii="仿宋" w:hAnsi="仿宋" w:eastAsia="仿宋" w:cs="仿宋"/>
          <w:color w:val="auto"/>
          <w:highlight w:val="none"/>
        </w:rPr>
        <w:t>2.质疑答复</w:t>
      </w:r>
    </w:p>
    <w:p w14:paraId="33D63ED7">
      <w:pPr>
        <w:pStyle w:val="27"/>
        <w:rPr>
          <w:rFonts w:hint="eastAsia" w:ascii="仿宋" w:hAnsi="仿宋" w:eastAsia="仿宋" w:cs="仿宋"/>
          <w:color w:val="auto"/>
          <w:highlight w:val="none"/>
        </w:rPr>
      </w:pPr>
      <w:r>
        <w:rPr>
          <w:rFonts w:hint="eastAsia" w:ascii="仿宋" w:hAnsi="仿宋" w:eastAsia="仿宋" w:cs="仿宋"/>
          <w:color w:val="auto"/>
          <w:highlight w:val="none"/>
        </w:rPr>
        <w:t>采购人、采购代理机构应当在收到供应商的书面质疑后2个工作日内作出答复，并以书面形式通知质疑供应商和其他有关供应商。</w:t>
      </w:r>
    </w:p>
    <w:p w14:paraId="3D358510">
      <w:pPr>
        <w:pStyle w:val="27"/>
        <w:rPr>
          <w:rFonts w:hint="eastAsia" w:ascii="仿宋" w:hAnsi="仿宋" w:eastAsia="仿宋" w:cs="仿宋"/>
          <w:color w:val="auto"/>
          <w:highlight w:val="none"/>
        </w:rPr>
      </w:pPr>
      <w:r>
        <w:rPr>
          <w:rFonts w:hint="eastAsia" w:ascii="仿宋" w:hAnsi="仿宋" w:eastAsia="仿宋" w:cs="仿宋"/>
          <w:color w:val="auto"/>
          <w:highlight w:val="none"/>
        </w:rPr>
        <w:t>3.其他</w:t>
      </w:r>
    </w:p>
    <w:p w14:paraId="493E912D">
      <w:pPr>
        <w:pStyle w:val="27"/>
        <w:rPr>
          <w:rFonts w:hint="eastAsia" w:ascii="仿宋" w:hAnsi="仿宋" w:eastAsia="仿宋" w:cs="仿宋"/>
          <w:color w:val="auto"/>
          <w:highlight w:val="none"/>
        </w:rPr>
      </w:pPr>
      <w:r>
        <w:rPr>
          <w:rFonts w:hint="eastAsia" w:ascii="仿宋" w:hAnsi="仿宋" w:eastAsia="仿宋" w:cs="仿宋"/>
          <w:color w:val="auto"/>
          <w:highlight w:val="none"/>
        </w:rPr>
        <w:t>（如有）</w:t>
      </w:r>
    </w:p>
    <w:p w14:paraId="00544770">
      <w:pPr>
        <w:pStyle w:val="27"/>
        <w:rPr>
          <w:rFonts w:hint="eastAsia" w:ascii="仿宋" w:hAnsi="仿宋" w:eastAsia="仿宋" w:cs="仿宋"/>
          <w:color w:val="auto"/>
          <w:highlight w:val="none"/>
        </w:rPr>
      </w:pPr>
      <w:r>
        <w:rPr>
          <w:rFonts w:hint="eastAsia" w:ascii="仿宋" w:hAnsi="仿宋" w:eastAsia="仿宋" w:cs="仿宋"/>
          <w:color w:val="auto"/>
          <w:highlight w:val="none"/>
        </w:rPr>
        <w:t>（二）投诉</w:t>
      </w:r>
    </w:p>
    <w:p w14:paraId="3C45503B">
      <w:pPr>
        <w:pStyle w:val="27"/>
        <w:rPr>
          <w:rFonts w:hint="eastAsia" w:ascii="仿宋" w:hAnsi="仿宋" w:eastAsia="仿宋" w:cs="仿宋"/>
          <w:color w:val="auto"/>
          <w:highlight w:val="none"/>
        </w:rPr>
      </w:pPr>
      <w:r>
        <w:rPr>
          <w:rFonts w:hint="eastAsia" w:ascii="仿宋" w:hAnsi="仿宋" w:eastAsia="仿宋" w:cs="仿宋"/>
          <w:color w:val="auto"/>
          <w:highlight w:val="none"/>
        </w:rPr>
        <w:t>1.供应商对采购人、采购代理机构的答复不满意，或者采购人、采购代理机构未在规定时间内作出答复的，可以在答复期满后2个工作日内向璧山国资中心提起投诉。</w:t>
      </w:r>
    </w:p>
    <w:p w14:paraId="4A23B848">
      <w:pPr>
        <w:pStyle w:val="27"/>
        <w:rPr>
          <w:rFonts w:hint="eastAsia" w:ascii="仿宋" w:hAnsi="仿宋" w:eastAsia="仿宋" w:cs="仿宋"/>
          <w:color w:val="auto"/>
          <w:highlight w:val="none"/>
        </w:rPr>
      </w:pPr>
      <w:r>
        <w:rPr>
          <w:rFonts w:hint="eastAsia" w:ascii="仿宋" w:hAnsi="仿宋" w:eastAsia="仿宋" w:cs="仿宋"/>
          <w:color w:val="auto"/>
          <w:highlight w:val="none"/>
        </w:rPr>
        <w:t>2.在确定受理投诉后，璧山国资中心7个工作日内（需要检验、检测、鉴定、专家评审以及需要投诉人补正材料的，所需时间不计算在投诉处理期限内）对投诉事项做出处理决定。</w:t>
      </w:r>
    </w:p>
    <w:p w14:paraId="57618A01">
      <w:pPr>
        <w:pStyle w:val="3"/>
        <w:spacing w:line="240" w:lineRule="auto"/>
        <w:ind w:firstLine="643"/>
        <w:rPr>
          <w:rFonts w:hint="eastAsia" w:ascii="仿宋" w:hAnsi="仿宋" w:eastAsia="仿宋" w:cs="仿宋"/>
          <w:color w:val="auto"/>
          <w:highlight w:val="none"/>
        </w:rPr>
      </w:pPr>
      <w:bookmarkStart w:id="136" w:name="_Toc183783155"/>
      <w:bookmarkStart w:id="137" w:name="_Toc76462344"/>
      <w:bookmarkStart w:id="138" w:name="_Toc106030899"/>
      <w:r>
        <w:rPr>
          <w:rFonts w:hint="eastAsia" w:ascii="仿宋" w:hAnsi="仿宋" w:eastAsia="仿宋" w:cs="仿宋"/>
          <w:color w:val="auto"/>
          <w:highlight w:val="none"/>
        </w:rPr>
        <w:t>七、采购代理服务费</w:t>
      </w:r>
      <w:bookmarkEnd w:id="136"/>
      <w:bookmarkEnd w:id="137"/>
      <w:bookmarkEnd w:id="138"/>
    </w:p>
    <w:p w14:paraId="75242B88">
      <w:pPr>
        <w:pStyle w:val="27"/>
        <w:rPr>
          <w:rFonts w:hint="eastAsia" w:ascii="仿宋" w:hAnsi="仿宋" w:eastAsia="仿宋" w:cs="仿宋"/>
          <w:color w:val="auto"/>
          <w:highlight w:val="none"/>
        </w:rPr>
      </w:pPr>
      <w:bookmarkStart w:id="139" w:name="OLE_LINK7"/>
      <w:bookmarkStart w:id="140" w:name="OLE_LINK8"/>
      <w:r>
        <w:rPr>
          <w:rFonts w:hint="eastAsia" w:ascii="仿宋" w:hAnsi="仿宋" w:eastAsia="仿宋" w:cs="仿宋"/>
          <w:color w:val="auto"/>
          <w:highlight w:val="none"/>
        </w:rPr>
        <w:t>（一）供应商中标后向采购代理机构缴纳采购代理服务费，本次采购代理服务费</w:t>
      </w:r>
      <w:bookmarkEnd w:id="139"/>
      <w:bookmarkEnd w:id="140"/>
      <w:r>
        <w:rPr>
          <w:rFonts w:hint="eastAsia" w:ascii="仿宋" w:hAnsi="仿宋" w:eastAsia="仿宋" w:cs="仿宋"/>
          <w:color w:val="auto"/>
          <w:highlight w:val="none"/>
        </w:rPr>
        <w:t>为</w:t>
      </w:r>
      <w:r>
        <w:rPr>
          <w:rFonts w:hint="eastAsia" w:ascii="仿宋" w:hAnsi="仿宋" w:eastAsia="仿宋" w:cs="仿宋"/>
          <w:color w:val="auto"/>
          <w:highlight w:val="none"/>
          <w:lang w:val="en-US" w:eastAsia="zh-CN"/>
        </w:rPr>
        <w:t>2000</w:t>
      </w:r>
      <w:r>
        <w:rPr>
          <w:rFonts w:hint="eastAsia" w:ascii="仿宋" w:hAnsi="仿宋" w:eastAsia="仿宋" w:cs="仿宋"/>
          <w:color w:val="auto"/>
          <w:highlight w:val="none"/>
        </w:rPr>
        <w:t>元。</w:t>
      </w:r>
    </w:p>
    <w:p w14:paraId="34E6ACFD">
      <w:pPr>
        <w:pStyle w:val="27"/>
        <w:rPr>
          <w:rFonts w:hint="eastAsia" w:ascii="仿宋" w:hAnsi="仿宋" w:eastAsia="仿宋" w:cs="仿宋"/>
          <w:color w:val="auto"/>
          <w:highlight w:val="none"/>
        </w:rPr>
      </w:pPr>
      <w:r>
        <w:rPr>
          <w:rFonts w:hint="eastAsia" w:ascii="仿宋" w:hAnsi="仿宋" w:eastAsia="仿宋" w:cs="仿宋"/>
          <w:color w:val="auto"/>
          <w:highlight w:val="none"/>
        </w:rPr>
        <w:t>采购代理服务费指定收款账户信息：</w:t>
      </w:r>
    </w:p>
    <w:p w14:paraId="108728D3">
      <w:pPr>
        <w:pStyle w:val="27"/>
        <w:rPr>
          <w:rFonts w:hint="eastAsia" w:ascii="仿宋" w:hAnsi="仿宋" w:eastAsia="仿宋" w:cs="仿宋"/>
          <w:color w:val="auto"/>
          <w:highlight w:val="none"/>
          <w:lang w:eastAsia="zh-CN"/>
        </w:rPr>
      </w:pPr>
      <w:r>
        <w:rPr>
          <w:rFonts w:hint="eastAsia" w:ascii="仿宋" w:hAnsi="仿宋" w:eastAsia="仿宋" w:cs="仿宋"/>
          <w:color w:val="auto"/>
          <w:highlight w:val="none"/>
        </w:rPr>
        <w:t>户名：</w:t>
      </w:r>
      <w:r>
        <w:rPr>
          <w:rFonts w:hint="eastAsia" w:ascii="仿宋" w:hAnsi="仿宋" w:eastAsia="仿宋" w:cs="仿宋"/>
          <w:color w:val="auto"/>
          <w:highlight w:val="none"/>
          <w:lang w:eastAsia="zh-CN"/>
        </w:rPr>
        <w:t>重庆标友工程管理咨询有限公司</w:t>
      </w:r>
    </w:p>
    <w:p w14:paraId="2C35E1FF">
      <w:pPr>
        <w:pStyle w:val="27"/>
        <w:rPr>
          <w:rFonts w:hint="eastAsia" w:ascii="仿宋" w:hAnsi="仿宋" w:eastAsia="仿宋" w:cs="仿宋"/>
          <w:color w:val="auto"/>
          <w:highlight w:val="none"/>
        </w:rPr>
      </w:pPr>
      <w:r>
        <w:rPr>
          <w:rFonts w:hint="eastAsia" w:ascii="仿宋" w:hAnsi="仿宋" w:eastAsia="仿宋" w:cs="仿宋"/>
          <w:color w:val="auto"/>
          <w:highlight w:val="none"/>
        </w:rPr>
        <w:t>开户银行：交通银行股份有限公司重庆大坪支行</w:t>
      </w:r>
    </w:p>
    <w:p w14:paraId="53F83F20">
      <w:pPr>
        <w:pStyle w:val="27"/>
        <w:rPr>
          <w:rFonts w:hint="eastAsia" w:ascii="仿宋" w:hAnsi="仿宋" w:eastAsia="仿宋" w:cs="仿宋"/>
          <w:color w:val="auto"/>
          <w:highlight w:val="none"/>
        </w:rPr>
      </w:pPr>
      <w:r>
        <w:rPr>
          <w:rFonts w:hint="eastAsia" w:ascii="仿宋" w:hAnsi="仿宋" w:eastAsia="仿宋" w:cs="仿宋"/>
          <w:color w:val="auto"/>
          <w:highlight w:val="none"/>
        </w:rPr>
        <w:t>开户账号：500500106013001748296</w:t>
      </w:r>
    </w:p>
    <w:p w14:paraId="759A84A4">
      <w:pPr>
        <w:pStyle w:val="3"/>
        <w:spacing w:line="240" w:lineRule="auto"/>
        <w:ind w:firstLine="643"/>
        <w:rPr>
          <w:rFonts w:hint="eastAsia" w:ascii="仿宋" w:hAnsi="仿宋" w:eastAsia="仿宋" w:cs="仿宋"/>
          <w:color w:val="auto"/>
          <w:highlight w:val="none"/>
        </w:rPr>
      </w:pPr>
      <w:bookmarkStart w:id="141" w:name="_Toc102227322"/>
      <w:bookmarkStart w:id="142" w:name="_Toc342913396"/>
      <w:bookmarkStart w:id="143" w:name="_Toc106030901"/>
      <w:bookmarkStart w:id="144" w:name="_Toc183783156"/>
      <w:bookmarkStart w:id="145" w:name="_Toc76462346"/>
      <w:r>
        <w:rPr>
          <w:rFonts w:hint="eastAsia" w:ascii="仿宋" w:hAnsi="仿宋" w:eastAsia="仿宋" w:cs="仿宋"/>
          <w:color w:val="auto"/>
          <w:highlight w:val="none"/>
        </w:rPr>
        <w:t>八、签订</w:t>
      </w:r>
      <w:bookmarkEnd w:id="141"/>
      <w:r>
        <w:rPr>
          <w:rFonts w:hint="eastAsia" w:ascii="仿宋" w:hAnsi="仿宋" w:eastAsia="仿宋" w:cs="仿宋"/>
          <w:color w:val="auto"/>
          <w:highlight w:val="none"/>
        </w:rPr>
        <w:t>合同</w:t>
      </w:r>
      <w:bookmarkEnd w:id="142"/>
      <w:bookmarkEnd w:id="143"/>
      <w:bookmarkEnd w:id="144"/>
      <w:bookmarkEnd w:id="145"/>
    </w:p>
    <w:p w14:paraId="43DF757F">
      <w:pPr>
        <w:pStyle w:val="27"/>
        <w:rPr>
          <w:rFonts w:hint="eastAsia" w:ascii="仿宋" w:hAnsi="仿宋" w:eastAsia="仿宋" w:cs="仿宋"/>
          <w:color w:val="auto"/>
          <w:highlight w:val="none"/>
        </w:rPr>
      </w:pPr>
      <w:r>
        <w:rPr>
          <w:rFonts w:hint="eastAsia" w:ascii="仿宋" w:hAnsi="仿宋" w:eastAsia="仿宋" w:cs="仿宋"/>
          <w:color w:val="auto"/>
          <w:highlight w:val="none"/>
        </w:rPr>
        <w:t>（一）采购人原则上应在结果公告发出之日起</w:t>
      </w:r>
      <w:r>
        <w:rPr>
          <w:rFonts w:hint="eastAsia" w:ascii="仿宋" w:hAnsi="仿宋" w:eastAsia="仿宋" w:cs="仿宋"/>
          <w:color w:val="auto"/>
          <w:highlight w:val="none"/>
          <w:lang w:val="en-US" w:eastAsia="zh-CN"/>
        </w:rPr>
        <w:t>30</w:t>
      </w:r>
      <w:r>
        <w:rPr>
          <w:rFonts w:hint="eastAsia" w:ascii="仿宋" w:hAnsi="仿宋" w:eastAsia="仿宋" w:cs="仿宋"/>
          <w:color w:val="auto"/>
          <w:highlight w:val="none"/>
        </w:rPr>
        <w:t>个工作日内和成交供应商签订采购合同，无正当理由不得拒绝或拖延合同签订。所签订的合同不得对竞采文件和供应商的响应文件作实质性修改。其他未尽事宜由采购人和成交供应商在采购合同中详细约定。</w:t>
      </w:r>
    </w:p>
    <w:p w14:paraId="6EAB74F5">
      <w:pPr>
        <w:pStyle w:val="27"/>
        <w:rPr>
          <w:rFonts w:hint="eastAsia" w:ascii="仿宋" w:hAnsi="仿宋" w:eastAsia="仿宋" w:cs="仿宋"/>
          <w:color w:val="auto"/>
          <w:highlight w:val="none"/>
        </w:rPr>
      </w:pPr>
      <w:r>
        <w:rPr>
          <w:rFonts w:hint="eastAsia" w:ascii="仿宋" w:hAnsi="仿宋" w:eastAsia="仿宋" w:cs="仿宋"/>
          <w:color w:val="auto"/>
          <w:highlight w:val="none"/>
        </w:rPr>
        <w:t>（二）竞采文件、供应商的响应文件及澄清文件等，均为签订采购合同的依据。</w:t>
      </w:r>
    </w:p>
    <w:p w14:paraId="42B2C374">
      <w:pPr>
        <w:pStyle w:val="27"/>
        <w:rPr>
          <w:rFonts w:hint="eastAsia" w:ascii="仿宋" w:hAnsi="仿宋" w:eastAsia="仿宋" w:cs="仿宋"/>
          <w:color w:val="auto"/>
          <w:highlight w:val="none"/>
        </w:rPr>
      </w:pPr>
      <w:r>
        <w:rPr>
          <w:rFonts w:hint="eastAsia" w:ascii="仿宋" w:hAnsi="仿宋" w:eastAsia="仿宋" w:cs="仿宋"/>
          <w:color w:val="auto"/>
          <w:highlight w:val="none"/>
        </w:rPr>
        <w:t>（三）合同生效条款由供需双方约定，法律、行政法规规定应当办理批准、登记等手续后生效的合同，依照其规定。</w:t>
      </w:r>
    </w:p>
    <w:p w14:paraId="5F011B12">
      <w:pPr>
        <w:pStyle w:val="27"/>
        <w:rPr>
          <w:rFonts w:hint="eastAsia" w:ascii="仿宋" w:hAnsi="仿宋" w:eastAsia="仿宋" w:cs="仿宋"/>
          <w:color w:val="auto"/>
          <w:highlight w:val="none"/>
        </w:rPr>
      </w:pPr>
      <w:r>
        <w:rPr>
          <w:rFonts w:hint="eastAsia" w:ascii="仿宋" w:hAnsi="仿宋" w:eastAsia="仿宋" w:cs="仿宋"/>
          <w:color w:val="auto"/>
          <w:highlight w:val="none"/>
        </w:rPr>
        <w:t>（四）合同原则上应按照《璧山区国企采购合同》签订，相关单位要求适用合同通用格式版本的，应按其要求另行签订其他合同。</w:t>
      </w:r>
    </w:p>
    <w:p w14:paraId="48786AE3">
      <w:pPr>
        <w:pStyle w:val="3"/>
        <w:spacing w:line="240" w:lineRule="auto"/>
        <w:ind w:firstLine="643"/>
        <w:rPr>
          <w:rFonts w:hint="eastAsia" w:ascii="仿宋" w:hAnsi="仿宋" w:eastAsia="仿宋" w:cs="仿宋"/>
          <w:color w:val="auto"/>
          <w:highlight w:val="none"/>
        </w:rPr>
      </w:pPr>
      <w:bookmarkStart w:id="146" w:name="_Toc106030902"/>
      <w:bookmarkStart w:id="147" w:name="_Toc183783157"/>
      <w:r>
        <w:rPr>
          <w:rFonts w:hint="eastAsia" w:ascii="仿宋" w:hAnsi="仿宋" w:eastAsia="仿宋" w:cs="仿宋"/>
          <w:color w:val="auto"/>
          <w:highlight w:val="none"/>
        </w:rPr>
        <w:t>九、项目验收</w:t>
      </w:r>
      <w:bookmarkEnd w:id="146"/>
      <w:bookmarkEnd w:id="147"/>
    </w:p>
    <w:p w14:paraId="37B10D72">
      <w:pPr>
        <w:pStyle w:val="27"/>
        <w:rPr>
          <w:rFonts w:hint="eastAsia" w:ascii="仿宋" w:hAnsi="仿宋" w:eastAsia="仿宋" w:cs="仿宋"/>
          <w:color w:val="auto"/>
          <w:highlight w:val="none"/>
        </w:rPr>
      </w:pPr>
      <w:r>
        <w:rPr>
          <w:rFonts w:hint="eastAsia" w:ascii="仿宋" w:hAnsi="仿宋" w:eastAsia="仿宋" w:cs="仿宋"/>
          <w:color w:val="auto"/>
          <w:highlight w:val="none"/>
        </w:rPr>
        <w:t>合同执行完毕，采购人或采购代理机构原则上应在5个工作日内组织履约情况验收，不得无故拖延或附加额外条件。</w:t>
      </w:r>
    </w:p>
    <w:p w14:paraId="51D0F66E">
      <w:pPr>
        <w:pStyle w:val="27"/>
        <w:rPr>
          <w:rFonts w:hint="eastAsia" w:ascii="仿宋" w:hAnsi="仿宋" w:eastAsia="仿宋" w:cs="仿宋"/>
          <w:color w:val="auto"/>
          <w:highlight w:val="none"/>
        </w:rPr>
      </w:pPr>
      <w:r>
        <w:rPr>
          <w:rFonts w:hint="eastAsia" w:ascii="仿宋" w:hAnsi="仿宋" w:eastAsia="仿宋" w:cs="仿宋"/>
          <w:color w:val="auto"/>
          <w:highlight w:val="none"/>
        </w:rPr>
        <w:br w:type="page"/>
      </w:r>
    </w:p>
    <w:p w14:paraId="4DA01B6D">
      <w:pPr>
        <w:pStyle w:val="2"/>
        <w:spacing w:line="240" w:lineRule="auto"/>
        <w:ind w:firstLine="883"/>
        <w:jc w:val="center"/>
        <w:rPr>
          <w:rFonts w:hint="eastAsia" w:ascii="仿宋" w:hAnsi="仿宋" w:eastAsia="仿宋" w:cs="仿宋"/>
          <w:color w:val="auto"/>
          <w:highlight w:val="none"/>
          <w:lang w:eastAsia="zh-CN"/>
        </w:rPr>
      </w:pPr>
      <w:bookmarkStart w:id="148" w:name="_Toc109836391"/>
      <w:bookmarkStart w:id="149" w:name="_Toc183783158"/>
      <w:r>
        <w:rPr>
          <w:rFonts w:hint="eastAsia" w:ascii="仿宋" w:hAnsi="仿宋" w:eastAsia="仿宋" w:cs="仿宋"/>
          <w:color w:val="auto"/>
          <w:highlight w:val="none"/>
        </w:rPr>
        <w:t xml:space="preserve">第六篇  </w:t>
      </w:r>
      <w:bookmarkEnd w:id="148"/>
      <w:bookmarkEnd w:id="149"/>
      <w:r>
        <w:rPr>
          <w:rFonts w:hint="eastAsia" w:ascii="仿宋" w:hAnsi="仿宋" w:eastAsia="仿宋" w:cs="仿宋"/>
          <w:color w:val="auto"/>
          <w:highlight w:val="none"/>
        </w:rPr>
        <w:t>合同</w:t>
      </w:r>
      <w:r>
        <w:rPr>
          <w:rFonts w:hint="eastAsia" w:ascii="仿宋" w:hAnsi="仿宋" w:eastAsia="仿宋" w:cs="仿宋"/>
          <w:color w:val="auto"/>
          <w:highlight w:val="none"/>
          <w:lang w:eastAsia="zh-CN"/>
        </w:rPr>
        <w:t>（</w:t>
      </w:r>
      <w:r>
        <w:rPr>
          <w:rFonts w:hint="eastAsia" w:ascii="仿宋" w:hAnsi="仿宋" w:eastAsia="仿宋" w:cs="仿宋"/>
          <w:b/>
          <w:color w:val="auto"/>
          <w:sz w:val="44"/>
          <w:highlight w:val="none"/>
          <w:lang w:val="en-US" w:eastAsia="zh-CN"/>
        </w:rPr>
        <w:t>模版</w:t>
      </w:r>
      <w:r>
        <w:rPr>
          <w:rFonts w:hint="eastAsia" w:ascii="仿宋" w:hAnsi="仿宋" w:eastAsia="仿宋" w:cs="仿宋"/>
          <w:color w:val="auto"/>
          <w:highlight w:val="none"/>
          <w:lang w:eastAsia="zh-CN"/>
        </w:rPr>
        <w:t>）</w:t>
      </w:r>
    </w:p>
    <w:p w14:paraId="31D4D42C">
      <w:pPr>
        <w:jc w:val="center"/>
        <w:rPr>
          <w:rFonts w:hint="eastAsia" w:ascii="仿宋" w:hAnsi="仿宋" w:eastAsia="仿宋" w:cs="仿宋"/>
          <w:b/>
          <w:bCs/>
          <w:sz w:val="44"/>
          <w:szCs w:val="44"/>
          <w:highlight w:val="none"/>
        </w:rPr>
      </w:pPr>
      <w:bookmarkStart w:id="150" w:name="_Toc10837"/>
      <w:bookmarkStart w:id="151" w:name="_Toc183783159"/>
      <w:r>
        <w:rPr>
          <w:rFonts w:hint="eastAsia" w:ascii="仿宋" w:hAnsi="仿宋" w:eastAsia="仿宋" w:cs="仿宋"/>
          <w:b/>
          <w:bCs/>
          <w:sz w:val="44"/>
          <w:szCs w:val="44"/>
          <w:highlight w:val="none"/>
        </w:rPr>
        <w:t>重庆知天而作农业科技研究院有限公司</w:t>
      </w:r>
      <w:r>
        <w:rPr>
          <w:rFonts w:hint="eastAsia" w:ascii="仿宋" w:hAnsi="仿宋" w:eastAsia="仿宋" w:cs="仿宋"/>
          <w:b/>
          <w:bCs/>
          <w:sz w:val="44"/>
          <w:szCs w:val="44"/>
          <w:highlight w:val="none"/>
          <w:lang w:val="en-US" w:eastAsia="zh-CN"/>
        </w:rPr>
        <w:t>专项</w:t>
      </w:r>
      <w:r>
        <w:rPr>
          <w:rFonts w:hint="eastAsia" w:ascii="仿宋" w:hAnsi="仿宋" w:eastAsia="仿宋" w:cs="仿宋"/>
          <w:b/>
          <w:bCs/>
          <w:sz w:val="44"/>
          <w:szCs w:val="44"/>
          <w:highlight w:val="none"/>
        </w:rPr>
        <w:t>审计</w:t>
      </w:r>
    </w:p>
    <w:p w14:paraId="46F1034C">
      <w:pPr>
        <w:jc w:val="center"/>
        <w:rPr>
          <w:rFonts w:hint="eastAsia" w:ascii="仿宋" w:hAnsi="仿宋" w:eastAsia="仿宋" w:cs="仿宋"/>
          <w:b/>
          <w:bCs/>
          <w:sz w:val="44"/>
          <w:szCs w:val="44"/>
          <w:highlight w:val="none"/>
        </w:rPr>
      </w:pPr>
      <w:r>
        <w:rPr>
          <w:rFonts w:hint="eastAsia" w:ascii="仿宋" w:hAnsi="仿宋" w:eastAsia="仿宋" w:cs="仿宋"/>
          <w:b/>
          <w:bCs/>
          <w:sz w:val="44"/>
          <w:szCs w:val="44"/>
          <w:highlight w:val="none"/>
        </w:rPr>
        <w:t>业务约定书</w:t>
      </w:r>
    </w:p>
    <w:p w14:paraId="764D8B9A">
      <w:pPr>
        <w:rPr>
          <w:rFonts w:hint="eastAsia" w:ascii="仿宋" w:hAnsi="仿宋" w:eastAsia="仿宋" w:cs="仿宋"/>
          <w:sz w:val="24"/>
          <w:szCs w:val="24"/>
          <w:highlight w:val="none"/>
        </w:rPr>
      </w:pPr>
    </w:p>
    <w:p w14:paraId="14DC2B2F">
      <w:pPr>
        <w:rPr>
          <w:rFonts w:hint="eastAsia" w:ascii="仿宋" w:hAnsi="仿宋" w:eastAsia="仿宋" w:cs="仿宋"/>
          <w:sz w:val="24"/>
          <w:szCs w:val="24"/>
          <w:highlight w:val="none"/>
        </w:rPr>
      </w:pPr>
      <w:r>
        <w:rPr>
          <w:rFonts w:hint="eastAsia" w:ascii="仿宋" w:hAnsi="仿宋" w:eastAsia="仿宋" w:cs="仿宋"/>
          <w:sz w:val="24"/>
          <w:szCs w:val="24"/>
          <w:highlight w:val="none"/>
        </w:rPr>
        <w:t>甲方: 重庆绿发资产经营管理有限公司</w:t>
      </w:r>
    </w:p>
    <w:p w14:paraId="51B7B39C">
      <w:pPr>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乙方: </w:t>
      </w:r>
    </w:p>
    <w:p w14:paraId="245E8EFD">
      <w:pPr>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    兹由甲方委托乙方对重庆知天而作农业科技研究院有限公司截至202</w:t>
      </w:r>
      <w:r>
        <w:rPr>
          <w:rFonts w:hint="eastAsia" w:ascii="仿宋" w:hAnsi="仿宋" w:eastAsia="仿宋" w:cs="仿宋"/>
          <w:sz w:val="24"/>
          <w:szCs w:val="24"/>
          <w:highlight w:val="none"/>
          <w:lang w:val="en-US" w:eastAsia="zh-CN"/>
        </w:rPr>
        <w:t>5</w:t>
      </w:r>
      <w:r>
        <w:rPr>
          <w:rFonts w:hint="eastAsia" w:ascii="仿宋" w:hAnsi="仿宋" w:eastAsia="仿宋" w:cs="仿宋"/>
          <w:sz w:val="24"/>
          <w:szCs w:val="24"/>
          <w:highlight w:val="none"/>
        </w:rPr>
        <w:t>年</w:t>
      </w:r>
      <w:r>
        <w:rPr>
          <w:rFonts w:hint="eastAsia" w:ascii="仿宋" w:hAnsi="仿宋" w:eastAsia="仿宋" w:cs="仿宋"/>
          <w:sz w:val="24"/>
          <w:szCs w:val="24"/>
          <w:highlight w:val="none"/>
          <w:lang w:val="en-US" w:eastAsia="zh-CN"/>
        </w:rPr>
        <w:t>3</w:t>
      </w:r>
      <w:r>
        <w:rPr>
          <w:rFonts w:hint="eastAsia" w:ascii="仿宋" w:hAnsi="仿宋" w:eastAsia="仿宋" w:cs="仿宋"/>
          <w:sz w:val="24"/>
          <w:szCs w:val="24"/>
          <w:highlight w:val="none"/>
        </w:rPr>
        <w:t>月3</w:t>
      </w:r>
      <w:r>
        <w:rPr>
          <w:rFonts w:hint="eastAsia" w:ascii="仿宋" w:hAnsi="仿宋" w:eastAsia="仿宋" w:cs="仿宋"/>
          <w:sz w:val="24"/>
          <w:szCs w:val="24"/>
          <w:highlight w:val="none"/>
          <w:lang w:val="en-US" w:eastAsia="zh-CN"/>
        </w:rPr>
        <w:t>1</w:t>
      </w:r>
      <w:r>
        <w:rPr>
          <w:rFonts w:hint="eastAsia" w:ascii="仿宋" w:hAnsi="仿宋" w:eastAsia="仿宋" w:cs="仿宋"/>
          <w:sz w:val="24"/>
          <w:szCs w:val="24"/>
          <w:highlight w:val="none"/>
        </w:rPr>
        <w:t>日的资产、负债、权益情况（不含经营期间的收支利润情况）进行专项审计，经双方协商，达成以下约定：</w:t>
      </w:r>
    </w:p>
    <w:p w14:paraId="2CA1A3CB">
      <w:pPr>
        <w:rPr>
          <w:rFonts w:hint="eastAsia" w:ascii="仿宋" w:hAnsi="仿宋" w:eastAsia="仿宋" w:cs="仿宋"/>
          <w:sz w:val="24"/>
          <w:szCs w:val="24"/>
          <w:highlight w:val="none"/>
        </w:rPr>
      </w:pPr>
      <w:r>
        <w:rPr>
          <w:rFonts w:hint="eastAsia" w:ascii="仿宋" w:hAnsi="仿宋" w:eastAsia="仿宋" w:cs="仿宋"/>
          <w:sz w:val="24"/>
          <w:szCs w:val="24"/>
          <w:highlight w:val="none"/>
        </w:rPr>
        <w:t>一、业务范围与审计目标</w:t>
      </w:r>
    </w:p>
    <w:p w14:paraId="295915D4">
      <w:pPr>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    1.乙方接受甲方委托，对重庆知天而作农业科技研究院有限公司截至202</w:t>
      </w:r>
      <w:r>
        <w:rPr>
          <w:rFonts w:hint="eastAsia" w:ascii="仿宋" w:hAnsi="仿宋" w:eastAsia="仿宋" w:cs="仿宋"/>
          <w:sz w:val="24"/>
          <w:szCs w:val="24"/>
          <w:highlight w:val="none"/>
          <w:lang w:val="en-US" w:eastAsia="zh-CN"/>
        </w:rPr>
        <w:t>5</w:t>
      </w:r>
      <w:r>
        <w:rPr>
          <w:rFonts w:hint="eastAsia" w:ascii="仿宋" w:hAnsi="仿宋" w:eastAsia="仿宋" w:cs="仿宋"/>
          <w:sz w:val="24"/>
          <w:szCs w:val="24"/>
          <w:highlight w:val="none"/>
        </w:rPr>
        <w:t>年</w:t>
      </w:r>
      <w:r>
        <w:rPr>
          <w:rFonts w:hint="eastAsia" w:ascii="仿宋" w:hAnsi="仿宋" w:eastAsia="仿宋" w:cs="仿宋"/>
          <w:sz w:val="24"/>
          <w:szCs w:val="24"/>
          <w:highlight w:val="none"/>
          <w:lang w:val="en-US" w:eastAsia="zh-CN"/>
        </w:rPr>
        <w:t>3</w:t>
      </w:r>
      <w:r>
        <w:rPr>
          <w:rFonts w:hint="eastAsia" w:ascii="仿宋" w:hAnsi="仿宋" w:eastAsia="仿宋" w:cs="仿宋"/>
          <w:sz w:val="24"/>
          <w:szCs w:val="24"/>
          <w:highlight w:val="none"/>
        </w:rPr>
        <w:t>月3</w:t>
      </w:r>
      <w:r>
        <w:rPr>
          <w:rFonts w:hint="eastAsia" w:ascii="仿宋" w:hAnsi="仿宋" w:eastAsia="仿宋" w:cs="仿宋"/>
          <w:sz w:val="24"/>
          <w:szCs w:val="24"/>
          <w:highlight w:val="none"/>
          <w:lang w:val="en-US" w:eastAsia="zh-CN"/>
        </w:rPr>
        <w:t>1</w:t>
      </w:r>
      <w:r>
        <w:rPr>
          <w:rFonts w:hint="eastAsia" w:ascii="仿宋" w:hAnsi="仿宋" w:eastAsia="仿宋" w:cs="仿宋"/>
          <w:sz w:val="24"/>
          <w:szCs w:val="24"/>
          <w:highlight w:val="none"/>
        </w:rPr>
        <w:t>日的资产、负债、权益情况（不含经营期间的收支利润情况）进行专项审计。</w:t>
      </w:r>
    </w:p>
    <w:p w14:paraId="27C5848D">
      <w:pPr>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    2.乙方通过执行审计工作，对重庆知天而作农业科技研究院有限公司资产、负债、权益情况（不含经营期间的收支利润情况）发表审计意见。</w:t>
      </w:r>
    </w:p>
    <w:p w14:paraId="222A9EE7">
      <w:pPr>
        <w:rPr>
          <w:rFonts w:hint="eastAsia" w:ascii="仿宋" w:hAnsi="仿宋" w:eastAsia="仿宋" w:cs="仿宋"/>
          <w:sz w:val="24"/>
          <w:szCs w:val="24"/>
          <w:highlight w:val="none"/>
        </w:rPr>
      </w:pPr>
      <w:r>
        <w:rPr>
          <w:rFonts w:hint="eastAsia" w:ascii="仿宋" w:hAnsi="仿宋" w:eastAsia="仿宋" w:cs="仿宋"/>
          <w:sz w:val="24"/>
          <w:szCs w:val="24"/>
          <w:highlight w:val="none"/>
        </w:rPr>
        <w:t>二、甲方的责任与义务</w:t>
      </w:r>
    </w:p>
    <w:p w14:paraId="046D43B9">
      <w:pPr>
        <w:rPr>
          <w:rFonts w:hint="eastAsia" w:ascii="仿宋" w:hAnsi="仿宋" w:eastAsia="仿宋" w:cs="仿宋"/>
          <w:sz w:val="24"/>
          <w:szCs w:val="24"/>
          <w:highlight w:val="none"/>
        </w:rPr>
      </w:pPr>
      <w:r>
        <w:rPr>
          <w:rFonts w:hint="eastAsia" w:ascii="仿宋" w:hAnsi="仿宋" w:eastAsia="仿宋" w:cs="仿宋"/>
          <w:sz w:val="24"/>
          <w:szCs w:val="24"/>
          <w:highlight w:val="none"/>
        </w:rPr>
        <w:t> （一）甲方的责任</w:t>
      </w:r>
    </w:p>
    <w:p w14:paraId="4E2C0593">
      <w:pPr>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    1.根据《中华人民共和国会计法》及《企业财务会计报告条例》，重庆知天而作农业科技研究院有限公司及负责人有责任保证会计资料的真实性和完整性。因此，重庆知天而作农业科技研究院有限公司管理层有责任妥善保存和提供会计记录（包括但不限于会计凭证、会计账簿及其他会计资料），这些记录必须真实、完整地反映重庆知天而作农业科技研究院有限公司的财务状况、经营成果和现金流量。如实进行资产登记并编制财务会计报表。 </w:t>
      </w:r>
    </w:p>
    <w:p w14:paraId="58DA08C8">
      <w:pPr>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    2.向注册会计师提供真实、合法、完整的会计资料和相关文件。</w:t>
      </w:r>
    </w:p>
    <w:p w14:paraId="5C24B348">
      <w:pPr>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  （二）甲方的义务</w:t>
      </w:r>
    </w:p>
    <w:p w14:paraId="68BA2F21">
      <w:pPr>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    1.及时为乙方的资产清查工作提供其所必要的会计资料和其他有关资料，以及对某些会计事项作出书面的陈述或说明。</w:t>
      </w:r>
    </w:p>
    <w:p w14:paraId="46428E90">
      <w:pPr>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    2.为乙方派出的有关工作人员提供必要的工作条件及合作，具体事项将由乙方的资产</w:t>
      </w:r>
      <w:r>
        <w:rPr>
          <w:rFonts w:hint="eastAsia" w:ascii="仿宋" w:hAnsi="仿宋" w:eastAsia="仿宋" w:cs="仿宋"/>
          <w:sz w:val="24"/>
          <w:szCs w:val="24"/>
          <w:highlight w:val="none"/>
          <w:lang w:val="en-US" w:eastAsia="zh-CN"/>
        </w:rPr>
        <w:t>清</w:t>
      </w:r>
      <w:r>
        <w:rPr>
          <w:rFonts w:hint="eastAsia" w:ascii="仿宋" w:hAnsi="仿宋" w:eastAsia="仿宋" w:cs="仿宋"/>
          <w:sz w:val="24"/>
          <w:szCs w:val="24"/>
          <w:highlight w:val="none"/>
        </w:rPr>
        <w:t>查工作人员于工作开始前提提供清单。</w:t>
      </w:r>
    </w:p>
    <w:p w14:paraId="334A1F07">
      <w:pPr>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    3.乙方认为需要发函向有关单位询证时，应提供协助并承担必要的费用。 </w:t>
      </w:r>
    </w:p>
    <w:p w14:paraId="5BA2E9CF">
      <w:pPr>
        <w:rPr>
          <w:rFonts w:hint="eastAsia" w:ascii="仿宋" w:hAnsi="仿宋" w:eastAsia="仿宋" w:cs="仿宋"/>
          <w:sz w:val="24"/>
          <w:szCs w:val="24"/>
          <w:highlight w:val="none"/>
        </w:rPr>
      </w:pPr>
      <w:r>
        <w:rPr>
          <w:rFonts w:hint="eastAsia" w:ascii="仿宋" w:hAnsi="仿宋" w:eastAsia="仿宋" w:cs="仿宋"/>
          <w:sz w:val="24"/>
          <w:szCs w:val="24"/>
          <w:highlight w:val="none"/>
        </w:rPr>
        <w:t>三、乙方的责任和义务 </w:t>
      </w:r>
    </w:p>
    <w:p w14:paraId="797D02BF">
      <w:pPr>
        <w:rPr>
          <w:rFonts w:hint="eastAsia" w:ascii="仿宋" w:hAnsi="仿宋" w:eastAsia="仿宋" w:cs="仿宋"/>
          <w:sz w:val="24"/>
          <w:szCs w:val="24"/>
          <w:highlight w:val="none"/>
        </w:rPr>
      </w:pPr>
      <w:r>
        <w:rPr>
          <w:rFonts w:hint="eastAsia" w:ascii="仿宋" w:hAnsi="仿宋" w:eastAsia="仿宋" w:cs="仿宋"/>
          <w:sz w:val="24"/>
          <w:szCs w:val="24"/>
          <w:highlight w:val="none"/>
        </w:rPr>
        <w:t>（一）乙方的责任 </w:t>
      </w:r>
    </w:p>
    <w:p w14:paraId="50E3DED1">
      <w:pPr>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    1.乙方的责任是对重庆知天而作农业科技研究院有限公司截止202</w:t>
      </w:r>
      <w:r>
        <w:rPr>
          <w:rFonts w:hint="eastAsia" w:ascii="仿宋" w:hAnsi="仿宋" w:eastAsia="仿宋" w:cs="仿宋"/>
          <w:sz w:val="24"/>
          <w:szCs w:val="24"/>
          <w:highlight w:val="none"/>
          <w:lang w:val="en-US" w:eastAsia="zh-CN"/>
        </w:rPr>
        <w:t>5</w:t>
      </w:r>
      <w:r>
        <w:rPr>
          <w:rFonts w:hint="eastAsia" w:ascii="仿宋" w:hAnsi="仿宋" w:eastAsia="仿宋" w:cs="仿宋"/>
          <w:sz w:val="24"/>
          <w:szCs w:val="24"/>
          <w:highlight w:val="none"/>
        </w:rPr>
        <w:t>年</w:t>
      </w:r>
      <w:r>
        <w:rPr>
          <w:rFonts w:hint="eastAsia" w:ascii="仿宋" w:hAnsi="仿宋" w:eastAsia="仿宋" w:cs="仿宋"/>
          <w:sz w:val="24"/>
          <w:szCs w:val="24"/>
          <w:highlight w:val="none"/>
          <w:lang w:val="en-US" w:eastAsia="zh-CN"/>
        </w:rPr>
        <w:t>3</w:t>
      </w:r>
      <w:r>
        <w:rPr>
          <w:rFonts w:hint="eastAsia" w:ascii="仿宋" w:hAnsi="仿宋" w:eastAsia="仿宋" w:cs="仿宋"/>
          <w:sz w:val="24"/>
          <w:szCs w:val="24"/>
          <w:highlight w:val="none"/>
        </w:rPr>
        <w:t>月3</w:t>
      </w:r>
      <w:r>
        <w:rPr>
          <w:rFonts w:hint="eastAsia" w:ascii="仿宋" w:hAnsi="仿宋" w:eastAsia="仿宋" w:cs="仿宋"/>
          <w:sz w:val="24"/>
          <w:szCs w:val="24"/>
          <w:highlight w:val="none"/>
          <w:lang w:val="en-US" w:eastAsia="zh-CN"/>
        </w:rPr>
        <w:t>1</w:t>
      </w:r>
      <w:r>
        <w:rPr>
          <w:rFonts w:hint="eastAsia" w:ascii="仿宋" w:hAnsi="仿宋" w:eastAsia="仿宋" w:cs="仿宋"/>
          <w:sz w:val="24"/>
          <w:szCs w:val="24"/>
          <w:highlight w:val="none"/>
        </w:rPr>
        <w:t>日的资产、负债、权益情况进行审计。</w:t>
      </w:r>
    </w:p>
    <w:p w14:paraId="78C24893">
      <w:pPr>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    2.由于资产清查单位内部控制制度固有的局限性和其它客观因素制约（包含历史遗留问题），难免存在资产清查在某些重要的方面反映失实，而注册会计师有可能在资产清查中未予发现的情况，因此，乙方的资产清查责任并不能替代、减轻或免除资产清查单位的部分责任。 </w:t>
      </w:r>
    </w:p>
    <w:p w14:paraId="02535148">
      <w:pPr>
        <w:rPr>
          <w:rFonts w:hint="eastAsia" w:ascii="仿宋" w:hAnsi="仿宋" w:eastAsia="仿宋" w:cs="仿宋"/>
          <w:sz w:val="24"/>
          <w:szCs w:val="24"/>
          <w:highlight w:val="none"/>
        </w:rPr>
      </w:pPr>
      <w:r>
        <w:rPr>
          <w:rFonts w:hint="eastAsia" w:ascii="仿宋" w:hAnsi="仿宋" w:eastAsia="仿宋" w:cs="仿宋"/>
          <w:sz w:val="24"/>
          <w:szCs w:val="24"/>
          <w:highlight w:val="none"/>
        </w:rPr>
        <w:t>（二）乙方的义务 </w:t>
      </w:r>
    </w:p>
    <w:p w14:paraId="7A7942DC">
      <w:pPr>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    1.按照规定的时间</w:t>
      </w:r>
      <w:r>
        <w:rPr>
          <w:rFonts w:hint="eastAsia" w:ascii="仿宋" w:hAnsi="仿宋" w:eastAsia="仿宋" w:cs="仿宋"/>
          <w:spacing w:val="0"/>
          <w:sz w:val="24"/>
          <w:szCs w:val="24"/>
          <w:highlight w:val="none"/>
          <w:lang w:val="en-US" w:eastAsia="zh-CN"/>
        </w:rPr>
        <w:t>(</w:t>
      </w:r>
      <w:r>
        <w:rPr>
          <w:rFonts w:hint="eastAsia" w:ascii="仿宋" w:hAnsi="仿宋" w:eastAsia="仿宋" w:cs="仿宋"/>
          <w:spacing w:val="0"/>
          <w:sz w:val="24"/>
          <w:szCs w:val="24"/>
          <w:highlight w:val="none"/>
          <w:lang w:eastAsia="en-US"/>
        </w:rPr>
        <w:t>中标次日签订服务合同，并于</w:t>
      </w:r>
      <w:r>
        <w:rPr>
          <w:rFonts w:hint="eastAsia" w:ascii="仿宋" w:hAnsi="仿宋" w:eastAsia="仿宋" w:cs="仿宋"/>
          <w:spacing w:val="0"/>
          <w:sz w:val="24"/>
          <w:szCs w:val="24"/>
          <w:highlight w:val="none"/>
          <w:lang w:val="en-US" w:eastAsia="zh-CN"/>
        </w:rPr>
        <w:t>20个工作</w:t>
      </w:r>
      <w:r>
        <w:rPr>
          <w:rFonts w:hint="eastAsia" w:ascii="仿宋" w:hAnsi="仿宋" w:eastAsia="仿宋" w:cs="仿宋"/>
          <w:spacing w:val="0"/>
          <w:sz w:val="24"/>
          <w:szCs w:val="24"/>
          <w:highlight w:val="none"/>
          <w:lang w:eastAsia="en-US"/>
        </w:rPr>
        <w:t>日内出具正式报告</w:t>
      </w:r>
      <w:r>
        <w:rPr>
          <w:rFonts w:hint="eastAsia" w:ascii="仿宋" w:hAnsi="仿宋" w:eastAsia="仿宋" w:cs="仿宋"/>
          <w:spacing w:val="0"/>
          <w:sz w:val="24"/>
          <w:szCs w:val="24"/>
          <w:highlight w:val="none"/>
          <w:lang w:val="en-US" w:eastAsia="zh-CN"/>
        </w:rPr>
        <w:t>)</w:t>
      </w:r>
      <w:r>
        <w:rPr>
          <w:rFonts w:hint="eastAsia" w:ascii="仿宋" w:hAnsi="仿宋" w:eastAsia="仿宋" w:cs="仿宋"/>
          <w:sz w:val="24"/>
          <w:szCs w:val="24"/>
          <w:highlight w:val="none"/>
        </w:rPr>
        <w:t>完成审计工作，出具专项审计报告。通过执行专项审计工作，对清查出的各项资产损益、资金挂账的准确性、可靠性发表专项审计意见，并出具专项审计报告。 </w:t>
      </w:r>
    </w:p>
    <w:p w14:paraId="40DFB306">
      <w:pPr>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    2.在执行资产</w:t>
      </w:r>
      <w:r>
        <w:rPr>
          <w:rFonts w:hint="eastAsia" w:ascii="仿宋" w:hAnsi="仿宋" w:eastAsia="仿宋" w:cs="仿宋"/>
          <w:sz w:val="24"/>
          <w:szCs w:val="24"/>
          <w:highlight w:val="none"/>
          <w:lang w:val="en-US" w:eastAsia="zh-CN"/>
        </w:rPr>
        <w:t>清</w:t>
      </w:r>
      <w:r>
        <w:rPr>
          <w:rFonts w:hint="eastAsia" w:ascii="仿宋" w:hAnsi="仿宋" w:eastAsia="仿宋" w:cs="仿宋"/>
          <w:sz w:val="24"/>
          <w:szCs w:val="24"/>
          <w:highlight w:val="none"/>
        </w:rPr>
        <w:t>查的过程中保证对讨论、签订、执行本协议过程中所获悉的属于甲方</w:t>
      </w:r>
      <w:r>
        <w:rPr>
          <w:rFonts w:hint="eastAsia" w:ascii="仿宋" w:hAnsi="仿宋" w:eastAsia="仿宋" w:cs="仿宋"/>
          <w:sz w:val="24"/>
          <w:szCs w:val="24"/>
          <w:highlight w:val="none"/>
          <w:lang w:val="en-US" w:eastAsia="zh-CN"/>
        </w:rPr>
        <w:t>及</w:t>
      </w:r>
      <w:r>
        <w:rPr>
          <w:rFonts w:hint="eastAsia" w:ascii="仿宋" w:hAnsi="仿宋" w:eastAsia="仿宋" w:cs="仿宋"/>
          <w:sz w:val="24"/>
          <w:szCs w:val="24"/>
          <w:highlight w:val="none"/>
        </w:rPr>
        <w:t>重庆知天而作农业科技研究院有限公司的且无法自公开渠道获得的文件及资料（包括内部文件、内部公函、财务信息、技术信息、电话信息及其他不便于向社会公示的信息）予以保密。未经该资料和文件的原提供方同意，乙方不得向任何第三方泄露该资料的全部或部分内容，保密期限按照《中华人民共和国保守国家秘密法》之规定执行。 </w:t>
      </w:r>
    </w:p>
    <w:p w14:paraId="5355E7A6">
      <w:pPr>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    3.乙方在审计执行过程中如需查阅重庆知天而作农业科技研究院有限公司相关涉密资料的，乙方事先指定项目负责联络人与甲方联系。查阅地点仅限于甲方</w:t>
      </w:r>
      <w:r>
        <w:rPr>
          <w:rFonts w:hint="eastAsia" w:ascii="仿宋" w:hAnsi="仿宋" w:eastAsia="仿宋" w:cs="仿宋"/>
          <w:sz w:val="24"/>
          <w:szCs w:val="24"/>
          <w:highlight w:val="none"/>
          <w:lang w:val="en-US" w:eastAsia="zh-CN"/>
        </w:rPr>
        <w:t>及</w:t>
      </w:r>
      <w:r>
        <w:rPr>
          <w:rFonts w:hint="eastAsia" w:ascii="仿宋" w:hAnsi="仿宋" w:eastAsia="仿宋" w:cs="仿宋"/>
          <w:sz w:val="24"/>
          <w:szCs w:val="24"/>
          <w:highlight w:val="none"/>
        </w:rPr>
        <w:t>重庆知天而作农业科技研究院有限公司办公场所，如需打印、摄像等有可能将甲方</w:t>
      </w:r>
      <w:r>
        <w:rPr>
          <w:rFonts w:hint="eastAsia" w:ascii="仿宋" w:hAnsi="仿宋" w:eastAsia="仿宋" w:cs="仿宋"/>
          <w:sz w:val="24"/>
          <w:szCs w:val="24"/>
          <w:highlight w:val="none"/>
          <w:lang w:val="en-US" w:eastAsia="zh-CN"/>
        </w:rPr>
        <w:t>及</w:t>
      </w:r>
      <w:r>
        <w:rPr>
          <w:rFonts w:hint="eastAsia" w:ascii="仿宋" w:hAnsi="仿宋" w:eastAsia="仿宋" w:cs="仿宋"/>
          <w:sz w:val="24"/>
          <w:szCs w:val="24"/>
          <w:highlight w:val="none"/>
        </w:rPr>
        <w:t>重庆知天而作农业科技研究院有限公司资料外泄的方式必须经甲方</w:t>
      </w:r>
      <w:r>
        <w:rPr>
          <w:rFonts w:hint="eastAsia" w:ascii="仿宋" w:hAnsi="仿宋" w:eastAsia="仿宋" w:cs="仿宋"/>
          <w:sz w:val="24"/>
          <w:szCs w:val="24"/>
          <w:highlight w:val="none"/>
          <w:lang w:val="en-US" w:eastAsia="zh-CN"/>
        </w:rPr>
        <w:t>及</w:t>
      </w:r>
      <w:r>
        <w:rPr>
          <w:rFonts w:hint="eastAsia" w:ascii="仿宋" w:hAnsi="仿宋" w:eastAsia="仿宋" w:cs="仿宋"/>
          <w:sz w:val="24"/>
          <w:szCs w:val="24"/>
          <w:highlight w:val="none"/>
        </w:rPr>
        <w:t>重庆知天而作农业科技研究院有限公司批准。乙方对整个委托项目负有保密责任，此保密责任按照《中华人民共和国保守国家秘密法》之规定执行。 </w:t>
      </w:r>
    </w:p>
    <w:p w14:paraId="47A7F57E">
      <w:pPr>
        <w:rPr>
          <w:rFonts w:hint="eastAsia" w:ascii="仿宋" w:hAnsi="仿宋" w:eastAsia="仿宋" w:cs="仿宋"/>
          <w:sz w:val="24"/>
          <w:szCs w:val="24"/>
          <w:highlight w:val="none"/>
        </w:rPr>
      </w:pPr>
      <w:r>
        <w:rPr>
          <w:rFonts w:hint="eastAsia" w:ascii="仿宋" w:hAnsi="仿宋" w:eastAsia="仿宋" w:cs="仿宋"/>
          <w:sz w:val="24"/>
          <w:szCs w:val="24"/>
          <w:highlight w:val="none"/>
        </w:rPr>
        <w:t>四、审计收费 </w:t>
      </w:r>
    </w:p>
    <w:p w14:paraId="22D002D1">
      <w:pPr>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    1.本次审计服务的收费是以乙方各级别工作人员在本次工作中所耗费的时间为基础计算的。乙方预计本次审计服务的费用总额为人民币</w:t>
      </w:r>
      <w:r>
        <w:rPr>
          <w:rFonts w:hint="eastAsia" w:ascii="仿宋" w:hAnsi="仿宋" w:eastAsia="仿宋" w:cs="仿宋"/>
          <w:sz w:val="24"/>
          <w:szCs w:val="24"/>
          <w:highlight w:val="none"/>
          <w:lang w:val="en-US" w:eastAsia="zh-CN"/>
        </w:rPr>
        <w:t xml:space="preserve">     </w:t>
      </w:r>
      <w:r>
        <w:rPr>
          <w:rFonts w:hint="eastAsia" w:ascii="仿宋" w:hAnsi="仿宋" w:eastAsia="仿宋" w:cs="仿宋"/>
          <w:sz w:val="24"/>
          <w:szCs w:val="24"/>
          <w:highlight w:val="none"/>
        </w:rPr>
        <w:t>元（大写人民币：</w:t>
      </w:r>
      <w:r>
        <w:rPr>
          <w:rFonts w:hint="eastAsia" w:ascii="仿宋" w:hAnsi="仿宋" w:eastAsia="仿宋" w:cs="仿宋"/>
          <w:sz w:val="24"/>
          <w:szCs w:val="24"/>
          <w:highlight w:val="none"/>
          <w:lang w:val="en-US" w:eastAsia="zh-CN"/>
        </w:rPr>
        <w:t xml:space="preserve">    </w:t>
      </w:r>
      <w:r>
        <w:rPr>
          <w:rFonts w:hint="eastAsia" w:ascii="仿宋" w:hAnsi="仿宋" w:eastAsia="仿宋" w:cs="仿宋"/>
          <w:sz w:val="24"/>
          <w:szCs w:val="24"/>
          <w:highlight w:val="none"/>
        </w:rPr>
        <w:t>元整）</w:t>
      </w:r>
      <w:r>
        <w:rPr>
          <w:rFonts w:hint="eastAsia" w:ascii="仿宋" w:hAnsi="仿宋" w:eastAsia="仿宋" w:cs="仿宋"/>
          <w:sz w:val="24"/>
          <w:szCs w:val="24"/>
          <w:highlight w:val="none"/>
          <w:lang w:val="en-US" w:eastAsia="zh-CN"/>
        </w:rPr>
        <w:t>包干价含税</w:t>
      </w:r>
      <w:r>
        <w:rPr>
          <w:rFonts w:hint="eastAsia" w:ascii="仿宋" w:hAnsi="仿宋" w:eastAsia="仿宋" w:cs="仿宋"/>
          <w:sz w:val="24"/>
          <w:szCs w:val="24"/>
          <w:highlight w:val="none"/>
        </w:rPr>
        <w:t>。 </w:t>
      </w:r>
    </w:p>
    <w:p w14:paraId="160F52E7">
      <w:pPr>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rPr>
        <w:t xml:space="preserve">    2.甲方应于</w:t>
      </w:r>
      <w:r>
        <w:rPr>
          <w:rFonts w:hint="eastAsia" w:ascii="仿宋" w:hAnsi="仿宋" w:eastAsia="仿宋" w:cs="仿宋"/>
          <w:sz w:val="24"/>
          <w:szCs w:val="24"/>
          <w:highlight w:val="none"/>
          <w:lang w:val="en-US" w:eastAsia="zh-CN"/>
        </w:rPr>
        <w:t>乙方进场审计</w:t>
      </w:r>
      <w:r>
        <w:rPr>
          <w:rFonts w:hint="eastAsia" w:ascii="仿宋" w:hAnsi="仿宋" w:eastAsia="仿宋" w:cs="仿宋"/>
          <w:sz w:val="24"/>
          <w:szCs w:val="24"/>
          <w:highlight w:val="none"/>
        </w:rPr>
        <w:t>之日起预付</w:t>
      </w:r>
      <w:r>
        <w:rPr>
          <w:rFonts w:hint="eastAsia" w:ascii="仿宋" w:hAnsi="仿宋" w:eastAsia="仿宋" w:cs="仿宋"/>
          <w:sz w:val="24"/>
          <w:szCs w:val="24"/>
          <w:highlight w:val="none"/>
          <w:lang w:val="en-US" w:eastAsia="zh-CN"/>
        </w:rPr>
        <w:t xml:space="preserve">   % </w:t>
      </w:r>
      <w:r>
        <w:rPr>
          <w:rFonts w:hint="eastAsia" w:ascii="仿宋" w:hAnsi="仿宋" w:eastAsia="仿宋" w:cs="仿宋"/>
          <w:sz w:val="24"/>
          <w:szCs w:val="24"/>
          <w:highlight w:val="none"/>
        </w:rPr>
        <w:t>的审计费用，其余款项于乙方收到审计报告及发票后</w:t>
      </w:r>
      <w:r>
        <w:rPr>
          <w:rFonts w:hint="eastAsia" w:ascii="仿宋" w:hAnsi="仿宋" w:eastAsia="仿宋" w:cs="仿宋"/>
          <w:sz w:val="24"/>
          <w:szCs w:val="24"/>
          <w:highlight w:val="none"/>
          <w:lang w:val="en-US" w:eastAsia="zh-CN"/>
        </w:rPr>
        <w:t>5</w:t>
      </w:r>
      <w:r>
        <w:rPr>
          <w:rFonts w:hint="eastAsia" w:ascii="仿宋" w:hAnsi="仿宋" w:eastAsia="仿宋" w:cs="仿宋"/>
          <w:sz w:val="24"/>
          <w:szCs w:val="24"/>
          <w:highlight w:val="none"/>
        </w:rPr>
        <w:t>个工作日内进行支付。</w:t>
      </w:r>
      <w:r>
        <w:rPr>
          <w:rFonts w:hint="eastAsia" w:ascii="仿宋" w:hAnsi="仿宋" w:eastAsia="仿宋" w:cs="仿宋"/>
          <w:sz w:val="24"/>
          <w:szCs w:val="24"/>
          <w:highlight w:val="none"/>
          <w:lang w:val="en-US" w:eastAsia="zh-CN"/>
        </w:rPr>
        <w:t>甲方每次支付前乙方应先向甲方开具等额、有效的增值税专用发票，否则甲方付款期限顺延且不承担逾期支付责任。</w:t>
      </w:r>
    </w:p>
    <w:p w14:paraId="2390F8C6">
      <w:pPr>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    3.如果由于无法预见的</w:t>
      </w:r>
      <w:r>
        <w:rPr>
          <w:rFonts w:hint="eastAsia" w:ascii="仿宋" w:hAnsi="仿宋" w:eastAsia="仿宋" w:cs="仿宋"/>
          <w:sz w:val="24"/>
          <w:szCs w:val="24"/>
          <w:highlight w:val="none"/>
          <w:lang w:val="en-US" w:eastAsia="zh-CN"/>
        </w:rPr>
        <w:t>甲方</w:t>
      </w:r>
      <w:r>
        <w:rPr>
          <w:rFonts w:hint="eastAsia" w:ascii="仿宋" w:hAnsi="仿宋" w:eastAsia="仿宋" w:cs="仿宋"/>
          <w:sz w:val="24"/>
          <w:szCs w:val="24"/>
          <w:highlight w:val="none"/>
        </w:rPr>
        <w:t>原因，致使乙方从事本约定书所涉及的审计服务时间时间较本约定书签订时预计的时间有明显的增加或减少时，甲乙双方应通过协商，相应的调整审计费用。</w:t>
      </w:r>
    </w:p>
    <w:p w14:paraId="5DBD4C8E">
      <w:pPr>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    4.由于无法预见的</w:t>
      </w:r>
      <w:r>
        <w:rPr>
          <w:rFonts w:hint="eastAsia" w:ascii="仿宋" w:hAnsi="仿宋" w:eastAsia="仿宋" w:cs="仿宋"/>
          <w:sz w:val="24"/>
          <w:szCs w:val="24"/>
          <w:highlight w:val="none"/>
          <w:lang w:val="en-US" w:eastAsia="zh-CN"/>
        </w:rPr>
        <w:t>甲方</w:t>
      </w:r>
      <w:r>
        <w:rPr>
          <w:rFonts w:hint="eastAsia" w:ascii="仿宋" w:hAnsi="仿宋" w:eastAsia="仿宋" w:cs="仿宋"/>
          <w:sz w:val="24"/>
          <w:szCs w:val="24"/>
          <w:highlight w:val="none"/>
        </w:rPr>
        <w:t>原因，致使乙方人员抵达甲方工作现场后，本约定书所涉及的审计服务中止，甲方不得要求退还预付的审计费用；如上述情况发生于乙方人员完成现场审计工作，并离开甲方的工作场所之后，甲方应另行向乙方支付人民币50%的补偿费，该补偿费应于甲方收到乙方的收款通知之日起</w:t>
      </w:r>
      <w:r>
        <w:rPr>
          <w:rFonts w:hint="eastAsia" w:ascii="仿宋" w:hAnsi="仿宋" w:eastAsia="仿宋" w:cs="仿宋"/>
          <w:sz w:val="24"/>
          <w:szCs w:val="24"/>
          <w:highlight w:val="none"/>
          <w:lang w:val="en-US" w:eastAsia="zh-CN"/>
        </w:rPr>
        <w:t>5</w:t>
      </w:r>
      <w:r>
        <w:rPr>
          <w:rFonts w:hint="eastAsia" w:ascii="仿宋" w:hAnsi="仿宋" w:eastAsia="仿宋" w:cs="仿宋"/>
          <w:sz w:val="24"/>
          <w:szCs w:val="24"/>
          <w:highlight w:val="none"/>
        </w:rPr>
        <w:t>日内支付。</w:t>
      </w:r>
    </w:p>
    <w:p w14:paraId="3A0537FD">
      <w:pPr>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rPr>
        <w:t xml:space="preserve">    5.甲方与本次审计有关的其它费用（包括交通费、食宿费用等）由甲方承担。</w:t>
      </w:r>
    </w:p>
    <w:p w14:paraId="332DF7C1">
      <w:pPr>
        <w:rPr>
          <w:rFonts w:hint="eastAsia" w:ascii="仿宋" w:hAnsi="仿宋" w:eastAsia="仿宋" w:cs="仿宋"/>
          <w:sz w:val="24"/>
          <w:szCs w:val="24"/>
          <w:highlight w:val="none"/>
        </w:rPr>
      </w:pPr>
      <w:r>
        <w:rPr>
          <w:rFonts w:hint="eastAsia" w:ascii="仿宋" w:hAnsi="仿宋" w:eastAsia="仿宋" w:cs="仿宋"/>
          <w:sz w:val="24"/>
          <w:szCs w:val="24"/>
          <w:highlight w:val="none"/>
        </w:rPr>
        <w:t>五、审计报告和审计报告的使用</w:t>
      </w:r>
    </w:p>
    <w:p w14:paraId="6818E588">
      <w:pPr>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    1.乙方按照《中国注册会计师审计准则》要求出具专项审计报告。</w:t>
      </w:r>
    </w:p>
    <w:p w14:paraId="735DD32D">
      <w:pPr>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    2.乙方向甲方致送专项审计报告一式三份。</w:t>
      </w:r>
    </w:p>
    <w:p w14:paraId="55422F4C">
      <w:pPr>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    3.按照本约定书约定乙方出具的清</w:t>
      </w:r>
      <w:r>
        <w:rPr>
          <w:rFonts w:hint="eastAsia" w:ascii="仿宋" w:hAnsi="仿宋" w:eastAsia="仿宋" w:cs="仿宋"/>
          <w:sz w:val="24"/>
          <w:szCs w:val="24"/>
          <w:highlight w:val="none"/>
          <w:lang w:val="en-US" w:eastAsia="zh-CN"/>
        </w:rPr>
        <w:t>査</w:t>
      </w:r>
      <w:r>
        <w:rPr>
          <w:rFonts w:hint="eastAsia" w:ascii="仿宋" w:hAnsi="仿宋" w:eastAsia="仿宋" w:cs="仿宋"/>
          <w:sz w:val="24"/>
          <w:szCs w:val="24"/>
          <w:highlight w:val="none"/>
        </w:rPr>
        <w:t>审计报告仅供甲方了解重庆知天而作农业科技研究院有限公司截至202</w:t>
      </w:r>
      <w:r>
        <w:rPr>
          <w:rFonts w:hint="eastAsia" w:ascii="仿宋" w:hAnsi="仿宋" w:eastAsia="仿宋" w:cs="仿宋"/>
          <w:sz w:val="24"/>
          <w:szCs w:val="24"/>
          <w:highlight w:val="none"/>
          <w:lang w:val="en-US" w:eastAsia="zh-CN"/>
        </w:rPr>
        <w:t>5</w:t>
      </w:r>
      <w:r>
        <w:rPr>
          <w:rFonts w:hint="eastAsia" w:ascii="仿宋" w:hAnsi="仿宋" w:eastAsia="仿宋" w:cs="仿宋"/>
          <w:sz w:val="24"/>
          <w:szCs w:val="24"/>
          <w:highlight w:val="none"/>
        </w:rPr>
        <w:t>年3月31日账面资产、负债及权益情况，并以此作为</w:t>
      </w:r>
      <w:r>
        <w:rPr>
          <w:rFonts w:hint="eastAsia" w:ascii="仿宋" w:hAnsi="仿宋" w:eastAsia="仿宋" w:cs="仿宋"/>
          <w:sz w:val="24"/>
          <w:szCs w:val="24"/>
          <w:highlight w:val="none"/>
          <w:lang w:val="en-US" w:eastAsia="zh-CN"/>
        </w:rPr>
        <w:t>股权转让</w:t>
      </w:r>
      <w:r>
        <w:rPr>
          <w:rFonts w:hint="eastAsia" w:ascii="仿宋" w:hAnsi="仿宋" w:eastAsia="仿宋" w:cs="仿宋"/>
          <w:sz w:val="24"/>
          <w:szCs w:val="24"/>
          <w:highlight w:val="none"/>
        </w:rPr>
        <w:t>的参考依据，不得用于其他任何目的，不得对外公开。</w:t>
      </w:r>
    </w:p>
    <w:p w14:paraId="48AFF1C1">
      <w:pPr>
        <w:rPr>
          <w:rFonts w:hint="eastAsia" w:ascii="仿宋" w:hAnsi="仿宋" w:eastAsia="仿宋" w:cs="仿宋"/>
          <w:sz w:val="24"/>
          <w:szCs w:val="24"/>
          <w:highlight w:val="none"/>
        </w:rPr>
      </w:pPr>
      <w:r>
        <w:rPr>
          <w:rFonts w:hint="eastAsia" w:ascii="仿宋" w:hAnsi="仿宋" w:eastAsia="仿宋" w:cs="仿宋"/>
          <w:sz w:val="24"/>
          <w:szCs w:val="24"/>
          <w:highlight w:val="none"/>
        </w:rPr>
        <w:t>六、本约定书的有效时间 </w:t>
      </w:r>
    </w:p>
    <w:p w14:paraId="6925AF94">
      <w:pPr>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    本约定书签署之日起生效，并在双方履行完毕本约定书约定的所有义务后终止。 </w:t>
      </w:r>
    </w:p>
    <w:p w14:paraId="510431C4">
      <w:pPr>
        <w:rPr>
          <w:rFonts w:hint="eastAsia" w:ascii="仿宋" w:hAnsi="仿宋" w:eastAsia="仿宋" w:cs="仿宋"/>
          <w:sz w:val="24"/>
          <w:szCs w:val="24"/>
          <w:highlight w:val="none"/>
        </w:rPr>
      </w:pPr>
      <w:r>
        <w:rPr>
          <w:rFonts w:hint="eastAsia" w:ascii="仿宋" w:hAnsi="仿宋" w:eastAsia="仿宋" w:cs="仿宋"/>
          <w:sz w:val="24"/>
          <w:szCs w:val="24"/>
          <w:highlight w:val="none"/>
        </w:rPr>
        <w:t>七、约定事项的变更</w:t>
      </w:r>
    </w:p>
    <w:p w14:paraId="0B17F602">
      <w:pPr>
        <w:rPr>
          <w:rFonts w:hint="eastAsia" w:ascii="仿宋" w:hAnsi="仿宋" w:eastAsia="仿宋" w:cs="仿宋"/>
          <w:sz w:val="24"/>
          <w:szCs w:val="24"/>
          <w:highlight w:val="none"/>
        </w:rPr>
      </w:pPr>
      <w:r>
        <w:rPr>
          <w:rFonts w:hint="eastAsia" w:ascii="仿宋" w:hAnsi="仿宋" w:eastAsia="仿宋" w:cs="仿宋"/>
          <w:sz w:val="24"/>
          <w:szCs w:val="24"/>
          <w:highlight w:val="none"/>
        </w:rPr>
        <w:t>   如果出现不可预见的情况，影响审计工作的如期完成，或需要提前出具专项审计报告，甲、乙双方均可要求变更约定事项，但应及时通知对方，并由双方协商解决。 </w:t>
      </w:r>
    </w:p>
    <w:p w14:paraId="6DADE522">
      <w:pPr>
        <w:rPr>
          <w:rFonts w:hint="eastAsia" w:ascii="仿宋" w:hAnsi="仿宋" w:eastAsia="仿宋" w:cs="仿宋"/>
          <w:sz w:val="24"/>
          <w:szCs w:val="24"/>
          <w:highlight w:val="none"/>
        </w:rPr>
      </w:pPr>
      <w:r>
        <w:rPr>
          <w:rFonts w:hint="eastAsia" w:ascii="仿宋" w:hAnsi="仿宋" w:eastAsia="仿宋" w:cs="仿宋"/>
          <w:sz w:val="24"/>
          <w:szCs w:val="24"/>
          <w:highlight w:val="none"/>
        </w:rPr>
        <w:t>八、终止条款</w:t>
      </w:r>
    </w:p>
    <w:p w14:paraId="0166DA6E">
      <w:pPr>
        <w:rPr>
          <w:rFonts w:hint="eastAsia" w:ascii="仿宋" w:hAnsi="仿宋" w:eastAsia="仿宋" w:cs="仿宋"/>
          <w:sz w:val="24"/>
          <w:szCs w:val="24"/>
          <w:highlight w:val="none"/>
        </w:rPr>
      </w:pPr>
      <w:r>
        <w:rPr>
          <w:rFonts w:hint="eastAsia" w:ascii="仿宋" w:hAnsi="仿宋" w:eastAsia="仿宋" w:cs="仿宋"/>
          <w:sz w:val="24"/>
          <w:szCs w:val="24"/>
          <w:highlight w:val="none"/>
        </w:rPr>
        <w:t>   1.如果根据乙方的职业道德及其它有关专业职责、适用的法律法规或其他任何法定的要求，乙方认为已不适宜继续为甲方提供本约定书约定的审计服务，乙方可以采取向甲方提出合理通知的方式终止履行本约定书。</w:t>
      </w:r>
    </w:p>
    <w:p w14:paraId="352F8C31">
      <w:pPr>
        <w:rPr>
          <w:rFonts w:hint="eastAsia" w:ascii="仿宋" w:hAnsi="仿宋" w:eastAsia="仿宋" w:cs="仿宋"/>
          <w:sz w:val="24"/>
          <w:szCs w:val="24"/>
          <w:highlight w:val="none"/>
        </w:rPr>
      </w:pPr>
      <w:r>
        <w:rPr>
          <w:rFonts w:hint="eastAsia" w:ascii="仿宋" w:hAnsi="仿宋" w:eastAsia="仿宋" w:cs="仿宋"/>
          <w:sz w:val="24"/>
          <w:szCs w:val="24"/>
          <w:highlight w:val="none"/>
        </w:rPr>
        <w:t>   2.本约定书终止的情况下，乙方有权就其于终止之日前对约定的审计服务项目所做的工作收取合理的费用。</w:t>
      </w:r>
    </w:p>
    <w:p w14:paraId="07A5E3DA">
      <w:pPr>
        <w:rPr>
          <w:rFonts w:hint="eastAsia" w:ascii="仿宋" w:hAnsi="仿宋" w:eastAsia="仿宋" w:cs="仿宋"/>
          <w:sz w:val="24"/>
          <w:szCs w:val="24"/>
          <w:highlight w:val="none"/>
        </w:rPr>
      </w:pPr>
      <w:r>
        <w:rPr>
          <w:rFonts w:hint="eastAsia" w:ascii="仿宋" w:hAnsi="仿宋" w:eastAsia="仿宋" w:cs="仿宋"/>
          <w:sz w:val="24"/>
          <w:szCs w:val="24"/>
          <w:highlight w:val="none"/>
        </w:rPr>
        <w:t>九、违约责任</w:t>
      </w:r>
    </w:p>
    <w:p w14:paraId="49971579">
      <w:pPr>
        <w:rPr>
          <w:rFonts w:hint="eastAsia" w:ascii="仿宋" w:hAnsi="仿宋" w:eastAsia="仿宋" w:cs="仿宋"/>
          <w:sz w:val="24"/>
          <w:szCs w:val="24"/>
          <w:highlight w:val="none"/>
        </w:rPr>
      </w:pPr>
      <w:r>
        <w:rPr>
          <w:rFonts w:hint="eastAsia" w:ascii="仿宋" w:hAnsi="仿宋" w:eastAsia="仿宋" w:cs="仿宋"/>
          <w:sz w:val="24"/>
          <w:szCs w:val="24"/>
          <w:highlight w:val="none"/>
        </w:rPr>
        <w:t> 甲、乙双方按照《中华人民共和国民法典》（合同编）的规定承担违约责任。</w:t>
      </w:r>
    </w:p>
    <w:p w14:paraId="163DC015">
      <w:pPr>
        <w:rPr>
          <w:rFonts w:hint="eastAsia" w:ascii="仿宋" w:hAnsi="仿宋" w:eastAsia="仿宋" w:cs="仿宋"/>
          <w:sz w:val="24"/>
          <w:szCs w:val="24"/>
          <w:highlight w:val="none"/>
        </w:rPr>
      </w:pPr>
      <w:r>
        <w:rPr>
          <w:rFonts w:hint="eastAsia" w:ascii="仿宋" w:hAnsi="仿宋" w:eastAsia="仿宋" w:cs="仿宋"/>
          <w:sz w:val="24"/>
          <w:szCs w:val="24"/>
          <w:highlight w:val="none"/>
        </w:rPr>
        <w:t>十、适用法律和争议解决</w:t>
      </w:r>
    </w:p>
    <w:p w14:paraId="6CF2045A">
      <w:pPr>
        <w:rPr>
          <w:rFonts w:hint="eastAsia" w:ascii="仿宋" w:hAnsi="仿宋" w:eastAsia="仿宋" w:cs="仿宋"/>
          <w:sz w:val="24"/>
          <w:szCs w:val="24"/>
          <w:highlight w:val="none"/>
        </w:rPr>
      </w:pPr>
      <w:r>
        <w:rPr>
          <w:rFonts w:hint="eastAsia" w:ascii="仿宋" w:hAnsi="仿宋" w:eastAsia="仿宋" w:cs="仿宋"/>
          <w:sz w:val="24"/>
          <w:szCs w:val="24"/>
          <w:highlight w:val="none"/>
        </w:rPr>
        <w:t>  本约定书的所有方面均适用中华人民共和国法律进行解释并受其约束。本约定书履行地为乙方出具审计报告所在地，因本约定书引起的或与本约定书有关的任何纠纷和争议（包括关于本约定书条款的存在、效力或终止，或无效之后果），双方协商确定采取以下第（1） 种方式予以解决：</w:t>
      </w:r>
    </w:p>
    <w:p w14:paraId="6F93440C">
      <w:pPr>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  （1）向</w:t>
      </w:r>
      <w:r>
        <w:rPr>
          <w:rFonts w:hint="eastAsia" w:ascii="仿宋" w:hAnsi="仿宋" w:eastAsia="仿宋" w:cs="仿宋"/>
          <w:sz w:val="24"/>
          <w:szCs w:val="24"/>
          <w:highlight w:val="none"/>
          <w:lang w:val="en-US" w:eastAsia="zh-CN"/>
        </w:rPr>
        <w:t>甲方所在地</w:t>
      </w:r>
      <w:r>
        <w:rPr>
          <w:rFonts w:hint="eastAsia" w:ascii="仿宋" w:hAnsi="仿宋" w:eastAsia="仿宋" w:cs="仿宋"/>
          <w:sz w:val="24"/>
          <w:szCs w:val="24"/>
          <w:highlight w:val="none"/>
        </w:rPr>
        <w:t>有管辖权的人民法院提起诉讼；</w:t>
      </w:r>
    </w:p>
    <w:p w14:paraId="4FE370B5">
      <w:pPr>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  （2）提交重庆市仲裁委员会仲裁。 </w:t>
      </w:r>
    </w:p>
    <w:p w14:paraId="3A73BF03">
      <w:pPr>
        <w:rPr>
          <w:rFonts w:hint="eastAsia" w:ascii="仿宋" w:hAnsi="仿宋" w:eastAsia="仿宋" w:cs="仿宋"/>
          <w:sz w:val="24"/>
          <w:szCs w:val="24"/>
          <w:highlight w:val="none"/>
        </w:rPr>
      </w:pPr>
      <w:r>
        <w:rPr>
          <w:rFonts w:hint="eastAsia" w:ascii="仿宋" w:hAnsi="仿宋" w:eastAsia="仿宋" w:cs="仿宋"/>
          <w:sz w:val="24"/>
          <w:szCs w:val="24"/>
          <w:highlight w:val="none"/>
        </w:rPr>
        <w:t>十一、双方对其他有关事项的约定</w:t>
      </w:r>
    </w:p>
    <w:p w14:paraId="73B70D12">
      <w:pPr>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  （1）在与甲方协商的基础上，接受甲方委托对个别经济事项出具经济鉴证证明，收费由甲、乙方双方另行协商。</w:t>
      </w:r>
    </w:p>
    <w:p w14:paraId="6F44F823">
      <w:pPr>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  （2）本约定书一式四份，甲、乙双方各执两份，具有同等法律效力。 本约定书自</w:t>
      </w:r>
      <w:r>
        <w:rPr>
          <w:rFonts w:hint="eastAsia" w:ascii="仿宋" w:hAnsi="仿宋" w:eastAsia="仿宋" w:cs="仿宋"/>
          <w:sz w:val="24"/>
          <w:szCs w:val="24"/>
          <w:highlight w:val="none"/>
          <w:lang w:val="en-US" w:eastAsia="zh-CN"/>
        </w:rPr>
        <w:t>双</w:t>
      </w:r>
      <w:r>
        <w:rPr>
          <w:rFonts w:hint="eastAsia" w:ascii="仿宋" w:hAnsi="仿宋" w:eastAsia="仿宋" w:cs="仿宋"/>
          <w:sz w:val="24"/>
          <w:szCs w:val="24"/>
          <w:highlight w:val="none"/>
        </w:rPr>
        <w:t>方法定代表人</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lang w:val="en-US" w:eastAsia="zh-CN"/>
        </w:rPr>
        <w:t>负责人</w:t>
      </w:r>
      <w:r>
        <w:rPr>
          <w:rFonts w:hint="eastAsia" w:ascii="仿宋" w:hAnsi="仿宋" w:eastAsia="仿宋" w:cs="仿宋"/>
          <w:sz w:val="24"/>
          <w:szCs w:val="24"/>
          <w:highlight w:val="none"/>
        </w:rPr>
        <w:t>或授权代表签字并加盖公章后生效。</w:t>
      </w:r>
    </w:p>
    <w:p w14:paraId="513F95A2">
      <w:pPr>
        <w:rPr>
          <w:rFonts w:hint="eastAsia" w:ascii="仿宋" w:hAnsi="仿宋" w:eastAsia="仿宋" w:cs="仿宋"/>
          <w:sz w:val="24"/>
          <w:szCs w:val="24"/>
          <w:highlight w:val="none"/>
        </w:rPr>
      </w:pPr>
    </w:p>
    <w:p w14:paraId="5A86EBA7">
      <w:pPr>
        <w:ind w:left="6300" w:hanging="7200" w:hangingChars="3000"/>
        <w:rPr>
          <w:rFonts w:hint="default" w:ascii="仿宋" w:hAnsi="仿宋" w:eastAsia="仿宋" w:cs="仿宋"/>
          <w:sz w:val="24"/>
          <w:szCs w:val="24"/>
          <w:highlight w:val="none"/>
          <w:lang w:val="en-US" w:eastAsia="zh-CN"/>
        </w:rPr>
      </w:pPr>
      <w:r>
        <w:rPr>
          <w:rFonts w:hint="eastAsia" w:ascii="仿宋" w:hAnsi="仿宋" w:eastAsia="仿宋" w:cs="仿宋"/>
          <w:sz w:val="24"/>
          <w:szCs w:val="24"/>
          <w:highlight w:val="none"/>
        </w:rPr>
        <w:t xml:space="preserve">甲方（盖章）：重庆绿发资产经营管理有限公司    </w:t>
      </w:r>
      <w:r>
        <w:rPr>
          <w:rFonts w:hint="eastAsia" w:ascii="仿宋" w:hAnsi="仿宋" w:eastAsia="仿宋" w:cs="仿宋"/>
          <w:sz w:val="24"/>
          <w:szCs w:val="24"/>
          <w:highlight w:val="none"/>
          <w:lang w:val="en-US" w:eastAsia="zh-CN"/>
        </w:rPr>
        <w:t xml:space="preserve"> </w:t>
      </w:r>
      <w:r>
        <w:rPr>
          <w:rFonts w:hint="eastAsia" w:ascii="仿宋" w:hAnsi="仿宋" w:eastAsia="仿宋" w:cs="仿宋"/>
          <w:sz w:val="24"/>
          <w:szCs w:val="24"/>
          <w:highlight w:val="none"/>
        </w:rPr>
        <w:t>乙方（盖章）：</w:t>
      </w:r>
      <w:r>
        <w:rPr>
          <w:rFonts w:hint="eastAsia" w:ascii="仿宋" w:hAnsi="仿宋" w:eastAsia="仿宋" w:cs="仿宋"/>
          <w:sz w:val="24"/>
          <w:szCs w:val="24"/>
          <w:highlight w:val="none"/>
          <w:lang w:val="en-US" w:eastAsia="zh-CN"/>
        </w:rPr>
        <w:t xml:space="preserve">                  </w:t>
      </w:r>
    </w:p>
    <w:p w14:paraId="769A54F3">
      <w:pPr>
        <w:rPr>
          <w:rFonts w:hint="eastAsia" w:ascii="仿宋" w:hAnsi="仿宋" w:eastAsia="仿宋" w:cs="仿宋"/>
          <w:sz w:val="24"/>
          <w:szCs w:val="24"/>
          <w:highlight w:val="none"/>
        </w:rPr>
      </w:pPr>
    </w:p>
    <w:p w14:paraId="43AD8F74">
      <w:pPr>
        <w:rPr>
          <w:rFonts w:hint="eastAsia" w:ascii="仿宋" w:hAnsi="仿宋" w:eastAsia="仿宋" w:cs="仿宋"/>
          <w:sz w:val="24"/>
          <w:szCs w:val="24"/>
          <w:highlight w:val="none"/>
        </w:rPr>
      </w:pPr>
      <w:r>
        <w:rPr>
          <w:rFonts w:hint="eastAsia" w:ascii="仿宋" w:hAnsi="仿宋" w:eastAsia="仿宋" w:cs="仿宋"/>
          <w:sz w:val="24"/>
          <w:szCs w:val="24"/>
          <w:highlight w:val="none"/>
        </w:rPr>
        <w:t>签约人：                                      签约人：</w:t>
      </w:r>
    </w:p>
    <w:p w14:paraId="72E55C26">
      <w:pPr>
        <w:rPr>
          <w:rFonts w:hint="eastAsia" w:ascii="仿宋" w:hAnsi="仿宋" w:eastAsia="仿宋" w:cs="仿宋"/>
          <w:sz w:val="24"/>
          <w:szCs w:val="24"/>
          <w:highlight w:val="none"/>
        </w:rPr>
      </w:pPr>
    </w:p>
    <w:p w14:paraId="7A5E7ED0">
      <w:pPr>
        <w:rPr>
          <w:rFonts w:hint="eastAsia" w:ascii="仿宋" w:hAnsi="仿宋" w:eastAsia="仿宋" w:cs="仿宋"/>
          <w:sz w:val="24"/>
          <w:szCs w:val="24"/>
          <w:highlight w:val="none"/>
        </w:rPr>
      </w:pPr>
      <w:r>
        <w:rPr>
          <w:rFonts w:hint="eastAsia" w:ascii="仿宋" w:hAnsi="仿宋" w:eastAsia="仿宋" w:cs="仿宋"/>
          <w:sz w:val="24"/>
          <w:szCs w:val="24"/>
          <w:highlight w:val="none"/>
        </w:rPr>
        <w:t>日期： 202</w:t>
      </w:r>
      <w:r>
        <w:rPr>
          <w:rFonts w:hint="eastAsia" w:ascii="仿宋" w:hAnsi="仿宋" w:eastAsia="仿宋" w:cs="仿宋"/>
          <w:sz w:val="24"/>
          <w:szCs w:val="24"/>
          <w:highlight w:val="none"/>
          <w:lang w:val="en-US" w:eastAsia="zh-CN"/>
        </w:rPr>
        <w:t>5</w:t>
      </w:r>
      <w:r>
        <w:rPr>
          <w:rFonts w:hint="eastAsia" w:ascii="仿宋" w:hAnsi="仿宋" w:eastAsia="仿宋" w:cs="仿宋"/>
          <w:sz w:val="24"/>
          <w:szCs w:val="24"/>
          <w:highlight w:val="none"/>
        </w:rPr>
        <w:t>年  月   日                       日期：202</w:t>
      </w:r>
      <w:r>
        <w:rPr>
          <w:rFonts w:hint="eastAsia" w:ascii="仿宋" w:hAnsi="仿宋" w:eastAsia="仿宋" w:cs="仿宋"/>
          <w:sz w:val="24"/>
          <w:szCs w:val="24"/>
          <w:highlight w:val="none"/>
          <w:lang w:val="en-US" w:eastAsia="zh-CN"/>
        </w:rPr>
        <w:t>5</w:t>
      </w:r>
      <w:r>
        <w:rPr>
          <w:rFonts w:hint="eastAsia" w:ascii="仿宋" w:hAnsi="仿宋" w:eastAsia="仿宋" w:cs="仿宋"/>
          <w:sz w:val="24"/>
          <w:szCs w:val="24"/>
          <w:highlight w:val="none"/>
        </w:rPr>
        <w:t xml:space="preserve">年  月  日    </w:t>
      </w:r>
    </w:p>
    <w:p w14:paraId="790318FE">
      <w:pPr>
        <w:spacing w:line="500" w:lineRule="exact"/>
        <w:rPr>
          <w:rFonts w:hint="eastAsia" w:ascii="仿宋" w:hAnsi="仿宋" w:eastAsia="仿宋" w:cs="仿宋"/>
          <w:sz w:val="24"/>
          <w:szCs w:val="24"/>
          <w:highlight w:val="none"/>
        </w:rPr>
      </w:pPr>
    </w:p>
    <w:p w14:paraId="22A978F3">
      <w:pPr>
        <w:rPr>
          <w:rFonts w:hint="eastAsia" w:ascii="仿宋" w:hAnsi="仿宋" w:eastAsia="仿宋" w:cs="仿宋"/>
          <w:sz w:val="24"/>
          <w:szCs w:val="24"/>
          <w:highlight w:val="none"/>
        </w:rPr>
      </w:pPr>
    </w:p>
    <w:p w14:paraId="1C7D1999">
      <w:pPr>
        <w:widowControl/>
        <w:jc w:val="left"/>
        <w:rPr>
          <w:rFonts w:hint="eastAsia" w:ascii="仿宋" w:hAnsi="仿宋" w:eastAsia="仿宋" w:cs="仿宋"/>
          <w:b/>
          <w:color w:val="auto"/>
          <w:kern w:val="44"/>
          <w:sz w:val="44"/>
          <w:highlight w:val="none"/>
        </w:rPr>
      </w:pPr>
      <w:r>
        <w:rPr>
          <w:rFonts w:hint="eastAsia" w:ascii="仿宋" w:hAnsi="仿宋" w:eastAsia="仿宋" w:cs="仿宋"/>
          <w:color w:val="auto"/>
          <w:highlight w:val="none"/>
        </w:rPr>
        <w:br w:type="page"/>
      </w:r>
    </w:p>
    <w:p w14:paraId="47975080">
      <w:pPr>
        <w:pStyle w:val="2"/>
        <w:spacing w:line="240" w:lineRule="auto"/>
        <w:ind w:firstLine="883"/>
        <w:jc w:val="center"/>
        <w:rPr>
          <w:rFonts w:hint="eastAsia" w:ascii="仿宋" w:hAnsi="仿宋" w:eastAsia="仿宋" w:cs="仿宋"/>
          <w:color w:val="auto"/>
          <w:highlight w:val="none"/>
        </w:rPr>
      </w:pPr>
      <w:r>
        <w:rPr>
          <w:rFonts w:hint="eastAsia" w:ascii="仿宋" w:hAnsi="仿宋" w:eastAsia="仿宋" w:cs="仿宋"/>
          <w:color w:val="auto"/>
          <w:highlight w:val="none"/>
        </w:rPr>
        <w:t>第七篇  响应文件编制要求</w:t>
      </w:r>
      <w:bookmarkEnd w:id="150"/>
      <w:bookmarkEnd w:id="151"/>
    </w:p>
    <w:p w14:paraId="12F81738">
      <w:pPr>
        <w:snapToGrid w:val="0"/>
        <w:ind w:firstLine="643"/>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一、经济部分</w:t>
      </w:r>
    </w:p>
    <w:p w14:paraId="529F7537">
      <w:pPr>
        <w:snapToGrid w:val="0"/>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（一）报价函</w:t>
      </w:r>
    </w:p>
    <w:p w14:paraId="7A45FA41">
      <w:pPr>
        <w:snapToGrid w:val="0"/>
        <w:ind w:firstLine="643"/>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二、服务部分</w:t>
      </w:r>
    </w:p>
    <w:p w14:paraId="699E9030">
      <w:pPr>
        <w:snapToGrid w:val="0"/>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w:t>
      </w:r>
      <w:r>
        <w:rPr>
          <w:rFonts w:hint="eastAsia" w:ascii="仿宋" w:hAnsi="仿宋" w:eastAsia="仿宋" w:cs="仿宋"/>
          <w:color w:val="auto"/>
          <w:sz w:val="24"/>
          <w:szCs w:val="28"/>
          <w:highlight w:val="none"/>
        </w:rPr>
        <w:t>服务要求应答</w:t>
      </w:r>
    </w:p>
    <w:p w14:paraId="5CCFD66C">
      <w:pPr>
        <w:snapToGrid w:val="0"/>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w:t>
      </w:r>
      <w:r>
        <w:rPr>
          <w:rFonts w:hint="eastAsia" w:ascii="仿宋" w:hAnsi="仿宋" w:eastAsia="仿宋" w:cs="仿宋"/>
          <w:color w:val="auto"/>
          <w:sz w:val="24"/>
          <w:szCs w:val="28"/>
          <w:highlight w:val="none"/>
        </w:rPr>
        <w:t>服务响应偏离表</w:t>
      </w:r>
    </w:p>
    <w:p w14:paraId="2C61E3B3">
      <w:pPr>
        <w:snapToGrid w:val="0"/>
        <w:ind w:firstLine="643"/>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三、商务文件</w:t>
      </w:r>
    </w:p>
    <w:p w14:paraId="42691B2D">
      <w:pPr>
        <w:snapToGrid w:val="0"/>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（一）服务要求响应情况：服务时间、服务地点、质量保证、售后服务条款等。</w:t>
      </w:r>
    </w:p>
    <w:p w14:paraId="55445C52">
      <w:pPr>
        <w:snapToGrid w:val="0"/>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二</w:t>
      </w:r>
      <w:r>
        <w:rPr>
          <w:rFonts w:hint="eastAsia" w:ascii="仿宋" w:hAnsi="仿宋" w:eastAsia="仿宋" w:cs="仿宋"/>
          <w:color w:val="auto"/>
          <w:sz w:val="24"/>
          <w:szCs w:val="24"/>
          <w:highlight w:val="none"/>
        </w:rPr>
        <w:t>）商务响应偏离表</w:t>
      </w:r>
    </w:p>
    <w:p w14:paraId="3A96A0DD">
      <w:pPr>
        <w:snapToGrid w:val="0"/>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三</w:t>
      </w:r>
      <w:r>
        <w:rPr>
          <w:rFonts w:hint="eastAsia" w:ascii="仿宋" w:hAnsi="仿宋" w:eastAsia="仿宋" w:cs="仿宋"/>
          <w:color w:val="auto"/>
          <w:sz w:val="24"/>
          <w:szCs w:val="24"/>
          <w:highlight w:val="none"/>
        </w:rPr>
        <w:t>）其它优惠承诺</w:t>
      </w:r>
    </w:p>
    <w:p w14:paraId="3FA6076A">
      <w:pPr>
        <w:snapToGrid w:val="0"/>
        <w:ind w:firstLine="643"/>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四、资格证明文件</w:t>
      </w:r>
    </w:p>
    <w:p w14:paraId="5F775223">
      <w:pPr>
        <w:snapToGrid w:val="0"/>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（一）法人营业执照（副本）或事业单位法人证书（副本）或个体工商户营业执照或有效的自然人身份证明或社会团体法人登记证书复印件</w:t>
      </w:r>
    </w:p>
    <w:p w14:paraId="7F96E061">
      <w:pPr>
        <w:snapToGrid w:val="0"/>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（二）法定代表人身份证明书（格式）</w:t>
      </w:r>
    </w:p>
    <w:p w14:paraId="5A2AD702">
      <w:pPr>
        <w:snapToGrid w:val="0"/>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（三）法定代表人授权委托书（格式）</w:t>
      </w:r>
    </w:p>
    <w:p w14:paraId="3887459D">
      <w:pPr>
        <w:snapToGrid w:val="0"/>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（四）基本资格条件承诺函（格式）</w:t>
      </w:r>
    </w:p>
    <w:p w14:paraId="34290EB2">
      <w:pPr>
        <w:snapToGrid w:val="0"/>
        <w:ind w:firstLine="480" w:firstLineChars="200"/>
        <w:rPr>
          <w:rFonts w:hint="eastAsia" w:ascii="仿宋" w:hAnsi="仿宋" w:eastAsia="仿宋" w:cs="仿宋"/>
          <w:color w:val="auto"/>
          <w:sz w:val="24"/>
          <w:szCs w:val="24"/>
          <w:highlight w:val="none"/>
        </w:rPr>
        <w:sectPr>
          <w:footerReference r:id="rId3" w:type="default"/>
          <w:pgSz w:w="11907" w:h="16840"/>
          <w:pgMar w:top="1134" w:right="1023" w:bottom="1134" w:left="1064" w:header="851" w:footer="992" w:gutter="0"/>
          <w:pgNumType w:fmt="numberInDash"/>
          <w:cols w:space="720" w:num="1"/>
          <w:docGrid w:linePitch="380" w:charSpace="-5735"/>
        </w:sectPr>
      </w:pPr>
      <w:r>
        <w:rPr>
          <w:rFonts w:hint="eastAsia" w:ascii="仿宋" w:hAnsi="仿宋" w:eastAsia="仿宋" w:cs="仿宋"/>
          <w:color w:val="auto"/>
          <w:sz w:val="24"/>
          <w:szCs w:val="24"/>
          <w:highlight w:val="none"/>
        </w:rPr>
        <w:t>（五）特定资格条件证书或证明</w:t>
      </w:r>
    </w:p>
    <w:p w14:paraId="2DDA4131">
      <w:pPr>
        <w:pStyle w:val="3"/>
        <w:spacing w:line="240" w:lineRule="auto"/>
        <w:ind w:firstLine="643"/>
        <w:rPr>
          <w:rFonts w:hint="eastAsia" w:ascii="仿宋" w:hAnsi="仿宋" w:eastAsia="仿宋" w:cs="仿宋"/>
          <w:color w:val="auto"/>
          <w:highlight w:val="none"/>
        </w:rPr>
      </w:pPr>
      <w:bookmarkStart w:id="152" w:name="_Toc183783160"/>
      <w:r>
        <w:rPr>
          <w:rFonts w:hint="eastAsia" w:ascii="仿宋" w:hAnsi="仿宋" w:eastAsia="仿宋" w:cs="仿宋"/>
          <w:color w:val="auto"/>
          <w:highlight w:val="none"/>
        </w:rPr>
        <w:t>一、经济部分</w:t>
      </w:r>
      <w:bookmarkEnd w:id="152"/>
    </w:p>
    <w:p w14:paraId="2903C7C0">
      <w:pPr>
        <w:ind w:firstLine="480"/>
        <w:rPr>
          <w:rFonts w:hint="eastAsia" w:ascii="仿宋" w:hAnsi="仿宋" w:eastAsia="仿宋" w:cs="仿宋"/>
          <w:bCs/>
          <w:color w:val="auto"/>
          <w:szCs w:val="24"/>
          <w:highlight w:val="none"/>
        </w:rPr>
      </w:pPr>
      <w:r>
        <w:rPr>
          <w:rFonts w:hint="eastAsia" w:ascii="仿宋" w:hAnsi="仿宋" w:eastAsia="仿宋" w:cs="仿宋"/>
          <w:color w:val="auto"/>
          <w:sz w:val="24"/>
          <w:szCs w:val="18"/>
          <w:highlight w:val="none"/>
        </w:rPr>
        <w:t>（一）报价函</w:t>
      </w:r>
    </w:p>
    <w:p w14:paraId="0C213616">
      <w:pPr>
        <w:tabs>
          <w:tab w:val="left" w:pos="6300"/>
        </w:tabs>
        <w:snapToGrid w:val="0"/>
        <w:ind w:left="14" w:leftChars="5" w:firstLine="611" w:firstLineChars="191"/>
        <w:jc w:val="cente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报价函</w:t>
      </w:r>
    </w:p>
    <w:p w14:paraId="712498E5">
      <w:pPr>
        <w:tabs>
          <w:tab w:val="left" w:pos="6300"/>
        </w:tabs>
        <w:snapToGrid w:val="0"/>
        <w:ind w:left="14" w:leftChars="5" w:firstLine="611" w:firstLineChars="191"/>
        <w:jc w:val="center"/>
        <w:rPr>
          <w:rFonts w:hint="eastAsia" w:ascii="仿宋" w:hAnsi="仿宋" w:eastAsia="仿宋" w:cs="仿宋"/>
          <w:color w:val="auto"/>
          <w:sz w:val="32"/>
          <w:szCs w:val="32"/>
          <w:highlight w:val="none"/>
        </w:rPr>
      </w:pPr>
    </w:p>
    <w:p w14:paraId="240A7E28">
      <w:pPr>
        <w:tabs>
          <w:tab w:val="left" w:pos="6300"/>
        </w:tabs>
        <w:snapToGrid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u w:val="single"/>
        </w:rPr>
        <w:t>（代理机构名称）</w:t>
      </w:r>
      <w:r>
        <w:rPr>
          <w:rFonts w:hint="eastAsia" w:ascii="仿宋" w:hAnsi="仿宋" w:eastAsia="仿宋" w:cs="仿宋"/>
          <w:color w:val="auto"/>
          <w:sz w:val="24"/>
          <w:szCs w:val="24"/>
          <w:highlight w:val="none"/>
        </w:rPr>
        <w:t>：</w:t>
      </w:r>
    </w:p>
    <w:p w14:paraId="41968CD6">
      <w:pPr>
        <w:tabs>
          <w:tab w:val="left" w:pos="6300"/>
        </w:tabs>
        <w:snapToGrid w:val="0"/>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我方收到____________________________（项目名称）的竞采采购文件，经详细研究，决定参加该项目的竞采。</w:t>
      </w:r>
    </w:p>
    <w:p w14:paraId="47A5D272">
      <w:pPr>
        <w:numPr>
          <w:ilvl w:val="0"/>
          <w:numId w:val="3"/>
        </w:numPr>
        <w:tabs>
          <w:tab w:val="left" w:pos="6300"/>
        </w:tabs>
        <w:snapToGrid w:val="0"/>
        <w:ind w:left="476" w:leftChars="17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愿意按照竞采采购文件中的一切要求，提供本项目的技术服务，</w:t>
      </w:r>
      <w:r>
        <w:rPr>
          <w:rFonts w:hint="eastAsia" w:ascii="仿宋" w:hAnsi="仿宋" w:eastAsia="仿宋" w:cs="仿宋"/>
          <w:color w:val="auto"/>
          <w:sz w:val="24"/>
          <w:szCs w:val="24"/>
          <w:highlight w:val="none"/>
          <w:lang w:val="en-US" w:eastAsia="zh-CN"/>
        </w:rPr>
        <w:t>投标总</w:t>
      </w:r>
      <w:r>
        <w:rPr>
          <w:rFonts w:hint="eastAsia" w:ascii="仿宋" w:hAnsi="仿宋" w:eastAsia="仿宋" w:cs="仿宋"/>
          <w:color w:val="auto"/>
          <w:sz w:val="24"/>
          <w:szCs w:val="24"/>
          <w:highlight w:val="none"/>
        </w:rPr>
        <w:t>报价为</w:t>
      </w:r>
      <w:r>
        <w:rPr>
          <w:rFonts w:hint="eastAsia" w:ascii="仿宋" w:hAnsi="仿宋" w:eastAsia="仿宋" w:cs="仿宋"/>
          <w:color w:val="auto"/>
          <w:sz w:val="24"/>
          <w:szCs w:val="24"/>
          <w:highlight w:val="none"/>
          <w:lang w:val="en-US" w:eastAsia="zh-CN"/>
        </w:rPr>
        <w:t>人民币</w:t>
      </w:r>
      <w:r>
        <w:rPr>
          <w:rFonts w:hint="eastAsia" w:ascii="仿宋" w:hAnsi="仿宋" w:eastAsia="仿宋" w:cs="仿宋"/>
          <w:color w:val="auto"/>
          <w:sz w:val="24"/>
          <w:szCs w:val="24"/>
          <w:highlight w:val="none"/>
          <w:u w:val="none"/>
        </w:rPr>
        <w:t>：</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lang w:val="en-US" w:eastAsia="zh-CN"/>
        </w:rPr>
        <w:t>元（大写：</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w:t>
      </w:r>
      <w:r>
        <w:rPr>
          <w:rFonts w:hint="eastAsia" w:ascii="仿宋" w:hAnsi="仿宋" w:eastAsia="仿宋" w:cs="仿宋"/>
          <w:color w:val="auto"/>
          <w:sz w:val="24"/>
          <w:szCs w:val="24"/>
          <w:highlight w:val="none"/>
        </w:rPr>
        <w:t>。</w:t>
      </w:r>
    </w:p>
    <w:p w14:paraId="3F873E0D">
      <w:pPr>
        <w:tabs>
          <w:tab w:val="left" w:pos="6300"/>
        </w:tabs>
        <w:snapToGrid w:val="0"/>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2、我方现提交的响应文件为：响应文件电子文档壹份。</w:t>
      </w:r>
    </w:p>
    <w:p w14:paraId="42643C02">
      <w:pPr>
        <w:tabs>
          <w:tab w:val="left" w:pos="6300"/>
        </w:tabs>
        <w:snapToGrid w:val="0"/>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3、我方承诺：本次竞采的有效期为90天。</w:t>
      </w:r>
    </w:p>
    <w:p w14:paraId="1A5EF6EA">
      <w:pPr>
        <w:tabs>
          <w:tab w:val="left" w:pos="6300"/>
        </w:tabs>
        <w:snapToGrid w:val="0"/>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4、我方完全理解和接受贵方竞采采购文件的一切规定和要求及评审办法。</w:t>
      </w:r>
    </w:p>
    <w:p w14:paraId="48332ED9">
      <w:pPr>
        <w:tabs>
          <w:tab w:val="left" w:pos="6300"/>
        </w:tabs>
        <w:snapToGrid w:val="0"/>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5、在整个竞采采购过程中，我方若有违规行为，接受按照重庆市政府采购云平台规定给予惩罚。</w:t>
      </w:r>
    </w:p>
    <w:p w14:paraId="6E990B61">
      <w:pPr>
        <w:tabs>
          <w:tab w:val="left" w:pos="6300"/>
        </w:tabs>
        <w:snapToGrid w:val="0"/>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6、我方若中选，将按照竞采结果签订合同，并且严格履行合同义务。本承诺函将成为合同不可分割的一部分，与合同具有同等的法律效力。</w:t>
      </w:r>
    </w:p>
    <w:p w14:paraId="00566C32">
      <w:pPr>
        <w:tabs>
          <w:tab w:val="left" w:pos="6300"/>
        </w:tabs>
        <w:snapToGrid w:val="0"/>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7、我方理解，最低报价不是成交的唯一条件。</w:t>
      </w:r>
    </w:p>
    <w:p w14:paraId="0E8179A2">
      <w:pPr>
        <w:tabs>
          <w:tab w:val="left" w:pos="6300"/>
        </w:tabs>
        <w:snapToGrid w:val="0"/>
        <w:spacing w:line="360" w:lineRule="auto"/>
        <w:ind w:firstLine="570"/>
        <w:rPr>
          <w:rFonts w:hint="eastAsia" w:ascii="仿宋" w:hAnsi="仿宋" w:eastAsia="仿宋" w:cs="仿宋"/>
          <w:color w:val="auto"/>
          <w:sz w:val="24"/>
          <w:szCs w:val="24"/>
          <w:highlight w:val="none"/>
        </w:rPr>
      </w:pPr>
    </w:p>
    <w:p w14:paraId="1823E990">
      <w:pPr>
        <w:tabs>
          <w:tab w:val="left" w:pos="6300"/>
        </w:tabs>
        <w:snapToGrid w:val="0"/>
        <w:spacing w:line="360" w:lineRule="auto"/>
        <w:ind w:firstLine="570"/>
        <w:rPr>
          <w:rFonts w:hint="eastAsia" w:ascii="仿宋" w:hAnsi="仿宋" w:eastAsia="仿宋" w:cs="仿宋"/>
          <w:color w:val="auto"/>
          <w:sz w:val="24"/>
          <w:szCs w:val="24"/>
          <w:highlight w:val="none"/>
        </w:rPr>
      </w:pPr>
    </w:p>
    <w:p w14:paraId="34C3F384">
      <w:pPr>
        <w:tabs>
          <w:tab w:val="left" w:pos="6300"/>
        </w:tabs>
        <w:snapToGrid w:val="0"/>
        <w:spacing w:line="360" w:lineRule="auto"/>
        <w:ind w:firstLine="570"/>
        <w:rPr>
          <w:rFonts w:hint="eastAsia" w:ascii="仿宋" w:hAnsi="仿宋" w:eastAsia="仿宋" w:cs="仿宋"/>
          <w:color w:val="auto"/>
          <w:sz w:val="24"/>
          <w:szCs w:val="24"/>
          <w:highlight w:val="none"/>
        </w:rPr>
      </w:pPr>
    </w:p>
    <w:p w14:paraId="5C61CF72">
      <w:pPr>
        <w:tabs>
          <w:tab w:val="left" w:pos="6300"/>
        </w:tabs>
        <w:snapToGrid w:val="0"/>
        <w:spacing w:line="360" w:lineRule="auto"/>
        <w:ind w:firstLine="570"/>
        <w:rPr>
          <w:rFonts w:hint="eastAsia" w:ascii="仿宋" w:hAnsi="仿宋" w:eastAsia="仿宋" w:cs="仿宋"/>
          <w:color w:val="auto"/>
          <w:sz w:val="24"/>
          <w:szCs w:val="24"/>
          <w:highlight w:val="none"/>
        </w:rPr>
      </w:pPr>
    </w:p>
    <w:p w14:paraId="2F60392F">
      <w:pPr>
        <w:tabs>
          <w:tab w:val="left" w:pos="6300"/>
        </w:tabs>
        <w:snapToGrid w:val="0"/>
        <w:spacing w:line="360" w:lineRule="auto"/>
        <w:ind w:firstLine="57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供应商名称（公章）：</w:t>
      </w:r>
    </w:p>
    <w:p w14:paraId="197E81B7">
      <w:pPr>
        <w:tabs>
          <w:tab w:val="left" w:pos="6300"/>
        </w:tabs>
        <w:snapToGrid w:val="0"/>
        <w:ind w:firstLine="48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年   月   日</w:t>
      </w:r>
    </w:p>
    <w:p w14:paraId="67182EED">
      <w:pPr>
        <w:pStyle w:val="7"/>
        <w:rPr>
          <w:rFonts w:hint="eastAsia" w:ascii="仿宋" w:hAnsi="仿宋" w:eastAsia="仿宋" w:cs="仿宋"/>
          <w:color w:val="auto"/>
          <w:sz w:val="24"/>
          <w:szCs w:val="24"/>
          <w:highlight w:val="none"/>
        </w:rPr>
      </w:pPr>
    </w:p>
    <w:p w14:paraId="0DBE98B8">
      <w:pPr>
        <w:rPr>
          <w:rFonts w:hint="eastAsia" w:ascii="仿宋" w:hAnsi="仿宋" w:eastAsia="仿宋" w:cs="仿宋"/>
          <w:color w:val="auto"/>
          <w:sz w:val="24"/>
          <w:szCs w:val="24"/>
          <w:highlight w:val="none"/>
        </w:rPr>
      </w:pPr>
    </w:p>
    <w:p w14:paraId="7CDED5D8">
      <w:pPr>
        <w:pStyle w:val="7"/>
        <w:rPr>
          <w:rFonts w:hint="eastAsia" w:ascii="仿宋" w:hAnsi="仿宋" w:eastAsia="仿宋" w:cs="仿宋"/>
          <w:color w:val="auto"/>
          <w:sz w:val="24"/>
          <w:szCs w:val="24"/>
          <w:highlight w:val="none"/>
        </w:rPr>
      </w:pPr>
    </w:p>
    <w:p w14:paraId="6A5FE4C0">
      <w:pPr>
        <w:rPr>
          <w:rFonts w:hint="eastAsia" w:ascii="仿宋" w:hAnsi="仿宋" w:eastAsia="仿宋" w:cs="仿宋"/>
          <w:color w:val="auto"/>
          <w:sz w:val="24"/>
          <w:szCs w:val="24"/>
          <w:highlight w:val="none"/>
        </w:rPr>
      </w:pPr>
    </w:p>
    <w:p w14:paraId="3FF28D94">
      <w:pPr>
        <w:pStyle w:val="7"/>
        <w:rPr>
          <w:rFonts w:hint="eastAsia" w:ascii="仿宋" w:hAnsi="仿宋" w:eastAsia="仿宋" w:cs="仿宋"/>
          <w:color w:val="auto"/>
          <w:sz w:val="24"/>
          <w:szCs w:val="24"/>
          <w:highlight w:val="none"/>
        </w:rPr>
      </w:pPr>
    </w:p>
    <w:p w14:paraId="26E01BFF">
      <w:pPr>
        <w:rPr>
          <w:rFonts w:hint="eastAsia" w:ascii="仿宋" w:hAnsi="仿宋" w:eastAsia="仿宋" w:cs="仿宋"/>
          <w:color w:val="auto"/>
          <w:sz w:val="24"/>
          <w:szCs w:val="24"/>
          <w:highlight w:val="none"/>
        </w:rPr>
      </w:pPr>
    </w:p>
    <w:p w14:paraId="54D2C43A">
      <w:pPr>
        <w:pStyle w:val="7"/>
        <w:rPr>
          <w:rFonts w:hint="eastAsia" w:ascii="仿宋" w:hAnsi="仿宋" w:eastAsia="仿宋" w:cs="仿宋"/>
          <w:color w:val="auto"/>
          <w:sz w:val="24"/>
          <w:szCs w:val="24"/>
          <w:highlight w:val="none"/>
        </w:rPr>
      </w:pPr>
    </w:p>
    <w:p w14:paraId="4681FDEB">
      <w:pPr>
        <w:rPr>
          <w:rFonts w:hint="eastAsia" w:ascii="仿宋" w:hAnsi="仿宋" w:eastAsia="仿宋" w:cs="仿宋"/>
          <w:color w:val="auto"/>
          <w:sz w:val="24"/>
          <w:szCs w:val="24"/>
          <w:highlight w:val="none"/>
        </w:rPr>
      </w:pPr>
    </w:p>
    <w:p w14:paraId="792E5867">
      <w:pPr>
        <w:pStyle w:val="7"/>
        <w:rPr>
          <w:rFonts w:hint="eastAsia" w:ascii="仿宋" w:hAnsi="仿宋" w:eastAsia="仿宋" w:cs="仿宋"/>
          <w:color w:val="auto"/>
          <w:sz w:val="24"/>
          <w:szCs w:val="24"/>
          <w:highlight w:val="none"/>
        </w:rPr>
      </w:pPr>
    </w:p>
    <w:p w14:paraId="06DB4D18">
      <w:pPr>
        <w:rPr>
          <w:rFonts w:hint="eastAsia" w:ascii="仿宋" w:hAnsi="仿宋" w:eastAsia="仿宋" w:cs="仿宋"/>
          <w:color w:val="auto"/>
          <w:sz w:val="24"/>
          <w:szCs w:val="24"/>
          <w:highlight w:val="none"/>
        </w:rPr>
      </w:pPr>
    </w:p>
    <w:p w14:paraId="0EC48AA0">
      <w:pPr>
        <w:pStyle w:val="7"/>
        <w:rPr>
          <w:rFonts w:hint="eastAsia" w:ascii="仿宋" w:hAnsi="仿宋" w:eastAsia="仿宋" w:cs="仿宋"/>
          <w:color w:val="auto"/>
          <w:sz w:val="24"/>
          <w:szCs w:val="24"/>
          <w:highlight w:val="none"/>
        </w:rPr>
      </w:pPr>
    </w:p>
    <w:p w14:paraId="54DEC4A2">
      <w:pPr>
        <w:rPr>
          <w:rFonts w:hint="eastAsia" w:ascii="仿宋" w:hAnsi="仿宋" w:eastAsia="仿宋" w:cs="仿宋"/>
          <w:color w:val="auto"/>
          <w:sz w:val="24"/>
          <w:szCs w:val="24"/>
          <w:highlight w:val="none"/>
        </w:rPr>
      </w:pPr>
    </w:p>
    <w:p w14:paraId="54D84581">
      <w:pPr>
        <w:pStyle w:val="7"/>
        <w:rPr>
          <w:rFonts w:hint="eastAsia" w:ascii="仿宋" w:hAnsi="仿宋" w:eastAsia="仿宋" w:cs="仿宋"/>
          <w:color w:val="auto"/>
          <w:sz w:val="24"/>
          <w:szCs w:val="24"/>
          <w:highlight w:val="none"/>
        </w:rPr>
      </w:pPr>
    </w:p>
    <w:p w14:paraId="705B0987">
      <w:pPr>
        <w:tabs>
          <w:tab w:val="left" w:pos="6300"/>
        </w:tabs>
        <w:snapToGrid w:val="0"/>
        <w:ind w:firstLine="480"/>
        <w:rPr>
          <w:rFonts w:hint="eastAsia" w:ascii="仿宋" w:hAnsi="仿宋" w:eastAsia="仿宋" w:cs="仿宋"/>
          <w:color w:val="auto"/>
          <w:sz w:val="24"/>
          <w:szCs w:val="24"/>
          <w:highlight w:val="none"/>
        </w:rPr>
      </w:pPr>
    </w:p>
    <w:p w14:paraId="6F896FD5">
      <w:pPr>
        <w:tabs>
          <w:tab w:val="left" w:pos="6300"/>
        </w:tabs>
        <w:snapToGrid w:val="0"/>
        <w:ind w:firstLine="48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w:t>
      </w:r>
    </w:p>
    <w:p w14:paraId="197DE6FB">
      <w:pPr>
        <w:snapToGrid w:val="0"/>
        <w:ind w:firstLine="480" w:firstLineChars="200"/>
        <w:rPr>
          <w:rFonts w:hint="eastAsia" w:ascii="仿宋" w:hAnsi="仿宋" w:eastAsia="仿宋" w:cs="仿宋"/>
          <w:color w:val="auto"/>
          <w:sz w:val="24"/>
          <w:szCs w:val="24"/>
          <w:highlight w:val="none"/>
        </w:rPr>
        <w:sectPr>
          <w:footerReference r:id="rId4" w:type="default"/>
          <w:pgSz w:w="11907" w:h="16840"/>
          <w:pgMar w:top="1134" w:right="1191" w:bottom="1134" w:left="1304" w:header="851" w:footer="992" w:gutter="0"/>
          <w:pgNumType w:fmt="numberInDash"/>
          <w:cols w:space="720" w:num="1"/>
          <w:docGrid w:linePitch="380" w:charSpace="-5735"/>
        </w:sectPr>
      </w:pPr>
      <w:r>
        <w:rPr>
          <w:rFonts w:hint="eastAsia" w:ascii="仿宋" w:hAnsi="仿宋" w:eastAsia="仿宋" w:cs="仿宋"/>
          <w:color w:val="auto"/>
          <w:sz w:val="24"/>
          <w:szCs w:val="24"/>
          <w:highlight w:val="none"/>
        </w:rPr>
        <w:t xml:space="preserve">                                                  </w:t>
      </w:r>
    </w:p>
    <w:p w14:paraId="4B71521B">
      <w:pPr>
        <w:pStyle w:val="3"/>
        <w:spacing w:line="240" w:lineRule="auto"/>
        <w:ind w:firstLine="643"/>
        <w:rPr>
          <w:rFonts w:hint="eastAsia" w:ascii="仿宋" w:hAnsi="仿宋" w:eastAsia="仿宋" w:cs="仿宋"/>
          <w:color w:val="auto"/>
          <w:highlight w:val="none"/>
        </w:rPr>
      </w:pPr>
      <w:bookmarkStart w:id="153" w:name="_Toc183783161"/>
      <w:bookmarkStart w:id="154" w:name="_Toc486608278"/>
      <w:bookmarkStart w:id="155" w:name="_Toc486585241"/>
      <w:bookmarkStart w:id="156" w:name="_Toc9090"/>
      <w:bookmarkStart w:id="157" w:name="_Toc487204798"/>
      <w:bookmarkStart w:id="158" w:name="_Toc3192"/>
      <w:r>
        <w:rPr>
          <w:rFonts w:hint="eastAsia" w:ascii="仿宋" w:hAnsi="仿宋" w:eastAsia="仿宋" w:cs="仿宋"/>
          <w:color w:val="auto"/>
          <w:highlight w:val="none"/>
        </w:rPr>
        <w:t>二、服务部分</w:t>
      </w:r>
      <w:bookmarkEnd w:id="153"/>
      <w:bookmarkEnd w:id="154"/>
      <w:bookmarkEnd w:id="155"/>
      <w:bookmarkEnd w:id="156"/>
      <w:bookmarkEnd w:id="157"/>
      <w:bookmarkEnd w:id="158"/>
    </w:p>
    <w:p w14:paraId="5567A8C1">
      <w:pPr>
        <w:snapToGrid w:val="0"/>
        <w:ind w:firstLine="480"/>
        <w:rPr>
          <w:rFonts w:hint="eastAsia" w:ascii="仿宋" w:hAnsi="仿宋" w:eastAsia="仿宋" w:cs="仿宋"/>
          <w:color w:val="auto"/>
          <w:sz w:val="24"/>
          <w:szCs w:val="28"/>
          <w:highlight w:val="none"/>
        </w:rPr>
      </w:pPr>
      <w:r>
        <w:rPr>
          <w:rFonts w:hint="eastAsia" w:ascii="仿宋" w:hAnsi="仿宋" w:eastAsia="仿宋" w:cs="仿宋"/>
          <w:color w:val="auto"/>
          <w:sz w:val="24"/>
          <w:szCs w:val="28"/>
          <w:highlight w:val="none"/>
        </w:rPr>
        <w:t>（一）服务要求应答</w:t>
      </w:r>
    </w:p>
    <w:p w14:paraId="04C1D0E1">
      <w:pPr>
        <w:rPr>
          <w:rFonts w:hint="eastAsia" w:ascii="仿宋" w:hAnsi="仿宋" w:eastAsia="仿宋" w:cs="仿宋"/>
          <w:color w:val="auto"/>
          <w:szCs w:val="24"/>
          <w:highlight w:val="none"/>
        </w:rPr>
      </w:pPr>
    </w:p>
    <w:p w14:paraId="1A76F645">
      <w:pPr>
        <w:ind w:firstLine="480"/>
        <w:rPr>
          <w:rFonts w:hint="eastAsia" w:ascii="仿宋" w:hAnsi="仿宋" w:eastAsia="仿宋" w:cs="仿宋"/>
          <w:color w:val="auto"/>
          <w:sz w:val="24"/>
          <w:szCs w:val="18"/>
          <w:highlight w:val="none"/>
        </w:rPr>
      </w:pPr>
      <w:r>
        <w:rPr>
          <w:rFonts w:hint="eastAsia" w:ascii="仿宋" w:hAnsi="仿宋" w:eastAsia="仿宋" w:cs="仿宋"/>
          <w:color w:val="auto"/>
          <w:sz w:val="24"/>
          <w:szCs w:val="18"/>
          <w:highlight w:val="none"/>
        </w:rPr>
        <w:t>（二）服务响应偏离表</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2969"/>
        <w:gridCol w:w="3081"/>
        <w:gridCol w:w="2307"/>
      </w:tblGrid>
      <w:tr w14:paraId="4A03A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660" w:type="pct"/>
            <w:vAlign w:val="center"/>
          </w:tcPr>
          <w:p w14:paraId="60D28730">
            <w:pPr>
              <w:ind w:firstLine="420"/>
              <w:jc w:val="center"/>
              <w:rPr>
                <w:rFonts w:hint="eastAsia" w:ascii="仿宋" w:hAnsi="仿宋" w:eastAsia="仿宋" w:cs="仿宋"/>
                <w:bCs/>
                <w:color w:val="auto"/>
                <w:szCs w:val="21"/>
                <w:highlight w:val="none"/>
              </w:rPr>
            </w:pPr>
            <w:r>
              <w:rPr>
                <w:rFonts w:hint="eastAsia" w:ascii="仿宋" w:hAnsi="仿宋" w:eastAsia="仿宋" w:cs="仿宋"/>
                <w:bCs/>
                <w:color w:val="auto"/>
                <w:sz w:val="21"/>
                <w:szCs w:val="21"/>
                <w:highlight w:val="none"/>
              </w:rPr>
              <w:t>序号</w:t>
            </w:r>
          </w:p>
        </w:tc>
        <w:tc>
          <w:tcPr>
            <w:tcW w:w="1542" w:type="pct"/>
            <w:vAlign w:val="center"/>
          </w:tcPr>
          <w:p w14:paraId="07991947">
            <w:pPr>
              <w:ind w:firstLine="420"/>
              <w:jc w:val="center"/>
              <w:rPr>
                <w:rFonts w:hint="eastAsia" w:ascii="仿宋" w:hAnsi="仿宋" w:eastAsia="仿宋" w:cs="仿宋"/>
                <w:bCs/>
                <w:color w:val="auto"/>
                <w:sz w:val="21"/>
                <w:szCs w:val="21"/>
                <w:highlight w:val="none"/>
              </w:rPr>
            </w:pPr>
            <w:r>
              <w:rPr>
                <w:rFonts w:hint="eastAsia" w:ascii="仿宋" w:hAnsi="仿宋" w:eastAsia="仿宋" w:cs="仿宋"/>
                <w:bCs/>
                <w:color w:val="auto"/>
                <w:sz w:val="21"/>
                <w:szCs w:val="21"/>
                <w:highlight w:val="none"/>
              </w:rPr>
              <w:t>招标要求</w:t>
            </w:r>
          </w:p>
        </w:tc>
        <w:tc>
          <w:tcPr>
            <w:tcW w:w="1600" w:type="pct"/>
            <w:vAlign w:val="center"/>
          </w:tcPr>
          <w:p w14:paraId="176B6E4B">
            <w:pPr>
              <w:ind w:firstLine="420"/>
              <w:jc w:val="center"/>
              <w:rPr>
                <w:rFonts w:hint="eastAsia" w:ascii="仿宋" w:hAnsi="仿宋" w:eastAsia="仿宋" w:cs="仿宋"/>
                <w:bCs/>
                <w:color w:val="auto"/>
                <w:sz w:val="21"/>
                <w:szCs w:val="21"/>
                <w:highlight w:val="none"/>
              </w:rPr>
            </w:pPr>
            <w:r>
              <w:rPr>
                <w:rFonts w:hint="eastAsia" w:ascii="仿宋" w:hAnsi="仿宋" w:eastAsia="仿宋" w:cs="仿宋"/>
                <w:bCs/>
                <w:color w:val="auto"/>
                <w:sz w:val="21"/>
                <w:szCs w:val="21"/>
                <w:highlight w:val="none"/>
              </w:rPr>
              <w:t>投标应答</w:t>
            </w:r>
          </w:p>
        </w:tc>
        <w:tc>
          <w:tcPr>
            <w:tcW w:w="1199" w:type="pct"/>
            <w:vAlign w:val="center"/>
          </w:tcPr>
          <w:p w14:paraId="0F730140">
            <w:pPr>
              <w:ind w:firstLine="420"/>
              <w:jc w:val="center"/>
              <w:rPr>
                <w:rFonts w:hint="eastAsia" w:ascii="仿宋" w:hAnsi="仿宋" w:eastAsia="仿宋" w:cs="仿宋"/>
                <w:bCs/>
                <w:color w:val="auto"/>
                <w:sz w:val="21"/>
                <w:szCs w:val="21"/>
                <w:highlight w:val="none"/>
              </w:rPr>
            </w:pPr>
            <w:r>
              <w:rPr>
                <w:rFonts w:hint="eastAsia" w:ascii="仿宋" w:hAnsi="仿宋" w:eastAsia="仿宋" w:cs="仿宋"/>
                <w:bCs/>
                <w:color w:val="auto"/>
                <w:sz w:val="21"/>
                <w:szCs w:val="21"/>
                <w:highlight w:val="none"/>
              </w:rPr>
              <w:t>差异说明</w:t>
            </w:r>
          </w:p>
        </w:tc>
      </w:tr>
      <w:tr w14:paraId="06509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vAlign w:val="center"/>
          </w:tcPr>
          <w:p w14:paraId="09C7B66D">
            <w:pPr>
              <w:tabs>
                <w:tab w:val="left" w:pos="6300"/>
              </w:tabs>
              <w:snapToGrid w:val="0"/>
              <w:ind w:firstLine="420"/>
              <w:jc w:val="center"/>
              <w:rPr>
                <w:rFonts w:hint="eastAsia" w:ascii="仿宋" w:hAnsi="仿宋" w:eastAsia="仿宋" w:cs="仿宋"/>
                <w:bCs/>
                <w:color w:val="auto"/>
                <w:sz w:val="21"/>
                <w:szCs w:val="21"/>
                <w:highlight w:val="none"/>
              </w:rPr>
            </w:pPr>
          </w:p>
        </w:tc>
        <w:tc>
          <w:tcPr>
            <w:tcW w:w="1542" w:type="pct"/>
            <w:vAlign w:val="center"/>
          </w:tcPr>
          <w:p w14:paraId="4DAE2CFE">
            <w:pPr>
              <w:ind w:firstLine="420"/>
              <w:jc w:val="center"/>
              <w:rPr>
                <w:rFonts w:hint="eastAsia" w:ascii="仿宋" w:hAnsi="仿宋" w:eastAsia="仿宋" w:cs="仿宋"/>
                <w:bCs/>
                <w:color w:val="auto"/>
                <w:sz w:val="21"/>
                <w:szCs w:val="21"/>
                <w:highlight w:val="none"/>
              </w:rPr>
            </w:pPr>
          </w:p>
        </w:tc>
        <w:tc>
          <w:tcPr>
            <w:tcW w:w="1600" w:type="pct"/>
            <w:vAlign w:val="center"/>
          </w:tcPr>
          <w:p w14:paraId="2E00EB5C">
            <w:pPr>
              <w:ind w:firstLine="420"/>
              <w:jc w:val="center"/>
              <w:rPr>
                <w:rFonts w:hint="eastAsia" w:ascii="仿宋" w:hAnsi="仿宋" w:eastAsia="仿宋" w:cs="仿宋"/>
                <w:bCs/>
                <w:color w:val="auto"/>
                <w:sz w:val="21"/>
                <w:szCs w:val="21"/>
                <w:highlight w:val="none"/>
              </w:rPr>
            </w:pPr>
          </w:p>
        </w:tc>
        <w:tc>
          <w:tcPr>
            <w:tcW w:w="1199" w:type="pct"/>
            <w:vAlign w:val="center"/>
          </w:tcPr>
          <w:p w14:paraId="7451EF27">
            <w:pPr>
              <w:ind w:firstLine="420"/>
              <w:jc w:val="center"/>
              <w:rPr>
                <w:rFonts w:hint="eastAsia" w:ascii="仿宋" w:hAnsi="仿宋" w:eastAsia="仿宋" w:cs="仿宋"/>
                <w:bCs/>
                <w:color w:val="auto"/>
                <w:sz w:val="21"/>
                <w:szCs w:val="21"/>
                <w:highlight w:val="none"/>
              </w:rPr>
            </w:pPr>
          </w:p>
        </w:tc>
      </w:tr>
      <w:tr w14:paraId="27702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vAlign w:val="center"/>
          </w:tcPr>
          <w:p w14:paraId="5CBD506F">
            <w:pPr>
              <w:tabs>
                <w:tab w:val="left" w:pos="6300"/>
              </w:tabs>
              <w:snapToGrid w:val="0"/>
              <w:ind w:firstLine="420"/>
              <w:jc w:val="center"/>
              <w:rPr>
                <w:rFonts w:hint="eastAsia" w:ascii="仿宋" w:hAnsi="仿宋" w:eastAsia="仿宋" w:cs="仿宋"/>
                <w:color w:val="auto"/>
                <w:sz w:val="21"/>
                <w:szCs w:val="21"/>
                <w:highlight w:val="none"/>
              </w:rPr>
            </w:pPr>
          </w:p>
        </w:tc>
        <w:tc>
          <w:tcPr>
            <w:tcW w:w="1542" w:type="pct"/>
            <w:vAlign w:val="center"/>
          </w:tcPr>
          <w:p w14:paraId="65C39B12">
            <w:pPr>
              <w:ind w:firstLine="420"/>
              <w:jc w:val="center"/>
              <w:rPr>
                <w:rFonts w:hint="eastAsia" w:ascii="仿宋" w:hAnsi="仿宋" w:eastAsia="仿宋" w:cs="仿宋"/>
                <w:color w:val="auto"/>
                <w:sz w:val="21"/>
                <w:szCs w:val="21"/>
                <w:highlight w:val="none"/>
              </w:rPr>
            </w:pPr>
          </w:p>
        </w:tc>
        <w:tc>
          <w:tcPr>
            <w:tcW w:w="1600" w:type="pct"/>
            <w:vAlign w:val="center"/>
          </w:tcPr>
          <w:p w14:paraId="1C20FF32">
            <w:pPr>
              <w:ind w:firstLine="420"/>
              <w:jc w:val="center"/>
              <w:rPr>
                <w:rFonts w:hint="eastAsia" w:ascii="仿宋" w:hAnsi="仿宋" w:eastAsia="仿宋" w:cs="仿宋"/>
                <w:color w:val="auto"/>
                <w:sz w:val="21"/>
                <w:szCs w:val="21"/>
                <w:highlight w:val="none"/>
              </w:rPr>
            </w:pPr>
          </w:p>
        </w:tc>
        <w:tc>
          <w:tcPr>
            <w:tcW w:w="1199" w:type="pct"/>
            <w:vAlign w:val="center"/>
          </w:tcPr>
          <w:p w14:paraId="38EAEC18">
            <w:pPr>
              <w:ind w:firstLine="420"/>
              <w:jc w:val="center"/>
              <w:rPr>
                <w:rFonts w:hint="eastAsia" w:ascii="仿宋" w:hAnsi="仿宋" w:eastAsia="仿宋" w:cs="仿宋"/>
                <w:color w:val="auto"/>
                <w:sz w:val="21"/>
                <w:szCs w:val="21"/>
                <w:highlight w:val="none"/>
              </w:rPr>
            </w:pPr>
          </w:p>
        </w:tc>
      </w:tr>
      <w:tr w14:paraId="2D19F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vAlign w:val="center"/>
          </w:tcPr>
          <w:p w14:paraId="13A60D6C">
            <w:pPr>
              <w:tabs>
                <w:tab w:val="left" w:pos="6300"/>
              </w:tabs>
              <w:snapToGrid w:val="0"/>
              <w:ind w:firstLine="420"/>
              <w:jc w:val="center"/>
              <w:rPr>
                <w:rFonts w:hint="eastAsia" w:ascii="仿宋" w:hAnsi="仿宋" w:eastAsia="仿宋" w:cs="仿宋"/>
                <w:color w:val="auto"/>
                <w:sz w:val="21"/>
                <w:szCs w:val="21"/>
                <w:highlight w:val="none"/>
              </w:rPr>
            </w:pPr>
          </w:p>
        </w:tc>
        <w:tc>
          <w:tcPr>
            <w:tcW w:w="1542" w:type="pct"/>
            <w:vAlign w:val="center"/>
          </w:tcPr>
          <w:p w14:paraId="645D9244">
            <w:pPr>
              <w:ind w:firstLine="420"/>
              <w:jc w:val="center"/>
              <w:rPr>
                <w:rFonts w:hint="eastAsia" w:ascii="仿宋" w:hAnsi="仿宋" w:eastAsia="仿宋" w:cs="仿宋"/>
                <w:color w:val="auto"/>
                <w:sz w:val="21"/>
                <w:szCs w:val="21"/>
                <w:highlight w:val="none"/>
              </w:rPr>
            </w:pPr>
          </w:p>
        </w:tc>
        <w:tc>
          <w:tcPr>
            <w:tcW w:w="1600" w:type="pct"/>
            <w:vAlign w:val="center"/>
          </w:tcPr>
          <w:p w14:paraId="74C13715">
            <w:pPr>
              <w:ind w:firstLine="420"/>
              <w:jc w:val="center"/>
              <w:rPr>
                <w:rFonts w:hint="eastAsia" w:ascii="仿宋" w:hAnsi="仿宋" w:eastAsia="仿宋" w:cs="仿宋"/>
                <w:color w:val="auto"/>
                <w:sz w:val="21"/>
                <w:szCs w:val="21"/>
                <w:highlight w:val="none"/>
              </w:rPr>
            </w:pPr>
          </w:p>
        </w:tc>
        <w:tc>
          <w:tcPr>
            <w:tcW w:w="1199" w:type="pct"/>
            <w:vAlign w:val="center"/>
          </w:tcPr>
          <w:p w14:paraId="336B0E8D">
            <w:pPr>
              <w:ind w:firstLine="420"/>
              <w:jc w:val="center"/>
              <w:rPr>
                <w:rFonts w:hint="eastAsia" w:ascii="仿宋" w:hAnsi="仿宋" w:eastAsia="仿宋" w:cs="仿宋"/>
                <w:color w:val="auto"/>
                <w:sz w:val="21"/>
                <w:szCs w:val="21"/>
                <w:highlight w:val="none"/>
              </w:rPr>
            </w:pPr>
          </w:p>
        </w:tc>
      </w:tr>
      <w:tr w14:paraId="7F3E6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vAlign w:val="center"/>
          </w:tcPr>
          <w:p w14:paraId="58FF87A9">
            <w:pPr>
              <w:tabs>
                <w:tab w:val="left" w:pos="6300"/>
              </w:tabs>
              <w:snapToGrid w:val="0"/>
              <w:ind w:firstLine="420"/>
              <w:jc w:val="center"/>
              <w:rPr>
                <w:rFonts w:hint="eastAsia" w:ascii="仿宋" w:hAnsi="仿宋" w:eastAsia="仿宋" w:cs="仿宋"/>
                <w:color w:val="auto"/>
                <w:sz w:val="21"/>
                <w:szCs w:val="21"/>
                <w:highlight w:val="none"/>
              </w:rPr>
            </w:pPr>
          </w:p>
        </w:tc>
        <w:tc>
          <w:tcPr>
            <w:tcW w:w="1542" w:type="pct"/>
            <w:vAlign w:val="center"/>
          </w:tcPr>
          <w:p w14:paraId="5E04402D">
            <w:pPr>
              <w:tabs>
                <w:tab w:val="left" w:pos="6300"/>
              </w:tabs>
              <w:snapToGrid w:val="0"/>
              <w:ind w:firstLine="420"/>
              <w:jc w:val="center"/>
              <w:rPr>
                <w:rFonts w:hint="eastAsia" w:ascii="仿宋" w:hAnsi="仿宋" w:eastAsia="仿宋" w:cs="仿宋"/>
                <w:color w:val="auto"/>
                <w:sz w:val="21"/>
                <w:szCs w:val="21"/>
                <w:highlight w:val="none"/>
              </w:rPr>
            </w:pPr>
          </w:p>
        </w:tc>
        <w:tc>
          <w:tcPr>
            <w:tcW w:w="1600" w:type="pct"/>
            <w:vAlign w:val="center"/>
          </w:tcPr>
          <w:p w14:paraId="641ED9C2">
            <w:pPr>
              <w:tabs>
                <w:tab w:val="left" w:pos="6300"/>
              </w:tabs>
              <w:snapToGrid w:val="0"/>
              <w:ind w:firstLine="420"/>
              <w:jc w:val="center"/>
              <w:rPr>
                <w:rFonts w:hint="eastAsia" w:ascii="仿宋" w:hAnsi="仿宋" w:eastAsia="仿宋" w:cs="仿宋"/>
                <w:color w:val="auto"/>
                <w:sz w:val="21"/>
                <w:szCs w:val="21"/>
                <w:highlight w:val="none"/>
              </w:rPr>
            </w:pPr>
          </w:p>
        </w:tc>
        <w:tc>
          <w:tcPr>
            <w:tcW w:w="1199" w:type="pct"/>
            <w:vAlign w:val="center"/>
          </w:tcPr>
          <w:p w14:paraId="0E94D866">
            <w:pPr>
              <w:tabs>
                <w:tab w:val="left" w:pos="6300"/>
              </w:tabs>
              <w:snapToGrid w:val="0"/>
              <w:ind w:firstLine="420"/>
              <w:jc w:val="center"/>
              <w:rPr>
                <w:rFonts w:hint="eastAsia" w:ascii="仿宋" w:hAnsi="仿宋" w:eastAsia="仿宋" w:cs="仿宋"/>
                <w:color w:val="auto"/>
                <w:sz w:val="21"/>
                <w:szCs w:val="21"/>
                <w:highlight w:val="none"/>
              </w:rPr>
            </w:pPr>
          </w:p>
        </w:tc>
      </w:tr>
      <w:tr w14:paraId="08C43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vAlign w:val="center"/>
          </w:tcPr>
          <w:p w14:paraId="187F88CC">
            <w:pPr>
              <w:tabs>
                <w:tab w:val="left" w:pos="6300"/>
              </w:tabs>
              <w:snapToGrid w:val="0"/>
              <w:ind w:firstLine="420"/>
              <w:jc w:val="center"/>
              <w:rPr>
                <w:rFonts w:hint="eastAsia" w:ascii="仿宋" w:hAnsi="仿宋" w:eastAsia="仿宋" w:cs="仿宋"/>
                <w:color w:val="auto"/>
                <w:sz w:val="21"/>
                <w:szCs w:val="21"/>
                <w:highlight w:val="none"/>
              </w:rPr>
            </w:pPr>
          </w:p>
        </w:tc>
        <w:tc>
          <w:tcPr>
            <w:tcW w:w="1542" w:type="pct"/>
            <w:vAlign w:val="center"/>
          </w:tcPr>
          <w:p w14:paraId="6FAFC8B5">
            <w:pPr>
              <w:tabs>
                <w:tab w:val="left" w:pos="6300"/>
              </w:tabs>
              <w:snapToGrid w:val="0"/>
              <w:ind w:firstLine="420"/>
              <w:jc w:val="center"/>
              <w:rPr>
                <w:rFonts w:hint="eastAsia" w:ascii="仿宋" w:hAnsi="仿宋" w:eastAsia="仿宋" w:cs="仿宋"/>
                <w:color w:val="auto"/>
                <w:sz w:val="21"/>
                <w:szCs w:val="21"/>
                <w:highlight w:val="none"/>
              </w:rPr>
            </w:pPr>
          </w:p>
        </w:tc>
        <w:tc>
          <w:tcPr>
            <w:tcW w:w="1600" w:type="pct"/>
            <w:vAlign w:val="center"/>
          </w:tcPr>
          <w:p w14:paraId="45B3B659">
            <w:pPr>
              <w:tabs>
                <w:tab w:val="left" w:pos="6300"/>
              </w:tabs>
              <w:snapToGrid w:val="0"/>
              <w:ind w:firstLine="420"/>
              <w:jc w:val="center"/>
              <w:rPr>
                <w:rFonts w:hint="eastAsia" w:ascii="仿宋" w:hAnsi="仿宋" w:eastAsia="仿宋" w:cs="仿宋"/>
                <w:color w:val="auto"/>
                <w:sz w:val="21"/>
                <w:szCs w:val="21"/>
                <w:highlight w:val="none"/>
              </w:rPr>
            </w:pPr>
          </w:p>
        </w:tc>
        <w:tc>
          <w:tcPr>
            <w:tcW w:w="1199" w:type="pct"/>
            <w:vAlign w:val="center"/>
          </w:tcPr>
          <w:p w14:paraId="1A675212">
            <w:pPr>
              <w:tabs>
                <w:tab w:val="left" w:pos="6300"/>
              </w:tabs>
              <w:snapToGrid w:val="0"/>
              <w:ind w:firstLine="420"/>
              <w:jc w:val="center"/>
              <w:rPr>
                <w:rFonts w:hint="eastAsia" w:ascii="仿宋" w:hAnsi="仿宋" w:eastAsia="仿宋" w:cs="仿宋"/>
                <w:color w:val="auto"/>
                <w:sz w:val="21"/>
                <w:szCs w:val="21"/>
                <w:highlight w:val="none"/>
              </w:rPr>
            </w:pPr>
          </w:p>
        </w:tc>
      </w:tr>
      <w:tr w14:paraId="5C807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vAlign w:val="center"/>
          </w:tcPr>
          <w:p w14:paraId="6AC8EBBC">
            <w:pPr>
              <w:tabs>
                <w:tab w:val="left" w:pos="6300"/>
              </w:tabs>
              <w:snapToGrid w:val="0"/>
              <w:ind w:firstLine="420"/>
              <w:jc w:val="center"/>
              <w:rPr>
                <w:rFonts w:hint="eastAsia" w:ascii="仿宋" w:hAnsi="仿宋" w:eastAsia="仿宋" w:cs="仿宋"/>
                <w:color w:val="auto"/>
                <w:sz w:val="21"/>
                <w:szCs w:val="21"/>
                <w:highlight w:val="none"/>
              </w:rPr>
            </w:pPr>
          </w:p>
        </w:tc>
        <w:tc>
          <w:tcPr>
            <w:tcW w:w="1542" w:type="pct"/>
            <w:vAlign w:val="center"/>
          </w:tcPr>
          <w:p w14:paraId="39086D01">
            <w:pPr>
              <w:tabs>
                <w:tab w:val="left" w:pos="6300"/>
              </w:tabs>
              <w:snapToGrid w:val="0"/>
              <w:ind w:firstLine="420"/>
              <w:jc w:val="center"/>
              <w:rPr>
                <w:rFonts w:hint="eastAsia" w:ascii="仿宋" w:hAnsi="仿宋" w:eastAsia="仿宋" w:cs="仿宋"/>
                <w:color w:val="auto"/>
                <w:sz w:val="21"/>
                <w:szCs w:val="21"/>
                <w:highlight w:val="none"/>
              </w:rPr>
            </w:pPr>
          </w:p>
        </w:tc>
        <w:tc>
          <w:tcPr>
            <w:tcW w:w="1600" w:type="pct"/>
            <w:vAlign w:val="center"/>
          </w:tcPr>
          <w:p w14:paraId="134A93CF">
            <w:pPr>
              <w:tabs>
                <w:tab w:val="left" w:pos="6300"/>
              </w:tabs>
              <w:snapToGrid w:val="0"/>
              <w:ind w:firstLine="420"/>
              <w:jc w:val="center"/>
              <w:rPr>
                <w:rFonts w:hint="eastAsia" w:ascii="仿宋" w:hAnsi="仿宋" w:eastAsia="仿宋" w:cs="仿宋"/>
                <w:color w:val="auto"/>
                <w:sz w:val="21"/>
                <w:szCs w:val="21"/>
                <w:highlight w:val="none"/>
              </w:rPr>
            </w:pPr>
          </w:p>
        </w:tc>
        <w:tc>
          <w:tcPr>
            <w:tcW w:w="1199" w:type="pct"/>
            <w:vAlign w:val="center"/>
          </w:tcPr>
          <w:p w14:paraId="2F153AE0">
            <w:pPr>
              <w:tabs>
                <w:tab w:val="left" w:pos="6300"/>
              </w:tabs>
              <w:snapToGrid w:val="0"/>
              <w:ind w:firstLine="420"/>
              <w:jc w:val="center"/>
              <w:rPr>
                <w:rFonts w:hint="eastAsia" w:ascii="仿宋" w:hAnsi="仿宋" w:eastAsia="仿宋" w:cs="仿宋"/>
                <w:color w:val="auto"/>
                <w:sz w:val="21"/>
                <w:szCs w:val="21"/>
                <w:highlight w:val="none"/>
              </w:rPr>
            </w:pPr>
          </w:p>
        </w:tc>
      </w:tr>
      <w:tr w14:paraId="45ED2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vAlign w:val="center"/>
          </w:tcPr>
          <w:p w14:paraId="46B84B04">
            <w:pPr>
              <w:tabs>
                <w:tab w:val="left" w:pos="6300"/>
              </w:tabs>
              <w:snapToGrid w:val="0"/>
              <w:ind w:firstLine="420"/>
              <w:jc w:val="center"/>
              <w:rPr>
                <w:rFonts w:hint="eastAsia" w:ascii="仿宋" w:hAnsi="仿宋" w:eastAsia="仿宋" w:cs="仿宋"/>
                <w:color w:val="auto"/>
                <w:sz w:val="21"/>
                <w:szCs w:val="21"/>
                <w:highlight w:val="none"/>
              </w:rPr>
            </w:pPr>
          </w:p>
        </w:tc>
        <w:tc>
          <w:tcPr>
            <w:tcW w:w="1542" w:type="pct"/>
            <w:vAlign w:val="center"/>
          </w:tcPr>
          <w:p w14:paraId="2722BB96">
            <w:pPr>
              <w:tabs>
                <w:tab w:val="left" w:pos="6300"/>
              </w:tabs>
              <w:snapToGrid w:val="0"/>
              <w:ind w:firstLine="420"/>
              <w:jc w:val="center"/>
              <w:rPr>
                <w:rFonts w:hint="eastAsia" w:ascii="仿宋" w:hAnsi="仿宋" w:eastAsia="仿宋" w:cs="仿宋"/>
                <w:color w:val="auto"/>
                <w:sz w:val="21"/>
                <w:szCs w:val="21"/>
                <w:highlight w:val="none"/>
              </w:rPr>
            </w:pPr>
          </w:p>
        </w:tc>
        <w:tc>
          <w:tcPr>
            <w:tcW w:w="1600" w:type="pct"/>
            <w:vAlign w:val="center"/>
          </w:tcPr>
          <w:p w14:paraId="7A8328E1">
            <w:pPr>
              <w:tabs>
                <w:tab w:val="left" w:pos="6300"/>
              </w:tabs>
              <w:snapToGrid w:val="0"/>
              <w:ind w:firstLine="420"/>
              <w:jc w:val="center"/>
              <w:rPr>
                <w:rFonts w:hint="eastAsia" w:ascii="仿宋" w:hAnsi="仿宋" w:eastAsia="仿宋" w:cs="仿宋"/>
                <w:color w:val="auto"/>
                <w:sz w:val="21"/>
                <w:szCs w:val="21"/>
                <w:highlight w:val="none"/>
              </w:rPr>
            </w:pPr>
          </w:p>
        </w:tc>
        <w:tc>
          <w:tcPr>
            <w:tcW w:w="1199" w:type="pct"/>
            <w:vAlign w:val="center"/>
          </w:tcPr>
          <w:p w14:paraId="14C43335">
            <w:pPr>
              <w:tabs>
                <w:tab w:val="left" w:pos="6300"/>
              </w:tabs>
              <w:snapToGrid w:val="0"/>
              <w:ind w:firstLine="420"/>
              <w:jc w:val="center"/>
              <w:rPr>
                <w:rFonts w:hint="eastAsia" w:ascii="仿宋" w:hAnsi="仿宋" w:eastAsia="仿宋" w:cs="仿宋"/>
                <w:color w:val="auto"/>
                <w:sz w:val="21"/>
                <w:szCs w:val="21"/>
                <w:highlight w:val="none"/>
              </w:rPr>
            </w:pPr>
          </w:p>
        </w:tc>
      </w:tr>
      <w:tr w14:paraId="77C4B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vAlign w:val="center"/>
          </w:tcPr>
          <w:p w14:paraId="362F3C8E">
            <w:pPr>
              <w:tabs>
                <w:tab w:val="left" w:pos="6300"/>
              </w:tabs>
              <w:snapToGrid w:val="0"/>
              <w:ind w:firstLine="420"/>
              <w:jc w:val="center"/>
              <w:rPr>
                <w:rFonts w:hint="eastAsia" w:ascii="仿宋" w:hAnsi="仿宋" w:eastAsia="仿宋" w:cs="仿宋"/>
                <w:color w:val="auto"/>
                <w:sz w:val="21"/>
                <w:szCs w:val="21"/>
                <w:highlight w:val="none"/>
              </w:rPr>
            </w:pPr>
          </w:p>
        </w:tc>
        <w:tc>
          <w:tcPr>
            <w:tcW w:w="1542" w:type="pct"/>
            <w:vAlign w:val="center"/>
          </w:tcPr>
          <w:p w14:paraId="4D32EABA">
            <w:pPr>
              <w:tabs>
                <w:tab w:val="left" w:pos="6300"/>
              </w:tabs>
              <w:snapToGrid w:val="0"/>
              <w:ind w:firstLine="420"/>
              <w:jc w:val="center"/>
              <w:rPr>
                <w:rFonts w:hint="eastAsia" w:ascii="仿宋" w:hAnsi="仿宋" w:eastAsia="仿宋" w:cs="仿宋"/>
                <w:color w:val="auto"/>
                <w:sz w:val="21"/>
                <w:szCs w:val="21"/>
                <w:highlight w:val="none"/>
              </w:rPr>
            </w:pPr>
          </w:p>
        </w:tc>
        <w:tc>
          <w:tcPr>
            <w:tcW w:w="1600" w:type="pct"/>
            <w:vAlign w:val="center"/>
          </w:tcPr>
          <w:p w14:paraId="3563C4ED">
            <w:pPr>
              <w:tabs>
                <w:tab w:val="left" w:pos="6300"/>
              </w:tabs>
              <w:snapToGrid w:val="0"/>
              <w:ind w:firstLine="420"/>
              <w:jc w:val="center"/>
              <w:rPr>
                <w:rFonts w:hint="eastAsia" w:ascii="仿宋" w:hAnsi="仿宋" w:eastAsia="仿宋" w:cs="仿宋"/>
                <w:color w:val="auto"/>
                <w:sz w:val="21"/>
                <w:szCs w:val="21"/>
                <w:highlight w:val="none"/>
              </w:rPr>
            </w:pPr>
          </w:p>
        </w:tc>
        <w:tc>
          <w:tcPr>
            <w:tcW w:w="1199" w:type="pct"/>
            <w:vAlign w:val="center"/>
          </w:tcPr>
          <w:p w14:paraId="4F868C64">
            <w:pPr>
              <w:tabs>
                <w:tab w:val="left" w:pos="6300"/>
              </w:tabs>
              <w:snapToGrid w:val="0"/>
              <w:ind w:firstLine="420"/>
              <w:jc w:val="center"/>
              <w:rPr>
                <w:rFonts w:hint="eastAsia" w:ascii="仿宋" w:hAnsi="仿宋" w:eastAsia="仿宋" w:cs="仿宋"/>
                <w:color w:val="auto"/>
                <w:sz w:val="21"/>
                <w:szCs w:val="21"/>
                <w:highlight w:val="none"/>
              </w:rPr>
            </w:pPr>
          </w:p>
        </w:tc>
      </w:tr>
      <w:tr w14:paraId="47870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vAlign w:val="center"/>
          </w:tcPr>
          <w:p w14:paraId="51F0B667">
            <w:pPr>
              <w:tabs>
                <w:tab w:val="left" w:pos="6300"/>
              </w:tabs>
              <w:snapToGrid w:val="0"/>
              <w:ind w:firstLine="420"/>
              <w:jc w:val="center"/>
              <w:rPr>
                <w:rFonts w:hint="eastAsia" w:ascii="仿宋" w:hAnsi="仿宋" w:eastAsia="仿宋" w:cs="仿宋"/>
                <w:color w:val="auto"/>
                <w:sz w:val="21"/>
                <w:szCs w:val="21"/>
                <w:highlight w:val="none"/>
              </w:rPr>
            </w:pPr>
          </w:p>
        </w:tc>
        <w:tc>
          <w:tcPr>
            <w:tcW w:w="1542" w:type="pct"/>
            <w:vAlign w:val="center"/>
          </w:tcPr>
          <w:p w14:paraId="1A92665C">
            <w:pPr>
              <w:tabs>
                <w:tab w:val="left" w:pos="6300"/>
              </w:tabs>
              <w:snapToGrid w:val="0"/>
              <w:ind w:firstLine="420"/>
              <w:jc w:val="center"/>
              <w:rPr>
                <w:rFonts w:hint="eastAsia" w:ascii="仿宋" w:hAnsi="仿宋" w:eastAsia="仿宋" w:cs="仿宋"/>
                <w:color w:val="auto"/>
                <w:sz w:val="21"/>
                <w:szCs w:val="21"/>
                <w:highlight w:val="none"/>
              </w:rPr>
            </w:pPr>
          </w:p>
        </w:tc>
        <w:tc>
          <w:tcPr>
            <w:tcW w:w="1600" w:type="pct"/>
            <w:vAlign w:val="center"/>
          </w:tcPr>
          <w:p w14:paraId="7D6DA232">
            <w:pPr>
              <w:tabs>
                <w:tab w:val="left" w:pos="6300"/>
              </w:tabs>
              <w:snapToGrid w:val="0"/>
              <w:ind w:firstLine="420"/>
              <w:jc w:val="center"/>
              <w:rPr>
                <w:rFonts w:hint="eastAsia" w:ascii="仿宋" w:hAnsi="仿宋" w:eastAsia="仿宋" w:cs="仿宋"/>
                <w:color w:val="auto"/>
                <w:sz w:val="21"/>
                <w:szCs w:val="21"/>
                <w:highlight w:val="none"/>
              </w:rPr>
            </w:pPr>
          </w:p>
        </w:tc>
        <w:tc>
          <w:tcPr>
            <w:tcW w:w="1199" w:type="pct"/>
            <w:vAlign w:val="center"/>
          </w:tcPr>
          <w:p w14:paraId="71F46301">
            <w:pPr>
              <w:tabs>
                <w:tab w:val="left" w:pos="6300"/>
              </w:tabs>
              <w:snapToGrid w:val="0"/>
              <w:ind w:firstLine="420"/>
              <w:jc w:val="center"/>
              <w:rPr>
                <w:rFonts w:hint="eastAsia" w:ascii="仿宋" w:hAnsi="仿宋" w:eastAsia="仿宋" w:cs="仿宋"/>
                <w:color w:val="auto"/>
                <w:sz w:val="21"/>
                <w:szCs w:val="21"/>
                <w:highlight w:val="none"/>
              </w:rPr>
            </w:pPr>
          </w:p>
        </w:tc>
      </w:tr>
      <w:tr w14:paraId="39DE9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vAlign w:val="center"/>
          </w:tcPr>
          <w:p w14:paraId="231EF11A">
            <w:pPr>
              <w:tabs>
                <w:tab w:val="left" w:pos="6300"/>
              </w:tabs>
              <w:snapToGrid w:val="0"/>
              <w:ind w:firstLine="420"/>
              <w:jc w:val="center"/>
              <w:rPr>
                <w:rFonts w:hint="eastAsia" w:ascii="仿宋" w:hAnsi="仿宋" w:eastAsia="仿宋" w:cs="仿宋"/>
                <w:color w:val="auto"/>
                <w:sz w:val="21"/>
                <w:szCs w:val="21"/>
                <w:highlight w:val="none"/>
              </w:rPr>
            </w:pPr>
          </w:p>
        </w:tc>
        <w:tc>
          <w:tcPr>
            <w:tcW w:w="1542" w:type="pct"/>
            <w:vAlign w:val="center"/>
          </w:tcPr>
          <w:p w14:paraId="75142BFD">
            <w:pPr>
              <w:tabs>
                <w:tab w:val="left" w:pos="6300"/>
              </w:tabs>
              <w:snapToGrid w:val="0"/>
              <w:ind w:firstLine="420"/>
              <w:jc w:val="center"/>
              <w:rPr>
                <w:rFonts w:hint="eastAsia" w:ascii="仿宋" w:hAnsi="仿宋" w:eastAsia="仿宋" w:cs="仿宋"/>
                <w:color w:val="auto"/>
                <w:sz w:val="21"/>
                <w:szCs w:val="21"/>
                <w:highlight w:val="none"/>
              </w:rPr>
            </w:pPr>
          </w:p>
        </w:tc>
        <w:tc>
          <w:tcPr>
            <w:tcW w:w="1600" w:type="pct"/>
            <w:vAlign w:val="center"/>
          </w:tcPr>
          <w:p w14:paraId="21E875EF">
            <w:pPr>
              <w:tabs>
                <w:tab w:val="left" w:pos="6300"/>
              </w:tabs>
              <w:snapToGrid w:val="0"/>
              <w:ind w:firstLine="420"/>
              <w:jc w:val="center"/>
              <w:rPr>
                <w:rFonts w:hint="eastAsia" w:ascii="仿宋" w:hAnsi="仿宋" w:eastAsia="仿宋" w:cs="仿宋"/>
                <w:color w:val="auto"/>
                <w:sz w:val="21"/>
                <w:szCs w:val="21"/>
                <w:highlight w:val="none"/>
              </w:rPr>
            </w:pPr>
          </w:p>
        </w:tc>
        <w:tc>
          <w:tcPr>
            <w:tcW w:w="1199" w:type="pct"/>
            <w:vAlign w:val="center"/>
          </w:tcPr>
          <w:p w14:paraId="6E011063">
            <w:pPr>
              <w:tabs>
                <w:tab w:val="left" w:pos="6300"/>
              </w:tabs>
              <w:snapToGrid w:val="0"/>
              <w:ind w:firstLine="420"/>
              <w:jc w:val="center"/>
              <w:rPr>
                <w:rFonts w:hint="eastAsia" w:ascii="仿宋" w:hAnsi="仿宋" w:eastAsia="仿宋" w:cs="仿宋"/>
                <w:color w:val="auto"/>
                <w:sz w:val="21"/>
                <w:szCs w:val="21"/>
                <w:highlight w:val="none"/>
              </w:rPr>
            </w:pPr>
          </w:p>
        </w:tc>
      </w:tr>
    </w:tbl>
    <w:p w14:paraId="2BB3C74D">
      <w:pPr>
        <w:ind w:firstLine="600" w:firstLineChars="250"/>
        <w:rPr>
          <w:rFonts w:hint="eastAsia" w:ascii="仿宋" w:hAnsi="仿宋" w:eastAsia="仿宋" w:cs="仿宋"/>
          <w:color w:val="auto"/>
          <w:sz w:val="24"/>
          <w:szCs w:val="28"/>
          <w:highlight w:val="none"/>
        </w:rPr>
      </w:pPr>
      <w:r>
        <w:rPr>
          <w:rFonts w:hint="eastAsia" w:ascii="仿宋" w:hAnsi="仿宋" w:eastAsia="仿宋" w:cs="仿宋"/>
          <w:color w:val="auto"/>
          <w:sz w:val="24"/>
          <w:szCs w:val="28"/>
          <w:highlight w:val="none"/>
          <w:lang w:eastAsia="zh-CN"/>
        </w:rPr>
        <w:t>供应商</w:t>
      </w:r>
      <w:r>
        <w:rPr>
          <w:rFonts w:hint="eastAsia" w:ascii="仿宋" w:hAnsi="仿宋" w:eastAsia="仿宋" w:cs="仿宋"/>
          <w:color w:val="auto"/>
          <w:sz w:val="24"/>
          <w:szCs w:val="28"/>
          <w:highlight w:val="none"/>
        </w:rPr>
        <w:t>：                      法定代表人（或法定代表人授权代表）或自然人：</w:t>
      </w:r>
    </w:p>
    <w:p w14:paraId="2AF19BDB">
      <w:pPr>
        <w:ind w:firstLine="480"/>
        <w:rPr>
          <w:rFonts w:hint="eastAsia" w:ascii="仿宋" w:hAnsi="仿宋" w:eastAsia="仿宋" w:cs="仿宋"/>
          <w:color w:val="auto"/>
          <w:sz w:val="24"/>
          <w:szCs w:val="28"/>
          <w:highlight w:val="none"/>
        </w:rPr>
      </w:pPr>
      <w:r>
        <w:rPr>
          <w:rFonts w:hint="eastAsia" w:ascii="仿宋" w:hAnsi="仿宋" w:eastAsia="仿宋" w:cs="仿宋"/>
          <w:color w:val="auto"/>
          <w:sz w:val="24"/>
          <w:szCs w:val="28"/>
          <w:highlight w:val="none"/>
        </w:rPr>
        <w:t xml:space="preserve">    </w:t>
      </w:r>
    </w:p>
    <w:p w14:paraId="11F4F3F5">
      <w:pPr>
        <w:ind w:firstLine="720" w:firstLineChars="300"/>
        <w:rPr>
          <w:rFonts w:hint="eastAsia" w:ascii="仿宋" w:hAnsi="仿宋" w:eastAsia="仿宋" w:cs="仿宋"/>
          <w:color w:val="auto"/>
          <w:sz w:val="24"/>
          <w:szCs w:val="28"/>
          <w:highlight w:val="none"/>
        </w:rPr>
      </w:pPr>
      <w:r>
        <w:rPr>
          <w:rFonts w:hint="eastAsia" w:ascii="仿宋" w:hAnsi="仿宋" w:eastAsia="仿宋" w:cs="仿宋"/>
          <w:color w:val="auto"/>
          <w:sz w:val="24"/>
          <w:szCs w:val="28"/>
          <w:highlight w:val="none"/>
        </w:rPr>
        <w:t>（</w:t>
      </w:r>
      <w:r>
        <w:rPr>
          <w:rFonts w:hint="eastAsia" w:ascii="仿宋" w:hAnsi="仿宋" w:eastAsia="仿宋" w:cs="仿宋"/>
          <w:color w:val="auto"/>
          <w:sz w:val="24"/>
          <w:szCs w:val="28"/>
          <w:highlight w:val="none"/>
          <w:lang w:eastAsia="zh-CN"/>
        </w:rPr>
        <w:t>供应商</w:t>
      </w:r>
      <w:r>
        <w:rPr>
          <w:rFonts w:hint="eastAsia" w:ascii="仿宋" w:hAnsi="仿宋" w:eastAsia="仿宋" w:cs="仿宋"/>
          <w:color w:val="auto"/>
          <w:sz w:val="24"/>
          <w:szCs w:val="28"/>
          <w:highlight w:val="none"/>
        </w:rPr>
        <w:t>公章）                               （签署或盖章）</w:t>
      </w:r>
    </w:p>
    <w:p w14:paraId="7D3FB7D8">
      <w:pPr>
        <w:tabs>
          <w:tab w:val="left" w:pos="6300"/>
        </w:tabs>
        <w:snapToGrid w:val="0"/>
        <w:ind w:firstLine="480"/>
        <w:rPr>
          <w:rFonts w:hint="eastAsia" w:ascii="仿宋" w:hAnsi="仿宋" w:eastAsia="仿宋" w:cs="仿宋"/>
          <w:color w:val="auto"/>
          <w:sz w:val="24"/>
          <w:highlight w:val="none"/>
        </w:rPr>
      </w:pPr>
      <w:r>
        <w:rPr>
          <w:rFonts w:hint="eastAsia" w:ascii="仿宋" w:hAnsi="仿宋" w:eastAsia="仿宋" w:cs="仿宋"/>
          <w:color w:val="auto"/>
          <w:sz w:val="24"/>
          <w:szCs w:val="28"/>
          <w:highlight w:val="none"/>
        </w:rPr>
        <w:t xml:space="preserve">                                            年     月     日</w:t>
      </w:r>
    </w:p>
    <w:p w14:paraId="107CE25E">
      <w:pPr>
        <w:tabs>
          <w:tab w:val="left" w:pos="6300"/>
        </w:tabs>
        <w:snapToGrid w:val="0"/>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rPr>
        <w:t>注：</w:t>
      </w:r>
    </w:p>
    <w:p w14:paraId="2204DE3B">
      <w:pPr>
        <w:tabs>
          <w:tab w:val="left" w:pos="6300"/>
        </w:tabs>
        <w:snapToGrid w:val="0"/>
        <w:ind w:firstLine="48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1.本表即为对本项目“第二篇  项目服务需求”中所列条款进行比较和响应；</w:t>
      </w:r>
    </w:p>
    <w:p w14:paraId="2FCE4C1C">
      <w:pPr>
        <w:tabs>
          <w:tab w:val="left" w:pos="6300"/>
        </w:tabs>
        <w:snapToGrid w:val="0"/>
        <w:ind w:firstLine="48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2.本表可扩展；</w:t>
      </w:r>
    </w:p>
    <w:p w14:paraId="184A9D60">
      <w:pPr>
        <w:tabs>
          <w:tab w:val="left" w:pos="6300"/>
        </w:tabs>
        <w:snapToGrid w:val="0"/>
        <w:ind w:firstLine="48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3.可附相关技术（质量）支撑材料。（格式自定）</w:t>
      </w:r>
    </w:p>
    <w:p w14:paraId="44AAF1C1">
      <w:pPr>
        <w:snapToGrid w:val="0"/>
        <w:ind w:firstLine="560" w:firstLineChars="200"/>
        <w:rPr>
          <w:rFonts w:hint="eastAsia" w:ascii="仿宋" w:hAnsi="仿宋" w:eastAsia="仿宋" w:cs="仿宋"/>
          <w:color w:val="auto"/>
          <w:sz w:val="24"/>
          <w:szCs w:val="28"/>
          <w:highlight w:val="none"/>
        </w:rPr>
      </w:pPr>
      <w:r>
        <w:rPr>
          <w:rFonts w:hint="eastAsia" w:ascii="仿宋" w:hAnsi="仿宋" w:eastAsia="仿宋" w:cs="仿宋"/>
          <w:color w:val="auto"/>
          <w:szCs w:val="24"/>
          <w:highlight w:val="none"/>
        </w:rPr>
        <w:br w:type="page"/>
      </w:r>
    </w:p>
    <w:p w14:paraId="6D095EDD">
      <w:pPr>
        <w:pStyle w:val="3"/>
        <w:spacing w:line="240" w:lineRule="auto"/>
        <w:ind w:firstLine="643"/>
        <w:rPr>
          <w:rFonts w:hint="eastAsia" w:ascii="仿宋" w:hAnsi="仿宋" w:eastAsia="仿宋" w:cs="仿宋"/>
          <w:color w:val="auto"/>
          <w:highlight w:val="none"/>
        </w:rPr>
      </w:pPr>
      <w:bookmarkStart w:id="159" w:name="_Toc26494"/>
      <w:bookmarkStart w:id="160" w:name="_Toc6786"/>
      <w:bookmarkStart w:id="161" w:name="_Toc75793542"/>
      <w:bookmarkStart w:id="162" w:name="_Toc4362"/>
      <w:bookmarkStart w:id="163" w:name="_Toc8958"/>
      <w:bookmarkStart w:id="164" w:name="_Toc5573"/>
      <w:bookmarkStart w:id="165" w:name="_Toc32670"/>
      <w:bookmarkStart w:id="166" w:name="_Toc23523"/>
      <w:bookmarkStart w:id="167" w:name="_Toc183783162"/>
      <w:bookmarkStart w:id="168" w:name="_Toc106030419"/>
      <w:bookmarkStart w:id="169" w:name="_Toc10372"/>
      <w:bookmarkStart w:id="170" w:name="_Toc30496"/>
      <w:bookmarkStart w:id="171" w:name="_Toc17290"/>
      <w:bookmarkStart w:id="172" w:name="_Toc22113"/>
      <w:bookmarkStart w:id="173" w:name="_Toc492721039"/>
      <w:bookmarkStart w:id="174" w:name="_Toc7069"/>
      <w:bookmarkStart w:id="175" w:name="_Toc14954"/>
      <w:bookmarkStart w:id="176" w:name="_Toc28242"/>
      <w:bookmarkStart w:id="177" w:name="_Toc493178791"/>
      <w:r>
        <w:rPr>
          <w:rFonts w:hint="eastAsia" w:ascii="仿宋" w:hAnsi="仿宋" w:eastAsia="仿宋" w:cs="仿宋"/>
          <w:color w:val="auto"/>
          <w:highlight w:val="none"/>
        </w:rPr>
        <w:t>三、商务文件</w:t>
      </w:r>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p>
    <w:p w14:paraId="1B894337">
      <w:pPr>
        <w:ind w:firstLine="440"/>
        <w:rPr>
          <w:rFonts w:hint="eastAsia" w:ascii="仿宋" w:hAnsi="仿宋" w:eastAsia="仿宋" w:cs="仿宋"/>
          <w:color w:val="auto"/>
          <w:sz w:val="22"/>
          <w:szCs w:val="16"/>
          <w:highlight w:val="none"/>
        </w:rPr>
      </w:pPr>
      <w:r>
        <w:rPr>
          <w:rFonts w:hint="eastAsia" w:ascii="仿宋" w:hAnsi="仿宋" w:eastAsia="仿宋" w:cs="仿宋"/>
          <w:color w:val="auto"/>
          <w:sz w:val="22"/>
          <w:szCs w:val="16"/>
          <w:highlight w:val="none"/>
        </w:rPr>
        <w:t>（一）服务要求响应情况</w:t>
      </w:r>
    </w:p>
    <w:p w14:paraId="7BE4636D">
      <w:pPr>
        <w:ind w:firstLine="482"/>
        <w:rPr>
          <w:rFonts w:hint="eastAsia" w:ascii="仿宋" w:hAnsi="仿宋" w:eastAsia="仿宋" w:cs="仿宋"/>
          <w:b/>
          <w:color w:val="auto"/>
          <w:szCs w:val="28"/>
          <w:highlight w:val="none"/>
        </w:rPr>
      </w:pPr>
    </w:p>
    <w:p w14:paraId="03C7539F">
      <w:pPr>
        <w:ind w:firstLine="440"/>
        <w:rPr>
          <w:rFonts w:hint="eastAsia" w:ascii="仿宋" w:hAnsi="仿宋" w:eastAsia="仿宋" w:cs="仿宋"/>
          <w:color w:val="auto"/>
          <w:sz w:val="22"/>
          <w:szCs w:val="16"/>
          <w:highlight w:val="none"/>
        </w:rPr>
      </w:pPr>
      <w:r>
        <w:rPr>
          <w:rFonts w:hint="eastAsia" w:ascii="仿宋" w:hAnsi="仿宋" w:eastAsia="仿宋" w:cs="仿宋"/>
          <w:color w:val="auto"/>
          <w:sz w:val="22"/>
          <w:szCs w:val="16"/>
          <w:highlight w:val="none"/>
        </w:rPr>
        <w:t>（二）商务响应偏离表</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2968"/>
        <w:gridCol w:w="3082"/>
        <w:gridCol w:w="2307"/>
      </w:tblGrid>
      <w:tr w14:paraId="4338F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6" w:hRule="atLeast"/>
          <w:jc w:val="center"/>
        </w:trPr>
        <w:tc>
          <w:tcPr>
            <w:tcW w:w="660" w:type="pct"/>
            <w:vAlign w:val="center"/>
          </w:tcPr>
          <w:p w14:paraId="10DFBA87">
            <w:pPr>
              <w:ind w:firstLine="440"/>
              <w:jc w:val="center"/>
              <w:rPr>
                <w:rFonts w:hint="eastAsia" w:ascii="仿宋" w:hAnsi="仿宋" w:eastAsia="仿宋" w:cs="仿宋"/>
                <w:color w:val="auto"/>
                <w:sz w:val="22"/>
                <w:szCs w:val="22"/>
                <w:highlight w:val="none"/>
              </w:rPr>
            </w:pPr>
            <w:r>
              <w:rPr>
                <w:rFonts w:hint="eastAsia" w:ascii="仿宋" w:hAnsi="仿宋" w:eastAsia="仿宋" w:cs="仿宋"/>
                <w:bCs/>
                <w:color w:val="auto"/>
                <w:sz w:val="22"/>
                <w:szCs w:val="22"/>
                <w:highlight w:val="none"/>
              </w:rPr>
              <w:t>序号</w:t>
            </w:r>
          </w:p>
        </w:tc>
        <w:tc>
          <w:tcPr>
            <w:tcW w:w="1541" w:type="pct"/>
            <w:vAlign w:val="center"/>
          </w:tcPr>
          <w:p w14:paraId="7203969F">
            <w:pPr>
              <w:ind w:firstLine="44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招标商务</w:t>
            </w:r>
            <w:r>
              <w:rPr>
                <w:rFonts w:hint="eastAsia" w:ascii="仿宋" w:hAnsi="仿宋" w:eastAsia="仿宋" w:cs="仿宋"/>
                <w:bCs/>
                <w:color w:val="auto"/>
                <w:sz w:val="22"/>
                <w:szCs w:val="22"/>
                <w:highlight w:val="none"/>
              </w:rPr>
              <w:t>要求</w:t>
            </w:r>
          </w:p>
        </w:tc>
        <w:tc>
          <w:tcPr>
            <w:tcW w:w="1600" w:type="pct"/>
            <w:vAlign w:val="center"/>
          </w:tcPr>
          <w:p w14:paraId="0EB639D7">
            <w:pPr>
              <w:ind w:firstLine="44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投标商务应答</w:t>
            </w:r>
          </w:p>
        </w:tc>
        <w:tc>
          <w:tcPr>
            <w:tcW w:w="1198" w:type="pct"/>
            <w:vAlign w:val="center"/>
          </w:tcPr>
          <w:p w14:paraId="7FD5AC1E">
            <w:pPr>
              <w:ind w:firstLine="44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差异</w:t>
            </w:r>
            <w:r>
              <w:rPr>
                <w:rFonts w:hint="eastAsia" w:ascii="仿宋" w:hAnsi="仿宋" w:eastAsia="仿宋" w:cs="仿宋"/>
                <w:bCs/>
                <w:color w:val="auto"/>
                <w:sz w:val="22"/>
                <w:szCs w:val="22"/>
                <w:highlight w:val="none"/>
              </w:rPr>
              <w:t>说明</w:t>
            </w:r>
          </w:p>
        </w:tc>
      </w:tr>
      <w:tr w14:paraId="4A9A3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vAlign w:val="center"/>
          </w:tcPr>
          <w:p w14:paraId="7AA45605">
            <w:pPr>
              <w:ind w:firstLine="440"/>
              <w:rPr>
                <w:rFonts w:hint="eastAsia" w:ascii="仿宋" w:hAnsi="仿宋" w:eastAsia="仿宋" w:cs="仿宋"/>
                <w:color w:val="auto"/>
                <w:sz w:val="22"/>
                <w:szCs w:val="22"/>
                <w:highlight w:val="none"/>
              </w:rPr>
            </w:pPr>
          </w:p>
        </w:tc>
        <w:tc>
          <w:tcPr>
            <w:tcW w:w="1541" w:type="pct"/>
            <w:vAlign w:val="center"/>
          </w:tcPr>
          <w:p w14:paraId="0D8505BD">
            <w:pPr>
              <w:ind w:firstLine="440"/>
              <w:rPr>
                <w:rFonts w:hint="eastAsia" w:ascii="仿宋" w:hAnsi="仿宋" w:eastAsia="仿宋" w:cs="仿宋"/>
                <w:color w:val="auto"/>
                <w:sz w:val="22"/>
                <w:szCs w:val="22"/>
                <w:highlight w:val="none"/>
              </w:rPr>
            </w:pPr>
          </w:p>
        </w:tc>
        <w:tc>
          <w:tcPr>
            <w:tcW w:w="1600" w:type="pct"/>
            <w:vAlign w:val="center"/>
          </w:tcPr>
          <w:p w14:paraId="4339EA51">
            <w:pPr>
              <w:ind w:firstLine="440"/>
              <w:jc w:val="center"/>
              <w:rPr>
                <w:rFonts w:hint="eastAsia" w:ascii="仿宋" w:hAnsi="仿宋" w:eastAsia="仿宋" w:cs="仿宋"/>
                <w:color w:val="auto"/>
                <w:sz w:val="22"/>
                <w:szCs w:val="22"/>
                <w:highlight w:val="none"/>
              </w:rPr>
            </w:pPr>
          </w:p>
        </w:tc>
        <w:tc>
          <w:tcPr>
            <w:tcW w:w="1198" w:type="pct"/>
            <w:vAlign w:val="center"/>
          </w:tcPr>
          <w:p w14:paraId="1FDF0A48">
            <w:pPr>
              <w:ind w:firstLine="440"/>
              <w:rPr>
                <w:rFonts w:hint="eastAsia" w:ascii="仿宋" w:hAnsi="仿宋" w:eastAsia="仿宋" w:cs="仿宋"/>
                <w:color w:val="auto"/>
                <w:sz w:val="22"/>
                <w:szCs w:val="22"/>
                <w:highlight w:val="none"/>
              </w:rPr>
            </w:pPr>
          </w:p>
        </w:tc>
      </w:tr>
      <w:tr w14:paraId="733F8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vAlign w:val="center"/>
          </w:tcPr>
          <w:p w14:paraId="188AFB32">
            <w:pPr>
              <w:tabs>
                <w:tab w:val="left" w:pos="6300"/>
              </w:tabs>
              <w:snapToGrid w:val="0"/>
              <w:ind w:firstLine="420"/>
              <w:jc w:val="center"/>
              <w:rPr>
                <w:rFonts w:hint="eastAsia" w:ascii="仿宋" w:hAnsi="仿宋" w:eastAsia="仿宋" w:cs="仿宋"/>
                <w:color w:val="auto"/>
                <w:sz w:val="21"/>
                <w:szCs w:val="21"/>
                <w:highlight w:val="none"/>
              </w:rPr>
            </w:pPr>
          </w:p>
        </w:tc>
        <w:tc>
          <w:tcPr>
            <w:tcW w:w="1541" w:type="pct"/>
            <w:vAlign w:val="center"/>
          </w:tcPr>
          <w:p w14:paraId="26D365BD">
            <w:pPr>
              <w:tabs>
                <w:tab w:val="left" w:pos="6300"/>
              </w:tabs>
              <w:snapToGrid w:val="0"/>
              <w:ind w:firstLine="420"/>
              <w:jc w:val="center"/>
              <w:rPr>
                <w:rFonts w:hint="eastAsia" w:ascii="仿宋" w:hAnsi="仿宋" w:eastAsia="仿宋" w:cs="仿宋"/>
                <w:color w:val="auto"/>
                <w:sz w:val="21"/>
                <w:szCs w:val="21"/>
                <w:highlight w:val="none"/>
              </w:rPr>
            </w:pPr>
          </w:p>
        </w:tc>
        <w:tc>
          <w:tcPr>
            <w:tcW w:w="1600" w:type="pct"/>
            <w:vAlign w:val="center"/>
          </w:tcPr>
          <w:p w14:paraId="16F2BC75">
            <w:pPr>
              <w:tabs>
                <w:tab w:val="left" w:pos="6300"/>
              </w:tabs>
              <w:snapToGrid w:val="0"/>
              <w:ind w:firstLine="420"/>
              <w:jc w:val="center"/>
              <w:rPr>
                <w:rFonts w:hint="eastAsia" w:ascii="仿宋" w:hAnsi="仿宋" w:eastAsia="仿宋" w:cs="仿宋"/>
                <w:color w:val="auto"/>
                <w:sz w:val="21"/>
                <w:szCs w:val="21"/>
                <w:highlight w:val="none"/>
              </w:rPr>
            </w:pPr>
          </w:p>
        </w:tc>
        <w:tc>
          <w:tcPr>
            <w:tcW w:w="1198" w:type="pct"/>
            <w:vAlign w:val="center"/>
          </w:tcPr>
          <w:p w14:paraId="7934A234">
            <w:pPr>
              <w:tabs>
                <w:tab w:val="left" w:pos="6300"/>
              </w:tabs>
              <w:snapToGrid w:val="0"/>
              <w:ind w:firstLine="420"/>
              <w:jc w:val="center"/>
              <w:rPr>
                <w:rFonts w:hint="eastAsia" w:ascii="仿宋" w:hAnsi="仿宋" w:eastAsia="仿宋" w:cs="仿宋"/>
                <w:color w:val="auto"/>
                <w:sz w:val="21"/>
                <w:szCs w:val="21"/>
                <w:highlight w:val="none"/>
              </w:rPr>
            </w:pPr>
          </w:p>
        </w:tc>
      </w:tr>
      <w:tr w14:paraId="23824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vAlign w:val="center"/>
          </w:tcPr>
          <w:p w14:paraId="680165AE">
            <w:pPr>
              <w:tabs>
                <w:tab w:val="left" w:pos="6300"/>
              </w:tabs>
              <w:snapToGrid w:val="0"/>
              <w:ind w:firstLine="420"/>
              <w:jc w:val="center"/>
              <w:rPr>
                <w:rFonts w:hint="eastAsia" w:ascii="仿宋" w:hAnsi="仿宋" w:eastAsia="仿宋" w:cs="仿宋"/>
                <w:color w:val="auto"/>
                <w:sz w:val="21"/>
                <w:szCs w:val="21"/>
                <w:highlight w:val="none"/>
              </w:rPr>
            </w:pPr>
          </w:p>
        </w:tc>
        <w:tc>
          <w:tcPr>
            <w:tcW w:w="1541" w:type="pct"/>
            <w:vAlign w:val="center"/>
          </w:tcPr>
          <w:p w14:paraId="18A6A28C">
            <w:pPr>
              <w:tabs>
                <w:tab w:val="left" w:pos="6300"/>
              </w:tabs>
              <w:snapToGrid w:val="0"/>
              <w:ind w:firstLine="420"/>
              <w:jc w:val="center"/>
              <w:rPr>
                <w:rFonts w:hint="eastAsia" w:ascii="仿宋" w:hAnsi="仿宋" w:eastAsia="仿宋" w:cs="仿宋"/>
                <w:color w:val="auto"/>
                <w:sz w:val="21"/>
                <w:szCs w:val="21"/>
                <w:highlight w:val="none"/>
              </w:rPr>
            </w:pPr>
          </w:p>
        </w:tc>
        <w:tc>
          <w:tcPr>
            <w:tcW w:w="1600" w:type="pct"/>
            <w:vAlign w:val="center"/>
          </w:tcPr>
          <w:p w14:paraId="4BB6A2A2">
            <w:pPr>
              <w:tabs>
                <w:tab w:val="left" w:pos="6300"/>
              </w:tabs>
              <w:snapToGrid w:val="0"/>
              <w:ind w:firstLine="420"/>
              <w:jc w:val="center"/>
              <w:rPr>
                <w:rFonts w:hint="eastAsia" w:ascii="仿宋" w:hAnsi="仿宋" w:eastAsia="仿宋" w:cs="仿宋"/>
                <w:color w:val="auto"/>
                <w:sz w:val="21"/>
                <w:szCs w:val="21"/>
                <w:highlight w:val="none"/>
              </w:rPr>
            </w:pPr>
          </w:p>
        </w:tc>
        <w:tc>
          <w:tcPr>
            <w:tcW w:w="1198" w:type="pct"/>
            <w:vAlign w:val="center"/>
          </w:tcPr>
          <w:p w14:paraId="388A0F85">
            <w:pPr>
              <w:tabs>
                <w:tab w:val="left" w:pos="6300"/>
              </w:tabs>
              <w:snapToGrid w:val="0"/>
              <w:ind w:firstLine="420"/>
              <w:jc w:val="center"/>
              <w:rPr>
                <w:rFonts w:hint="eastAsia" w:ascii="仿宋" w:hAnsi="仿宋" w:eastAsia="仿宋" w:cs="仿宋"/>
                <w:color w:val="auto"/>
                <w:sz w:val="21"/>
                <w:szCs w:val="21"/>
                <w:highlight w:val="none"/>
              </w:rPr>
            </w:pPr>
          </w:p>
        </w:tc>
      </w:tr>
      <w:tr w14:paraId="3F79F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vAlign w:val="center"/>
          </w:tcPr>
          <w:p w14:paraId="57C50C73">
            <w:pPr>
              <w:tabs>
                <w:tab w:val="left" w:pos="6300"/>
              </w:tabs>
              <w:snapToGrid w:val="0"/>
              <w:ind w:firstLine="420"/>
              <w:jc w:val="center"/>
              <w:rPr>
                <w:rFonts w:hint="eastAsia" w:ascii="仿宋" w:hAnsi="仿宋" w:eastAsia="仿宋" w:cs="仿宋"/>
                <w:color w:val="auto"/>
                <w:sz w:val="21"/>
                <w:szCs w:val="21"/>
                <w:highlight w:val="none"/>
              </w:rPr>
            </w:pPr>
          </w:p>
        </w:tc>
        <w:tc>
          <w:tcPr>
            <w:tcW w:w="1541" w:type="pct"/>
            <w:vAlign w:val="center"/>
          </w:tcPr>
          <w:p w14:paraId="3D7B816D">
            <w:pPr>
              <w:tabs>
                <w:tab w:val="left" w:pos="6300"/>
              </w:tabs>
              <w:snapToGrid w:val="0"/>
              <w:ind w:firstLine="420"/>
              <w:jc w:val="center"/>
              <w:rPr>
                <w:rFonts w:hint="eastAsia" w:ascii="仿宋" w:hAnsi="仿宋" w:eastAsia="仿宋" w:cs="仿宋"/>
                <w:color w:val="auto"/>
                <w:sz w:val="21"/>
                <w:szCs w:val="21"/>
                <w:highlight w:val="none"/>
              </w:rPr>
            </w:pPr>
          </w:p>
        </w:tc>
        <w:tc>
          <w:tcPr>
            <w:tcW w:w="1600" w:type="pct"/>
            <w:vAlign w:val="center"/>
          </w:tcPr>
          <w:p w14:paraId="462110C8">
            <w:pPr>
              <w:tabs>
                <w:tab w:val="left" w:pos="6300"/>
              </w:tabs>
              <w:snapToGrid w:val="0"/>
              <w:ind w:firstLine="420"/>
              <w:jc w:val="center"/>
              <w:rPr>
                <w:rFonts w:hint="eastAsia" w:ascii="仿宋" w:hAnsi="仿宋" w:eastAsia="仿宋" w:cs="仿宋"/>
                <w:color w:val="auto"/>
                <w:sz w:val="21"/>
                <w:szCs w:val="21"/>
                <w:highlight w:val="none"/>
              </w:rPr>
            </w:pPr>
          </w:p>
        </w:tc>
        <w:tc>
          <w:tcPr>
            <w:tcW w:w="1198" w:type="pct"/>
            <w:vAlign w:val="center"/>
          </w:tcPr>
          <w:p w14:paraId="7D8DAEDB">
            <w:pPr>
              <w:tabs>
                <w:tab w:val="left" w:pos="6300"/>
              </w:tabs>
              <w:snapToGrid w:val="0"/>
              <w:ind w:firstLine="420"/>
              <w:jc w:val="center"/>
              <w:rPr>
                <w:rFonts w:hint="eastAsia" w:ascii="仿宋" w:hAnsi="仿宋" w:eastAsia="仿宋" w:cs="仿宋"/>
                <w:color w:val="auto"/>
                <w:sz w:val="21"/>
                <w:szCs w:val="21"/>
                <w:highlight w:val="none"/>
              </w:rPr>
            </w:pPr>
          </w:p>
        </w:tc>
      </w:tr>
      <w:tr w14:paraId="7DADA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vAlign w:val="center"/>
          </w:tcPr>
          <w:p w14:paraId="4624259F">
            <w:pPr>
              <w:tabs>
                <w:tab w:val="left" w:pos="6300"/>
              </w:tabs>
              <w:snapToGrid w:val="0"/>
              <w:ind w:firstLine="420"/>
              <w:jc w:val="center"/>
              <w:rPr>
                <w:rFonts w:hint="eastAsia" w:ascii="仿宋" w:hAnsi="仿宋" w:eastAsia="仿宋" w:cs="仿宋"/>
                <w:color w:val="auto"/>
                <w:sz w:val="21"/>
                <w:szCs w:val="21"/>
                <w:highlight w:val="none"/>
              </w:rPr>
            </w:pPr>
          </w:p>
        </w:tc>
        <w:tc>
          <w:tcPr>
            <w:tcW w:w="1541" w:type="pct"/>
            <w:vAlign w:val="center"/>
          </w:tcPr>
          <w:p w14:paraId="73C43168">
            <w:pPr>
              <w:tabs>
                <w:tab w:val="left" w:pos="6300"/>
              </w:tabs>
              <w:snapToGrid w:val="0"/>
              <w:ind w:firstLine="420"/>
              <w:jc w:val="center"/>
              <w:rPr>
                <w:rFonts w:hint="eastAsia" w:ascii="仿宋" w:hAnsi="仿宋" w:eastAsia="仿宋" w:cs="仿宋"/>
                <w:color w:val="auto"/>
                <w:sz w:val="21"/>
                <w:szCs w:val="21"/>
                <w:highlight w:val="none"/>
              </w:rPr>
            </w:pPr>
          </w:p>
        </w:tc>
        <w:tc>
          <w:tcPr>
            <w:tcW w:w="1600" w:type="pct"/>
            <w:vAlign w:val="center"/>
          </w:tcPr>
          <w:p w14:paraId="48A84B28">
            <w:pPr>
              <w:tabs>
                <w:tab w:val="left" w:pos="6300"/>
              </w:tabs>
              <w:snapToGrid w:val="0"/>
              <w:ind w:firstLine="420"/>
              <w:jc w:val="center"/>
              <w:rPr>
                <w:rFonts w:hint="eastAsia" w:ascii="仿宋" w:hAnsi="仿宋" w:eastAsia="仿宋" w:cs="仿宋"/>
                <w:color w:val="auto"/>
                <w:sz w:val="21"/>
                <w:szCs w:val="21"/>
                <w:highlight w:val="none"/>
              </w:rPr>
            </w:pPr>
          </w:p>
        </w:tc>
        <w:tc>
          <w:tcPr>
            <w:tcW w:w="1198" w:type="pct"/>
            <w:vAlign w:val="center"/>
          </w:tcPr>
          <w:p w14:paraId="7B58186A">
            <w:pPr>
              <w:tabs>
                <w:tab w:val="left" w:pos="6300"/>
              </w:tabs>
              <w:snapToGrid w:val="0"/>
              <w:ind w:firstLine="420"/>
              <w:jc w:val="center"/>
              <w:rPr>
                <w:rFonts w:hint="eastAsia" w:ascii="仿宋" w:hAnsi="仿宋" w:eastAsia="仿宋" w:cs="仿宋"/>
                <w:color w:val="auto"/>
                <w:sz w:val="21"/>
                <w:szCs w:val="21"/>
                <w:highlight w:val="none"/>
              </w:rPr>
            </w:pPr>
          </w:p>
        </w:tc>
      </w:tr>
      <w:tr w14:paraId="613A1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vAlign w:val="center"/>
          </w:tcPr>
          <w:p w14:paraId="09FAD3F0">
            <w:pPr>
              <w:tabs>
                <w:tab w:val="left" w:pos="6300"/>
              </w:tabs>
              <w:snapToGrid w:val="0"/>
              <w:ind w:firstLine="420"/>
              <w:jc w:val="center"/>
              <w:rPr>
                <w:rFonts w:hint="eastAsia" w:ascii="仿宋" w:hAnsi="仿宋" w:eastAsia="仿宋" w:cs="仿宋"/>
                <w:color w:val="auto"/>
                <w:sz w:val="21"/>
                <w:szCs w:val="21"/>
                <w:highlight w:val="none"/>
              </w:rPr>
            </w:pPr>
          </w:p>
        </w:tc>
        <w:tc>
          <w:tcPr>
            <w:tcW w:w="1541" w:type="pct"/>
            <w:vAlign w:val="center"/>
          </w:tcPr>
          <w:p w14:paraId="76A14B5E">
            <w:pPr>
              <w:tabs>
                <w:tab w:val="left" w:pos="6300"/>
              </w:tabs>
              <w:snapToGrid w:val="0"/>
              <w:ind w:firstLine="420"/>
              <w:jc w:val="center"/>
              <w:rPr>
                <w:rFonts w:hint="eastAsia" w:ascii="仿宋" w:hAnsi="仿宋" w:eastAsia="仿宋" w:cs="仿宋"/>
                <w:color w:val="auto"/>
                <w:sz w:val="21"/>
                <w:szCs w:val="21"/>
                <w:highlight w:val="none"/>
              </w:rPr>
            </w:pPr>
          </w:p>
        </w:tc>
        <w:tc>
          <w:tcPr>
            <w:tcW w:w="1600" w:type="pct"/>
            <w:vAlign w:val="center"/>
          </w:tcPr>
          <w:p w14:paraId="24D5434C">
            <w:pPr>
              <w:tabs>
                <w:tab w:val="left" w:pos="6300"/>
              </w:tabs>
              <w:snapToGrid w:val="0"/>
              <w:ind w:firstLine="420"/>
              <w:jc w:val="center"/>
              <w:rPr>
                <w:rFonts w:hint="eastAsia" w:ascii="仿宋" w:hAnsi="仿宋" w:eastAsia="仿宋" w:cs="仿宋"/>
                <w:color w:val="auto"/>
                <w:sz w:val="21"/>
                <w:szCs w:val="21"/>
                <w:highlight w:val="none"/>
              </w:rPr>
            </w:pPr>
          </w:p>
        </w:tc>
        <w:tc>
          <w:tcPr>
            <w:tcW w:w="1198" w:type="pct"/>
            <w:vAlign w:val="center"/>
          </w:tcPr>
          <w:p w14:paraId="24836EB0">
            <w:pPr>
              <w:tabs>
                <w:tab w:val="left" w:pos="6300"/>
              </w:tabs>
              <w:snapToGrid w:val="0"/>
              <w:ind w:firstLine="420"/>
              <w:jc w:val="center"/>
              <w:rPr>
                <w:rFonts w:hint="eastAsia" w:ascii="仿宋" w:hAnsi="仿宋" w:eastAsia="仿宋" w:cs="仿宋"/>
                <w:color w:val="auto"/>
                <w:sz w:val="21"/>
                <w:szCs w:val="21"/>
                <w:highlight w:val="none"/>
              </w:rPr>
            </w:pPr>
          </w:p>
        </w:tc>
      </w:tr>
      <w:tr w14:paraId="182EA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vAlign w:val="center"/>
          </w:tcPr>
          <w:p w14:paraId="0BE98947">
            <w:pPr>
              <w:tabs>
                <w:tab w:val="left" w:pos="6300"/>
              </w:tabs>
              <w:snapToGrid w:val="0"/>
              <w:ind w:firstLine="420"/>
              <w:jc w:val="center"/>
              <w:rPr>
                <w:rFonts w:hint="eastAsia" w:ascii="仿宋" w:hAnsi="仿宋" w:eastAsia="仿宋" w:cs="仿宋"/>
                <w:color w:val="auto"/>
                <w:sz w:val="21"/>
                <w:szCs w:val="21"/>
                <w:highlight w:val="none"/>
              </w:rPr>
            </w:pPr>
          </w:p>
        </w:tc>
        <w:tc>
          <w:tcPr>
            <w:tcW w:w="1541" w:type="pct"/>
            <w:vAlign w:val="center"/>
          </w:tcPr>
          <w:p w14:paraId="194413A8">
            <w:pPr>
              <w:tabs>
                <w:tab w:val="left" w:pos="6300"/>
              </w:tabs>
              <w:snapToGrid w:val="0"/>
              <w:ind w:firstLine="420"/>
              <w:jc w:val="center"/>
              <w:rPr>
                <w:rFonts w:hint="eastAsia" w:ascii="仿宋" w:hAnsi="仿宋" w:eastAsia="仿宋" w:cs="仿宋"/>
                <w:color w:val="auto"/>
                <w:sz w:val="21"/>
                <w:szCs w:val="21"/>
                <w:highlight w:val="none"/>
              </w:rPr>
            </w:pPr>
          </w:p>
        </w:tc>
        <w:tc>
          <w:tcPr>
            <w:tcW w:w="1600" w:type="pct"/>
            <w:vAlign w:val="center"/>
          </w:tcPr>
          <w:p w14:paraId="63B2C39C">
            <w:pPr>
              <w:tabs>
                <w:tab w:val="left" w:pos="6300"/>
              </w:tabs>
              <w:snapToGrid w:val="0"/>
              <w:ind w:firstLine="420"/>
              <w:jc w:val="center"/>
              <w:rPr>
                <w:rFonts w:hint="eastAsia" w:ascii="仿宋" w:hAnsi="仿宋" w:eastAsia="仿宋" w:cs="仿宋"/>
                <w:color w:val="auto"/>
                <w:sz w:val="21"/>
                <w:szCs w:val="21"/>
                <w:highlight w:val="none"/>
              </w:rPr>
            </w:pPr>
          </w:p>
        </w:tc>
        <w:tc>
          <w:tcPr>
            <w:tcW w:w="1198" w:type="pct"/>
            <w:vAlign w:val="center"/>
          </w:tcPr>
          <w:p w14:paraId="5C071E9F">
            <w:pPr>
              <w:tabs>
                <w:tab w:val="left" w:pos="6300"/>
              </w:tabs>
              <w:snapToGrid w:val="0"/>
              <w:ind w:firstLine="420"/>
              <w:jc w:val="center"/>
              <w:rPr>
                <w:rFonts w:hint="eastAsia" w:ascii="仿宋" w:hAnsi="仿宋" w:eastAsia="仿宋" w:cs="仿宋"/>
                <w:color w:val="auto"/>
                <w:sz w:val="21"/>
                <w:szCs w:val="21"/>
                <w:highlight w:val="none"/>
              </w:rPr>
            </w:pPr>
          </w:p>
        </w:tc>
      </w:tr>
      <w:tr w14:paraId="07024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vAlign w:val="center"/>
          </w:tcPr>
          <w:p w14:paraId="512E6698">
            <w:pPr>
              <w:tabs>
                <w:tab w:val="left" w:pos="6300"/>
              </w:tabs>
              <w:snapToGrid w:val="0"/>
              <w:ind w:firstLine="420"/>
              <w:jc w:val="center"/>
              <w:rPr>
                <w:rFonts w:hint="eastAsia" w:ascii="仿宋" w:hAnsi="仿宋" w:eastAsia="仿宋" w:cs="仿宋"/>
                <w:color w:val="auto"/>
                <w:sz w:val="21"/>
                <w:szCs w:val="21"/>
                <w:highlight w:val="none"/>
              </w:rPr>
            </w:pPr>
          </w:p>
        </w:tc>
        <w:tc>
          <w:tcPr>
            <w:tcW w:w="1541" w:type="pct"/>
            <w:vAlign w:val="center"/>
          </w:tcPr>
          <w:p w14:paraId="7C22BEA4">
            <w:pPr>
              <w:tabs>
                <w:tab w:val="left" w:pos="6300"/>
              </w:tabs>
              <w:snapToGrid w:val="0"/>
              <w:ind w:firstLine="420"/>
              <w:jc w:val="center"/>
              <w:rPr>
                <w:rFonts w:hint="eastAsia" w:ascii="仿宋" w:hAnsi="仿宋" w:eastAsia="仿宋" w:cs="仿宋"/>
                <w:color w:val="auto"/>
                <w:sz w:val="21"/>
                <w:szCs w:val="21"/>
                <w:highlight w:val="none"/>
              </w:rPr>
            </w:pPr>
          </w:p>
        </w:tc>
        <w:tc>
          <w:tcPr>
            <w:tcW w:w="1600" w:type="pct"/>
            <w:vAlign w:val="center"/>
          </w:tcPr>
          <w:p w14:paraId="5BF88938">
            <w:pPr>
              <w:tabs>
                <w:tab w:val="left" w:pos="6300"/>
              </w:tabs>
              <w:snapToGrid w:val="0"/>
              <w:ind w:firstLine="420"/>
              <w:jc w:val="center"/>
              <w:rPr>
                <w:rFonts w:hint="eastAsia" w:ascii="仿宋" w:hAnsi="仿宋" w:eastAsia="仿宋" w:cs="仿宋"/>
                <w:color w:val="auto"/>
                <w:sz w:val="21"/>
                <w:szCs w:val="21"/>
                <w:highlight w:val="none"/>
              </w:rPr>
            </w:pPr>
          </w:p>
        </w:tc>
        <w:tc>
          <w:tcPr>
            <w:tcW w:w="1198" w:type="pct"/>
            <w:vAlign w:val="center"/>
          </w:tcPr>
          <w:p w14:paraId="68B51C0F">
            <w:pPr>
              <w:tabs>
                <w:tab w:val="left" w:pos="6300"/>
              </w:tabs>
              <w:snapToGrid w:val="0"/>
              <w:ind w:firstLine="420"/>
              <w:jc w:val="center"/>
              <w:rPr>
                <w:rFonts w:hint="eastAsia" w:ascii="仿宋" w:hAnsi="仿宋" w:eastAsia="仿宋" w:cs="仿宋"/>
                <w:color w:val="auto"/>
                <w:sz w:val="21"/>
                <w:szCs w:val="21"/>
                <w:highlight w:val="none"/>
              </w:rPr>
            </w:pPr>
          </w:p>
        </w:tc>
      </w:tr>
      <w:tr w14:paraId="326AB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vAlign w:val="center"/>
          </w:tcPr>
          <w:p w14:paraId="7DB01379">
            <w:pPr>
              <w:tabs>
                <w:tab w:val="left" w:pos="6300"/>
              </w:tabs>
              <w:snapToGrid w:val="0"/>
              <w:ind w:firstLine="420"/>
              <w:jc w:val="center"/>
              <w:rPr>
                <w:rFonts w:hint="eastAsia" w:ascii="仿宋" w:hAnsi="仿宋" w:eastAsia="仿宋" w:cs="仿宋"/>
                <w:color w:val="auto"/>
                <w:sz w:val="21"/>
                <w:szCs w:val="21"/>
                <w:highlight w:val="none"/>
              </w:rPr>
            </w:pPr>
          </w:p>
        </w:tc>
        <w:tc>
          <w:tcPr>
            <w:tcW w:w="1541" w:type="pct"/>
            <w:vAlign w:val="center"/>
          </w:tcPr>
          <w:p w14:paraId="66E806D6">
            <w:pPr>
              <w:tabs>
                <w:tab w:val="left" w:pos="6300"/>
              </w:tabs>
              <w:snapToGrid w:val="0"/>
              <w:ind w:firstLine="420"/>
              <w:jc w:val="center"/>
              <w:rPr>
                <w:rFonts w:hint="eastAsia" w:ascii="仿宋" w:hAnsi="仿宋" w:eastAsia="仿宋" w:cs="仿宋"/>
                <w:color w:val="auto"/>
                <w:sz w:val="21"/>
                <w:szCs w:val="21"/>
                <w:highlight w:val="none"/>
              </w:rPr>
            </w:pPr>
          </w:p>
        </w:tc>
        <w:tc>
          <w:tcPr>
            <w:tcW w:w="1600" w:type="pct"/>
            <w:vAlign w:val="center"/>
          </w:tcPr>
          <w:p w14:paraId="6E5B1F93">
            <w:pPr>
              <w:tabs>
                <w:tab w:val="left" w:pos="6300"/>
              </w:tabs>
              <w:snapToGrid w:val="0"/>
              <w:ind w:firstLine="420"/>
              <w:jc w:val="center"/>
              <w:rPr>
                <w:rFonts w:hint="eastAsia" w:ascii="仿宋" w:hAnsi="仿宋" w:eastAsia="仿宋" w:cs="仿宋"/>
                <w:color w:val="auto"/>
                <w:sz w:val="21"/>
                <w:szCs w:val="21"/>
                <w:highlight w:val="none"/>
              </w:rPr>
            </w:pPr>
          </w:p>
        </w:tc>
        <w:tc>
          <w:tcPr>
            <w:tcW w:w="1198" w:type="pct"/>
            <w:vAlign w:val="center"/>
          </w:tcPr>
          <w:p w14:paraId="38D73075">
            <w:pPr>
              <w:tabs>
                <w:tab w:val="left" w:pos="6300"/>
              </w:tabs>
              <w:snapToGrid w:val="0"/>
              <w:ind w:firstLine="420"/>
              <w:jc w:val="center"/>
              <w:rPr>
                <w:rFonts w:hint="eastAsia" w:ascii="仿宋" w:hAnsi="仿宋" w:eastAsia="仿宋" w:cs="仿宋"/>
                <w:color w:val="auto"/>
                <w:sz w:val="21"/>
                <w:szCs w:val="21"/>
                <w:highlight w:val="none"/>
              </w:rPr>
            </w:pPr>
          </w:p>
        </w:tc>
      </w:tr>
      <w:tr w14:paraId="3180D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vAlign w:val="center"/>
          </w:tcPr>
          <w:p w14:paraId="439EF379">
            <w:pPr>
              <w:tabs>
                <w:tab w:val="left" w:pos="6300"/>
              </w:tabs>
              <w:snapToGrid w:val="0"/>
              <w:ind w:firstLine="420"/>
              <w:jc w:val="center"/>
              <w:rPr>
                <w:rFonts w:hint="eastAsia" w:ascii="仿宋" w:hAnsi="仿宋" w:eastAsia="仿宋" w:cs="仿宋"/>
                <w:color w:val="auto"/>
                <w:sz w:val="21"/>
                <w:szCs w:val="21"/>
                <w:highlight w:val="none"/>
              </w:rPr>
            </w:pPr>
          </w:p>
        </w:tc>
        <w:tc>
          <w:tcPr>
            <w:tcW w:w="1541" w:type="pct"/>
            <w:vAlign w:val="center"/>
          </w:tcPr>
          <w:p w14:paraId="43EF45A5">
            <w:pPr>
              <w:tabs>
                <w:tab w:val="left" w:pos="6300"/>
              </w:tabs>
              <w:snapToGrid w:val="0"/>
              <w:ind w:firstLine="420"/>
              <w:jc w:val="center"/>
              <w:rPr>
                <w:rFonts w:hint="eastAsia" w:ascii="仿宋" w:hAnsi="仿宋" w:eastAsia="仿宋" w:cs="仿宋"/>
                <w:color w:val="auto"/>
                <w:sz w:val="21"/>
                <w:szCs w:val="21"/>
                <w:highlight w:val="none"/>
              </w:rPr>
            </w:pPr>
          </w:p>
        </w:tc>
        <w:tc>
          <w:tcPr>
            <w:tcW w:w="1600" w:type="pct"/>
            <w:vAlign w:val="center"/>
          </w:tcPr>
          <w:p w14:paraId="4D4F98DE">
            <w:pPr>
              <w:tabs>
                <w:tab w:val="left" w:pos="6300"/>
              </w:tabs>
              <w:snapToGrid w:val="0"/>
              <w:ind w:firstLine="420"/>
              <w:jc w:val="center"/>
              <w:rPr>
                <w:rFonts w:hint="eastAsia" w:ascii="仿宋" w:hAnsi="仿宋" w:eastAsia="仿宋" w:cs="仿宋"/>
                <w:color w:val="auto"/>
                <w:sz w:val="21"/>
                <w:szCs w:val="21"/>
                <w:highlight w:val="none"/>
              </w:rPr>
            </w:pPr>
          </w:p>
        </w:tc>
        <w:tc>
          <w:tcPr>
            <w:tcW w:w="1198" w:type="pct"/>
            <w:vAlign w:val="center"/>
          </w:tcPr>
          <w:p w14:paraId="01A852E5">
            <w:pPr>
              <w:tabs>
                <w:tab w:val="left" w:pos="6300"/>
              </w:tabs>
              <w:snapToGrid w:val="0"/>
              <w:ind w:firstLine="420"/>
              <w:jc w:val="center"/>
              <w:rPr>
                <w:rFonts w:hint="eastAsia" w:ascii="仿宋" w:hAnsi="仿宋" w:eastAsia="仿宋" w:cs="仿宋"/>
                <w:color w:val="auto"/>
                <w:sz w:val="21"/>
                <w:szCs w:val="21"/>
                <w:highlight w:val="none"/>
              </w:rPr>
            </w:pPr>
          </w:p>
        </w:tc>
      </w:tr>
      <w:tr w14:paraId="15B4E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vAlign w:val="center"/>
          </w:tcPr>
          <w:p w14:paraId="35E9E345">
            <w:pPr>
              <w:tabs>
                <w:tab w:val="left" w:pos="6300"/>
              </w:tabs>
              <w:snapToGrid w:val="0"/>
              <w:ind w:firstLine="420"/>
              <w:jc w:val="center"/>
              <w:rPr>
                <w:rFonts w:hint="eastAsia" w:ascii="仿宋" w:hAnsi="仿宋" w:eastAsia="仿宋" w:cs="仿宋"/>
                <w:color w:val="auto"/>
                <w:sz w:val="21"/>
                <w:szCs w:val="21"/>
                <w:highlight w:val="none"/>
              </w:rPr>
            </w:pPr>
          </w:p>
        </w:tc>
        <w:tc>
          <w:tcPr>
            <w:tcW w:w="1541" w:type="pct"/>
            <w:vAlign w:val="center"/>
          </w:tcPr>
          <w:p w14:paraId="68C095CF">
            <w:pPr>
              <w:tabs>
                <w:tab w:val="left" w:pos="6300"/>
              </w:tabs>
              <w:snapToGrid w:val="0"/>
              <w:ind w:firstLine="420"/>
              <w:jc w:val="center"/>
              <w:rPr>
                <w:rFonts w:hint="eastAsia" w:ascii="仿宋" w:hAnsi="仿宋" w:eastAsia="仿宋" w:cs="仿宋"/>
                <w:color w:val="auto"/>
                <w:sz w:val="21"/>
                <w:szCs w:val="21"/>
                <w:highlight w:val="none"/>
              </w:rPr>
            </w:pPr>
          </w:p>
        </w:tc>
        <w:tc>
          <w:tcPr>
            <w:tcW w:w="1600" w:type="pct"/>
            <w:vAlign w:val="center"/>
          </w:tcPr>
          <w:p w14:paraId="3F401026">
            <w:pPr>
              <w:tabs>
                <w:tab w:val="left" w:pos="6300"/>
              </w:tabs>
              <w:snapToGrid w:val="0"/>
              <w:ind w:firstLine="420"/>
              <w:jc w:val="center"/>
              <w:rPr>
                <w:rFonts w:hint="eastAsia" w:ascii="仿宋" w:hAnsi="仿宋" w:eastAsia="仿宋" w:cs="仿宋"/>
                <w:color w:val="auto"/>
                <w:sz w:val="21"/>
                <w:szCs w:val="21"/>
                <w:highlight w:val="none"/>
              </w:rPr>
            </w:pPr>
          </w:p>
        </w:tc>
        <w:tc>
          <w:tcPr>
            <w:tcW w:w="1198" w:type="pct"/>
            <w:vAlign w:val="center"/>
          </w:tcPr>
          <w:p w14:paraId="17B85581">
            <w:pPr>
              <w:tabs>
                <w:tab w:val="left" w:pos="6300"/>
              </w:tabs>
              <w:snapToGrid w:val="0"/>
              <w:ind w:firstLine="420"/>
              <w:jc w:val="center"/>
              <w:rPr>
                <w:rFonts w:hint="eastAsia" w:ascii="仿宋" w:hAnsi="仿宋" w:eastAsia="仿宋" w:cs="仿宋"/>
                <w:color w:val="auto"/>
                <w:sz w:val="21"/>
                <w:szCs w:val="21"/>
                <w:highlight w:val="none"/>
              </w:rPr>
            </w:pPr>
          </w:p>
        </w:tc>
      </w:tr>
      <w:tr w14:paraId="735D7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vAlign w:val="center"/>
          </w:tcPr>
          <w:p w14:paraId="57CA6764">
            <w:pPr>
              <w:tabs>
                <w:tab w:val="left" w:pos="6300"/>
              </w:tabs>
              <w:snapToGrid w:val="0"/>
              <w:ind w:firstLine="420"/>
              <w:jc w:val="center"/>
              <w:rPr>
                <w:rFonts w:hint="eastAsia" w:ascii="仿宋" w:hAnsi="仿宋" w:eastAsia="仿宋" w:cs="仿宋"/>
                <w:color w:val="auto"/>
                <w:sz w:val="21"/>
                <w:szCs w:val="21"/>
                <w:highlight w:val="none"/>
              </w:rPr>
            </w:pPr>
          </w:p>
        </w:tc>
        <w:tc>
          <w:tcPr>
            <w:tcW w:w="1541" w:type="pct"/>
            <w:vAlign w:val="center"/>
          </w:tcPr>
          <w:p w14:paraId="0AED3D33">
            <w:pPr>
              <w:tabs>
                <w:tab w:val="left" w:pos="6300"/>
              </w:tabs>
              <w:snapToGrid w:val="0"/>
              <w:ind w:firstLine="420"/>
              <w:jc w:val="center"/>
              <w:rPr>
                <w:rFonts w:hint="eastAsia" w:ascii="仿宋" w:hAnsi="仿宋" w:eastAsia="仿宋" w:cs="仿宋"/>
                <w:color w:val="auto"/>
                <w:sz w:val="21"/>
                <w:szCs w:val="21"/>
                <w:highlight w:val="none"/>
              </w:rPr>
            </w:pPr>
          </w:p>
        </w:tc>
        <w:tc>
          <w:tcPr>
            <w:tcW w:w="1600" w:type="pct"/>
            <w:vAlign w:val="center"/>
          </w:tcPr>
          <w:p w14:paraId="4A518726">
            <w:pPr>
              <w:tabs>
                <w:tab w:val="left" w:pos="6300"/>
              </w:tabs>
              <w:snapToGrid w:val="0"/>
              <w:ind w:firstLine="420"/>
              <w:jc w:val="center"/>
              <w:rPr>
                <w:rFonts w:hint="eastAsia" w:ascii="仿宋" w:hAnsi="仿宋" w:eastAsia="仿宋" w:cs="仿宋"/>
                <w:color w:val="auto"/>
                <w:sz w:val="21"/>
                <w:szCs w:val="21"/>
                <w:highlight w:val="none"/>
              </w:rPr>
            </w:pPr>
          </w:p>
        </w:tc>
        <w:tc>
          <w:tcPr>
            <w:tcW w:w="1198" w:type="pct"/>
            <w:vAlign w:val="center"/>
          </w:tcPr>
          <w:p w14:paraId="34BA8A6E">
            <w:pPr>
              <w:tabs>
                <w:tab w:val="left" w:pos="6300"/>
              </w:tabs>
              <w:snapToGrid w:val="0"/>
              <w:ind w:firstLine="420"/>
              <w:jc w:val="center"/>
              <w:rPr>
                <w:rFonts w:hint="eastAsia" w:ascii="仿宋" w:hAnsi="仿宋" w:eastAsia="仿宋" w:cs="仿宋"/>
                <w:color w:val="auto"/>
                <w:sz w:val="21"/>
                <w:szCs w:val="21"/>
                <w:highlight w:val="none"/>
              </w:rPr>
            </w:pPr>
          </w:p>
        </w:tc>
      </w:tr>
    </w:tbl>
    <w:p w14:paraId="64D2393F">
      <w:pPr>
        <w:ind w:firstLine="600" w:firstLineChars="250"/>
        <w:rPr>
          <w:rFonts w:hint="eastAsia" w:ascii="仿宋" w:hAnsi="仿宋" w:eastAsia="仿宋" w:cs="仿宋"/>
          <w:color w:val="auto"/>
          <w:sz w:val="24"/>
          <w:szCs w:val="28"/>
          <w:highlight w:val="none"/>
        </w:rPr>
      </w:pPr>
    </w:p>
    <w:p w14:paraId="6FEB03EB">
      <w:pPr>
        <w:ind w:firstLine="600" w:firstLineChars="250"/>
        <w:rPr>
          <w:rFonts w:hint="eastAsia" w:ascii="仿宋" w:hAnsi="仿宋" w:eastAsia="仿宋" w:cs="仿宋"/>
          <w:color w:val="auto"/>
          <w:sz w:val="24"/>
          <w:szCs w:val="28"/>
          <w:highlight w:val="none"/>
        </w:rPr>
      </w:pPr>
      <w:r>
        <w:rPr>
          <w:rFonts w:hint="eastAsia" w:ascii="仿宋" w:hAnsi="仿宋" w:eastAsia="仿宋" w:cs="仿宋"/>
          <w:color w:val="auto"/>
          <w:sz w:val="24"/>
          <w:szCs w:val="28"/>
          <w:highlight w:val="none"/>
          <w:lang w:eastAsia="zh-CN"/>
        </w:rPr>
        <w:t>供应商</w:t>
      </w:r>
      <w:r>
        <w:rPr>
          <w:rFonts w:hint="eastAsia" w:ascii="仿宋" w:hAnsi="仿宋" w:eastAsia="仿宋" w:cs="仿宋"/>
          <w:color w:val="auto"/>
          <w:sz w:val="24"/>
          <w:szCs w:val="28"/>
          <w:highlight w:val="none"/>
        </w:rPr>
        <w:t>：                     法定代表人（或法定代表人授权代表）或自然人：</w:t>
      </w:r>
    </w:p>
    <w:p w14:paraId="26024D00">
      <w:pPr>
        <w:ind w:firstLine="480"/>
        <w:rPr>
          <w:rFonts w:hint="eastAsia" w:ascii="仿宋" w:hAnsi="仿宋" w:eastAsia="仿宋" w:cs="仿宋"/>
          <w:color w:val="auto"/>
          <w:sz w:val="24"/>
          <w:szCs w:val="28"/>
          <w:highlight w:val="none"/>
        </w:rPr>
      </w:pPr>
      <w:r>
        <w:rPr>
          <w:rFonts w:hint="eastAsia" w:ascii="仿宋" w:hAnsi="仿宋" w:eastAsia="仿宋" w:cs="仿宋"/>
          <w:color w:val="auto"/>
          <w:sz w:val="24"/>
          <w:szCs w:val="28"/>
          <w:highlight w:val="none"/>
        </w:rPr>
        <w:t xml:space="preserve">    （</w:t>
      </w:r>
      <w:r>
        <w:rPr>
          <w:rFonts w:hint="eastAsia" w:ascii="仿宋" w:hAnsi="仿宋" w:eastAsia="仿宋" w:cs="仿宋"/>
          <w:color w:val="auto"/>
          <w:sz w:val="24"/>
          <w:szCs w:val="28"/>
          <w:highlight w:val="none"/>
          <w:lang w:eastAsia="zh-CN"/>
        </w:rPr>
        <w:t>供应商</w:t>
      </w:r>
      <w:r>
        <w:rPr>
          <w:rFonts w:hint="eastAsia" w:ascii="仿宋" w:hAnsi="仿宋" w:eastAsia="仿宋" w:cs="仿宋"/>
          <w:color w:val="auto"/>
          <w:sz w:val="24"/>
          <w:szCs w:val="28"/>
          <w:highlight w:val="none"/>
        </w:rPr>
        <w:t>公章）                               （签署或盖章）</w:t>
      </w:r>
    </w:p>
    <w:p w14:paraId="4150D1F1">
      <w:pPr>
        <w:tabs>
          <w:tab w:val="left" w:pos="6300"/>
        </w:tabs>
        <w:snapToGrid w:val="0"/>
        <w:ind w:firstLine="480"/>
        <w:rPr>
          <w:rFonts w:hint="eastAsia" w:ascii="仿宋" w:hAnsi="仿宋" w:eastAsia="仿宋" w:cs="仿宋"/>
          <w:color w:val="auto"/>
          <w:sz w:val="24"/>
          <w:highlight w:val="none"/>
        </w:rPr>
      </w:pPr>
      <w:r>
        <w:rPr>
          <w:rFonts w:hint="eastAsia" w:ascii="仿宋" w:hAnsi="仿宋" w:eastAsia="仿宋" w:cs="仿宋"/>
          <w:color w:val="auto"/>
          <w:sz w:val="24"/>
          <w:szCs w:val="28"/>
          <w:highlight w:val="none"/>
        </w:rPr>
        <w:t xml:space="preserve">                                            年     月     日</w:t>
      </w:r>
    </w:p>
    <w:p w14:paraId="5492D554">
      <w:pPr>
        <w:tabs>
          <w:tab w:val="left" w:pos="6300"/>
        </w:tabs>
        <w:snapToGrid w:val="0"/>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rPr>
        <w:t>注：</w:t>
      </w:r>
    </w:p>
    <w:p w14:paraId="200EDBFF">
      <w:pPr>
        <w:tabs>
          <w:tab w:val="left" w:pos="6300"/>
        </w:tabs>
        <w:snapToGrid w:val="0"/>
        <w:ind w:firstLine="48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1.本表即为对本项目“第三篇 项目商务需求”中所列条款进行比较和响应；</w:t>
      </w:r>
    </w:p>
    <w:p w14:paraId="751A8F5D">
      <w:pPr>
        <w:tabs>
          <w:tab w:val="left" w:pos="6300"/>
        </w:tabs>
        <w:snapToGrid w:val="0"/>
        <w:ind w:firstLine="480"/>
        <w:rPr>
          <w:rFonts w:hint="eastAsia" w:ascii="仿宋" w:hAnsi="仿宋" w:eastAsia="仿宋" w:cs="仿宋"/>
          <w:color w:val="auto"/>
          <w:sz w:val="24"/>
          <w:szCs w:val="28"/>
          <w:highlight w:val="none"/>
        </w:rPr>
      </w:pPr>
      <w:r>
        <w:rPr>
          <w:rFonts w:hint="eastAsia" w:ascii="仿宋" w:hAnsi="仿宋" w:eastAsia="仿宋" w:cs="仿宋"/>
          <w:color w:val="auto"/>
          <w:sz w:val="24"/>
          <w:szCs w:val="28"/>
          <w:highlight w:val="none"/>
        </w:rPr>
        <w:t>2.本表可扩展。</w:t>
      </w:r>
    </w:p>
    <w:p w14:paraId="16FAD8CD">
      <w:pPr>
        <w:tabs>
          <w:tab w:val="left" w:pos="6300"/>
        </w:tabs>
        <w:snapToGrid w:val="0"/>
        <w:ind w:firstLine="480"/>
        <w:rPr>
          <w:rFonts w:hint="eastAsia" w:ascii="仿宋" w:hAnsi="仿宋" w:eastAsia="仿宋" w:cs="仿宋"/>
          <w:color w:val="auto"/>
          <w:sz w:val="24"/>
          <w:szCs w:val="24"/>
          <w:highlight w:val="none"/>
        </w:rPr>
      </w:pPr>
    </w:p>
    <w:p w14:paraId="305BE73F">
      <w:pPr>
        <w:tabs>
          <w:tab w:val="left" w:pos="6300"/>
        </w:tabs>
        <w:snapToGrid w:val="0"/>
        <w:ind w:firstLine="560" w:firstLineChars="200"/>
        <w:rPr>
          <w:rFonts w:hint="eastAsia" w:ascii="仿宋" w:hAnsi="仿宋" w:eastAsia="仿宋" w:cs="仿宋"/>
          <w:color w:val="auto"/>
          <w:sz w:val="24"/>
          <w:szCs w:val="28"/>
          <w:highlight w:val="none"/>
        </w:rPr>
      </w:pPr>
      <w:r>
        <w:rPr>
          <w:rFonts w:hint="eastAsia" w:ascii="仿宋" w:hAnsi="仿宋" w:eastAsia="仿宋" w:cs="仿宋"/>
          <w:color w:val="auto"/>
          <w:szCs w:val="28"/>
          <w:highlight w:val="none"/>
        </w:rPr>
        <w:br w:type="page"/>
      </w:r>
      <w:r>
        <w:rPr>
          <w:rFonts w:hint="eastAsia" w:ascii="仿宋" w:hAnsi="仿宋" w:eastAsia="仿宋" w:cs="仿宋"/>
          <w:color w:val="auto"/>
          <w:sz w:val="24"/>
          <w:szCs w:val="28"/>
          <w:highlight w:val="none"/>
        </w:rPr>
        <w:t>（三）其它优惠承诺</w:t>
      </w:r>
    </w:p>
    <w:p w14:paraId="50C32D42">
      <w:pPr>
        <w:tabs>
          <w:tab w:val="left" w:pos="6300"/>
        </w:tabs>
        <w:snapToGrid w:val="0"/>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rPr>
        <w:br w:type="page"/>
      </w:r>
    </w:p>
    <w:p w14:paraId="6AAC20DB">
      <w:pPr>
        <w:pStyle w:val="3"/>
        <w:spacing w:line="240" w:lineRule="auto"/>
        <w:ind w:firstLine="643"/>
        <w:rPr>
          <w:rFonts w:hint="eastAsia" w:ascii="仿宋" w:hAnsi="仿宋" w:eastAsia="仿宋" w:cs="仿宋"/>
          <w:color w:val="auto"/>
          <w:highlight w:val="none"/>
        </w:rPr>
      </w:pPr>
      <w:bookmarkStart w:id="178" w:name="_Toc30818"/>
      <w:bookmarkStart w:id="179" w:name="_Toc11324"/>
      <w:bookmarkStart w:id="180" w:name="_Toc26381"/>
      <w:bookmarkStart w:id="181" w:name="_Toc492721038"/>
      <w:bookmarkStart w:id="182" w:name="_Toc28432"/>
      <w:bookmarkStart w:id="183" w:name="_Toc17829"/>
      <w:bookmarkStart w:id="184" w:name="_Toc21121"/>
      <w:bookmarkStart w:id="185" w:name="_Toc493178793"/>
      <w:bookmarkStart w:id="186" w:name="_Toc75793544"/>
      <w:bookmarkStart w:id="187" w:name="_Toc12509"/>
      <w:bookmarkStart w:id="188" w:name="_Toc106030421"/>
      <w:bookmarkStart w:id="189" w:name="_Toc6108"/>
      <w:bookmarkStart w:id="190" w:name="_Toc183783163"/>
      <w:bookmarkStart w:id="191" w:name="_Toc4000"/>
      <w:bookmarkStart w:id="192" w:name="_Toc23187"/>
      <w:bookmarkStart w:id="193" w:name="_Toc17848"/>
      <w:bookmarkStart w:id="194" w:name="_Toc16577"/>
      <w:bookmarkStart w:id="195" w:name="_Toc13249"/>
      <w:r>
        <w:rPr>
          <w:rFonts w:hint="eastAsia" w:ascii="仿宋" w:hAnsi="仿宋" w:eastAsia="仿宋" w:cs="仿宋"/>
          <w:color w:val="auto"/>
          <w:highlight w:val="none"/>
        </w:rPr>
        <w:t>四、资格证明文件</w:t>
      </w:r>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14:paraId="68755044">
      <w:pPr>
        <w:ind w:firstLine="480" w:firstLineChars="200"/>
        <w:rPr>
          <w:rFonts w:hint="eastAsia" w:ascii="仿宋" w:hAnsi="仿宋" w:eastAsia="仿宋" w:cs="仿宋"/>
          <w:color w:val="auto"/>
          <w:sz w:val="24"/>
          <w:szCs w:val="28"/>
          <w:highlight w:val="none"/>
        </w:rPr>
      </w:pPr>
      <w:r>
        <w:rPr>
          <w:rFonts w:hint="eastAsia" w:ascii="仿宋" w:hAnsi="仿宋" w:eastAsia="仿宋" w:cs="仿宋"/>
          <w:color w:val="auto"/>
          <w:sz w:val="24"/>
          <w:szCs w:val="28"/>
          <w:highlight w:val="none"/>
        </w:rPr>
        <w:t>（一）法人营业执照（副本）或事业单位法人证书（副本）或个体工商户营业执照或有效的自然人身份证明或社会团体法人登记证书复印件</w:t>
      </w:r>
    </w:p>
    <w:p w14:paraId="77953151">
      <w:pPr>
        <w:tabs>
          <w:tab w:val="left" w:pos="6300"/>
        </w:tabs>
        <w:snapToGrid w:val="0"/>
        <w:ind w:firstLine="480"/>
        <w:rPr>
          <w:rFonts w:hint="eastAsia" w:ascii="仿宋" w:hAnsi="仿宋" w:eastAsia="仿宋" w:cs="仿宋"/>
          <w:color w:val="auto"/>
          <w:highlight w:val="none"/>
        </w:rPr>
      </w:pPr>
    </w:p>
    <w:p w14:paraId="3191F0DB">
      <w:pPr>
        <w:tabs>
          <w:tab w:val="left" w:pos="6300"/>
        </w:tabs>
        <w:snapToGrid w:val="0"/>
        <w:ind w:firstLine="480"/>
        <w:rPr>
          <w:rFonts w:hint="eastAsia" w:ascii="仿宋" w:hAnsi="仿宋" w:eastAsia="仿宋" w:cs="仿宋"/>
          <w:color w:val="auto"/>
          <w:highlight w:val="none"/>
        </w:rPr>
      </w:pPr>
    </w:p>
    <w:p w14:paraId="46D1C1EC">
      <w:pPr>
        <w:tabs>
          <w:tab w:val="left" w:pos="6300"/>
        </w:tabs>
        <w:snapToGrid w:val="0"/>
        <w:ind w:firstLine="480"/>
        <w:rPr>
          <w:rFonts w:hint="eastAsia" w:ascii="仿宋" w:hAnsi="仿宋" w:eastAsia="仿宋" w:cs="仿宋"/>
          <w:color w:val="auto"/>
          <w:highlight w:val="none"/>
        </w:rPr>
      </w:pPr>
    </w:p>
    <w:p w14:paraId="780955B2">
      <w:pPr>
        <w:tabs>
          <w:tab w:val="left" w:pos="6300"/>
        </w:tabs>
        <w:snapToGrid w:val="0"/>
        <w:ind w:firstLine="480"/>
        <w:rPr>
          <w:rFonts w:hint="eastAsia" w:ascii="仿宋" w:hAnsi="仿宋" w:eastAsia="仿宋" w:cs="仿宋"/>
          <w:color w:val="auto"/>
          <w:highlight w:val="none"/>
        </w:rPr>
      </w:pPr>
    </w:p>
    <w:p w14:paraId="19297B23">
      <w:pPr>
        <w:tabs>
          <w:tab w:val="left" w:pos="6300"/>
        </w:tabs>
        <w:snapToGrid w:val="0"/>
        <w:ind w:firstLine="480"/>
        <w:rPr>
          <w:rFonts w:hint="eastAsia" w:ascii="仿宋" w:hAnsi="仿宋" w:eastAsia="仿宋" w:cs="仿宋"/>
          <w:color w:val="auto"/>
          <w:highlight w:val="none"/>
        </w:rPr>
      </w:pPr>
    </w:p>
    <w:p w14:paraId="6765AFB9">
      <w:pPr>
        <w:tabs>
          <w:tab w:val="left" w:pos="6300"/>
        </w:tabs>
        <w:snapToGrid w:val="0"/>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rPr>
        <w:br w:type="page"/>
      </w:r>
      <w:r>
        <w:rPr>
          <w:rFonts w:hint="eastAsia" w:ascii="仿宋" w:hAnsi="仿宋" w:eastAsia="仿宋" w:cs="仿宋"/>
          <w:color w:val="auto"/>
          <w:sz w:val="24"/>
          <w:highlight w:val="none"/>
        </w:rPr>
        <w:t>（二）法定代表人身份证明书（格式）</w:t>
      </w:r>
    </w:p>
    <w:p w14:paraId="43134D62">
      <w:pPr>
        <w:tabs>
          <w:tab w:val="left" w:pos="6300"/>
        </w:tabs>
        <w:snapToGrid w:val="0"/>
        <w:ind w:firstLine="480"/>
        <w:rPr>
          <w:rFonts w:hint="eastAsia" w:ascii="仿宋" w:hAnsi="仿宋" w:eastAsia="仿宋" w:cs="仿宋"/>
          <w:color w:val="auto"/>
          <w:sz w:val="24"/>
          <w:highlight w:val="none"/>
        </w:rPr>
      </w:pPr>
    </w:p>
    <w:p w14:paraId="568C8822">
      <w:pPr>
        <w:tabs>
          <w:tab w:val="left" w:pos="6300"/>
        </w:tabs>
        <w:snapToGrid w:val="0"/>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rPr>
        <w:t>项目名称：</w:t>
      </w:r>
      <w:r>
        <w:rPr>
          <w:rFonts w:hint="eastAsia" w:ascii="仿宋" w:hAnsi="仿宋" w:eastAsia="仿宋" w:cs="仿宋"/>
          <w:color w:val="auto"/>
          <w:sz w:val="24"/>
          <w:highlight w:val="none"/>
          <w:u w:val="single"/>
        </w:rPr>
        <w:t xml:space="preserve">                                                </w:t>
      </w:r>
    </w:p>
    <w:p w14:paraId="684F70E4">
      <w:pPr>
        <w:tabs>
          <w:tab w:val="left" w:pos="6300"/>
        </w:tabs>
        <w:snapToGrid w:val="0"/>
        <w:ind w:firstLine="480"/>
        <w:rPr>
          <w:rFonts w:hint="eastAsia" w:ascii="仿宋" w:hAnsi="仿宋" w:eastAsia="仿宋" w:cs="仿宋"/>
          <w:color w:val="auto"/>
          <w:sz w:val="24"/>
          <w:highlight w:val="none"/>
        </w:rPr>
      </w:pPr>
    </w:p>
    <w:p w14:paraId="4AAAD449">
      <w:pPr>
        <w:tabs>
          <w:tab w:val="left" w:pos="6300"/>
        </w:tabs>
        <w:snapToGrid w:val="0"/>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rPr>
        <w:t>致：</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（采购代理机构名称）：</w:t>
      </w:r>
    </w:p>
    <w:p w14:paraId="169EDF38">
      <w:pPr>
        <w:tabs>
          <w:tab w:val="left" w:pos="6300"/>
        </w:tabs>
        <w:snapToGrid w:val="0"/>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（法定代表人姓名）</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（性别）在</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名称）任</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（职务名称）职务，是（</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名称）</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的法定代表人。</w:t>
      </w:r>
    </w:p>
    <w:p w14:paraId="67E633FE">
      <w:pPr>
        <w:tabs>
          <w:tab w:val="left" w:pos="6300"/>
        </w:tabs>
        <w:snapToGrid w:val="0"/>
        <w:ind w:firstLine="480"/>
        <w:rPr>
          <w:rFonts w:hint="eastAsia" w:ascii="仿宋" w:hAnsi="仿宋" w:eastAsia="仿宋" w:cs="仿宋"/>
          <w:color w:val="auto"/>
          <w:sz w:val="24"/>
          <w:highlight w:val="none"/>
        </w:rPr>
      </w:pPr>
    </w:p>
    <w:p w14:paraId="05659083">
      <w:pPr>
        <w:tabs>
          <w:tab w:val="left" w:pos="6300"/>
        </w:tabs>
        <w:snapToGrid w:val="0"/>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rPr>
        <w:t>特此证明。</w:t>
      </w:r>
    </w:p>
    <w:p w14:paraId="2465A105">
      <w:pPr>
        <w:tabs>
          <w:tab w:val="left" w:pos="6300"/>
        </w:tabs>
        <w:snapToGrid w:val="0"/>
        <w:ind w:firstLine="480"/>
        <w:rPr>
          <w:rFonts w:hint="eastAsia" w:ascii="仿宋" w:hAnsi="仿宋" w:eastAsia="仿宋" w:cs="仿宋"/>
          <w:color w:val="auto"/>
          <w:sz w:val="24"/>
          <w:highlight w:val="none"/>
        </w:rPr>
      </w:pPr>
    </w:p>
    <w:p w14:paraId="69DF15D4">
      <w:pPr>
        <w:tabs>
          <w:tab w:val="left" w:pos="6300"/>
        </w:tabs>
        <w:snapToGrid w:val="0"/>
        <w:ind w:firstLine="480"/>
        <w:rPr>
          <w:rFonts w:hint="eastAsia" w:ascii="仿宋" w:hAnsi="仿宋" w:eastAsia="仿宋" w:cs="仿宋"/>
          <w:color w:val="auto"/>
          <w:sz w:val="24"/>
          <w:highlight w:val="none"/>
        </w:rPr>
      </w:pPr>
    </w:p>
    <w:p w14:paraId="2E555E21">
      <w:pPr>
        <w:tabs>
          <w:tab w:val="left" w:pos="6300"/>
        </w:tabs>
        <w:snapToGrid w:val="0"/>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                                             </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w:t>
      </w:r>
    </w:p>
    <w:p w14:paraId="1C08D1FC">
      <w:pPr>
        <w:tabs>
          <w:tab w:val="left" w:pos="6300"/>
        </w:tabs>
        <w:snapToGrid w:val="0"/>
        <w:ind w:firstLine="5848" w:firstLineChars="2437"/>
        <w:rPr>
          <w:rFonts w:hint="eastAsia" w:ascii="仿宋" w:hAnsi="仿宋" w:eastAsia="仿宋" w:cs="仿宋"/>
          <w:color w:val="auto"/>
          <w:sz w:val="24"/>
          <w:highlight w:val="none"/>
        </w:rPr>
      </w:pPr>
      <w:r>
        <w:rPr>
          <w:rFonts w:hint="eastAsia" w:ascii="仿宋" w:hAnsi="仿宋" w:eastAsia="仿宋" w:cs="仿宋"/>
          <w:color w:val="auto"/>
          <w:sz w:val="24"/>
          <w:highlight w:val="none"/>
        </w:rPr>
        <w:t>（</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公章）</w:t>
      </w:r>
    </w:p>
    <w:p w14:paraId="196C7AA7">
      <w:pPr>
        <w:tabs>
          <w:tab w:val="left" w:pos="6300"/>
        </w:tabs>
        <w:snapToGrid w:val="0"/>
        <w:ind w:firstLine="480"/>
        <w:rPr>
          <w:rFonts w:hint="eastAsia" w:ascii="仿宋" w:hAnsi="仿宋" w:eastAsia="仿宋" w:cs="仿宋"/>
          <w:color w:val="auto"/>
          <w:sz w:val="24"/>
          <w:highlight w:val="none"/>
        </w:rPr>
      </w:pPr>
    </w:p>
    <w:p w14:paraId="71AA24CB">
      <w:pPr>
        <w:tabs>
          <w:tab w:val="left" w:pos="6300"/>
        </w:tabs>
        <w:snapToGrid w:val="0"/>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                                             年   月   日</w:t>
      </w:r>
    </w:p>
    <w:p w14:paraId="27526E91">
      <w:pPr>
        <w:tabs>
          <w:tab w:val="left" w:pos="6300"/>
        </w:tabs>
        <w:snapToGrid w:val="0"/>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rPr>
        <w:t>法定代表人电话：XXXXXXX      电子邮箱：XXXXXX@XXXXX（若授权他人办理并签署投标文件的可不填写）</w:t>
      </w:r>
    </w:p>
    <w:p w14:paraId="20687D08">
      <w:pPr>
        <w:tabs>
          <w:tab w:val="left" w:pos="6300"/>
        </w:tabs>
        <w:snapToGrid w:val="0"/>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rPr>
        <w:t>（附：法定代表人身份证正反面复印件）</w:t>
      </w:r>
    </w:p>
    <w:p w14:paraId="639152E7">
      <w:pPr>
        <w:tabs>
          <w:tab w:val="left" w:pos="6300"/>
        </w:tabs>
        <w:snapToGrid w:val="0"/>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rPr>
        <w:br w:type="page"/>
      </w:r>
    </w:p>
    <w:p w14:paraId="4CCEF9F8">
      <w:pPr>
        <w:tabs>
          <w:tab w:val="left" w:pos="6300"/>
        </w:tabs>
        <w:snapToGrid w:val="0"/>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rPr>
        <w:t>（三）法定代表人授权委托书（格式）</w:t>
      </w:r>
    </w:p>
    <w:p w14:paraId="59D37BA4">
      <w:pPr>
        <w:tabs>
          <w:tab w:val="left" w:pos="6300"/>
        </w:tabs>
        <w:snapToGrid w:val="0"/>
        <w:ind w:firstLine="480"/>
        <w:jc w:val="center"/>
        <w:rPr>
          <w:rFonts w:hint="eastAsia" w:ascii="仿宋" w:hAnsi="仿宋" w:eastAsia="仿宋" w:cs="仿宋"/>
          <w:color w:val="auto"/>
          <w:sz w:val="24"/>
          <w:szCs w:val="24"/>
          <w:highlight w:val="none"/>
        </w:rPr>
      </w:pPr>
    </w:p>
    <w:p w14:paraId="213B1A06">
      <w:pPr>
        <w:tabs>
          <w:tab w:val="left" w:pos="6300"/>
        </w:tabs>
        <w:snapToGrid w:val="0"/>
        <w:ind w:firstLine="48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项目名称：</w:t>
      </w:r>
      <w:r>
        <w:rPr>
          <w:rFonts w:hint="eastAsia" w:ascii="仿宋" w:hAnsi="仿宋" w:eastAsia="仿宋" w:cs="仿宋"/>
          <w:color w:val="auto"/>
          <w:sz w:val="24"/>
          <w:szCs w:val="24"/>
          <w:highlight w:val="none"/>
          <w:u w:val="single"/>
        </w:rPr>
        <w:t xml:space="preserve">                               </w:t>
      </w:r>
    </w:p>
    <w:p w14:paraId="73620AAE">
      <w:pPr>
        <w:tabs>
          <w:tab w:val="left" w:pos="6300"/>
        </w:tabs>
        <w:snapToGrid w:val="0"/>
        <w:ind w:firstLine="480" w:firstLineChars="200"/>
        <w:rPr>
          <w:rFonts w:hint="eastAsia" w:ascii="仿宋" w:hAnsi="仿宋" w:eastAsia="仿宋" w:cs="仿宋"/>
          <w:color w:val="auto"/>
          <w:sz w:val="24"/>
          <w:szCs w:val="24"/>
          <w:highlight w:val="none"/>
        </w:rPr>
      </w:pPr>
    </w:p>
    <w:p w14:paraId="44A18421">
      <w:pPr>
        <w:tabs>
          <w:tab w:val="left" w:pos="6300"/>
        </w:tabs>
        <w:snapToGrid w:val="0"/>
        <w:ind w:firstLine="480"/>
        <w:rPr>
          <w:rFonts w:hint="eastAsia" w:ascii="仿宋" w:hAnsi="仿宋" w:eastAsia="仿宋" w:cs="仿宋"/>
          <w:color w:val="auto"/>
          <w:sz w:val="24"/>
          <w:highlight w:val="none"/>
        </w:rPr>
      </w:pPr>
      <w:r>
        <w:rPr>
          <w:rFonts w:hint="eastAsia" w:ascii="仿宋" w:hAnsi="仿宋" w:eastAsia="仿宋" w:cs="仿宋"/>
          <w:color w:val="auto"/>
          <w:sz w:val="24"/>
          <w:szCs w:val="24"/>
          <w:highlight w:val="none"/>
        </w:rPr>
        <w:t>致：</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highlight w:val="none"/>
        </w:rPr>
        <w:t>（采购代理机构名称）：</w:t>
      </w:r>
    </w:p>
    <w:p w14:paraId="312F5B47">
      <w:pPr>
        <w:tabs>
          <w:tab w:val="left" w:pos="6300"/>
        </w:tabs>
        <w:snapToGrid w:val="0"/>
        <w:ind w:firstLine="48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法定代表人名称）是</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名称）的法定代表人，特授权</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（被授权人姓名及身份证代码）代表我单位全权办理上述项目的投标、谈判、签约等具体工作，并签署全部有关文件、协议及合同。</w:t>
      </w:r>
    </w:p>
    <w:p w14:paraId="00CD831F">
      <w:pPr>
        <w:tabs>
          <w:tab w:val="left" w:pos="6300"/>
        </w:tabs>
        <w:snapToGrid w:val="0"/>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我单位对被授权人的签署负全部责任。</w:t>
      </w:r>
    </w:p>
    <w:p w14:paraId="672BE4F2">
      <w:pPr>
        <w:tabs>
          <w:tab w:val="left" w:pos="6300"/>
        </w:tabs>
        <w:snapToGrid w:val="0"/>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在撤销授权的书面通知以前，本授权书一直有效。被授权人在授权书有效期内签署的所有文件不因授权的撤销而失效。</w:t>
      </w:r>
    </w:p>
    <w:p w14:paraId="19FB09F5">
      <w:pPr>
        <w:tabs>
          <w:tab w:val="left" w:pos="6300"/>
        </w:tabs>
        <w:snapToGrid w:val="0"/>
        <w:ind w:firstLine="480"/>
        <w:rPr>
          <w:rFonts w:hint="eastAsia" w:ascii="仿宋" w:hAnsi="仿宋" w:eastAsia="仿宋" w:cs="仿宋"/>
          <w:color w:val="auto"/>
          <w:sz w:val="24"/>
          <w:szCs w:val="24"/>
          <w:highlight w:val="none"/>
        </w:rPr>
      </w:pPr>
    </w:p>
    <w:p w14:paraId="4EB9CC7A">
      <w:pPr>
        <w:tabs>
          <w:tab w:val="left" w:pos="6300"/>
        </w:tabs>
        <w:snapToGrid w:val="0"/>
        <w:ind w:firstLine="480"/>
        <w:rPr>
          <w:rFonts w:hint="eastAsia" w:ascii="仿宋" w:hAnsi="仿宋" w:eastAsia="仿宋" w:cs="仿宋"/>
          <w:color w:val="auto"/>
          <w:sz w:val="24"/>
          <w:szCs w:val="24"/>
          <w:highlight w:val="none"/>
        </w:rPr>
      </w:pPr>
    </w:p>
    <w:p w14:paraId="48E6414E">
      <w:pPr>
        <w:tabs>
          <w:tab w:val="left" w:pos="6300"/>
        </w:tabs>
        <w:snapToGrid w:val="0"/>
        <w:ind w:firstLine="480"/>
        <w:rPr>
          <w:rFonts w:hint="eastAsia" w:ascii="仿宋" w:hAnsi="仿宋" w:eastAsia="仿宋" w:cs="仿宋"/>
          <w:color w:val="auto"/>
          <w:sz w:val="24"/>
          <w:szCs w:val="24"/>
          <w:highlight w:val="none"/>
        </w:rPr>
      </w:pPr>
      <w:bookmarkStart w:id="196" w:name="_Hlk517194860"/>
      <w:r>
        <w:rPr>
          <w:rFonts w:hint="eastAsia" w:ascii="仿宋" w:hAnsi="仿宋" w:eastAsia="仿宋" w:cs="仿宋"/>
          <w:color w:val="auto"/>
          <w:sz w:val="24"/>
          <w:szCs w:val="24"/>
          <w:highlight w:val="none"/>
        </w:rPr>
        <w:t xml:space="preserve">被授权人：               </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法定代表人：</w:t>
      </w:r>
    </w:p>
    <w:p w14:paraId="44643722">
      <w:pPr>
        <w:tabs>
          <w:tab w:val="left" w:pos="6300"/>
        </w:tabs>
        <w:snapToGrid w:val="0"/>
        <w:ind w:firstLine="360" w:firstLineChars="15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（签署或盖章）              （签署或盖章）</w:t>
      </w:r>
    </w:p>
    <w:bookmarkEnd w:id="196"/>
    <w:p w14:paraId="53A3FF79">
      <w:pPr>
        <w:tabs>
          <w:tab w:val="left" w:pos="6300"/>
        </w:tabs>
        <w:snapToGrid w:val="0"/>
        <w:ind w:firstLine="48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w:t>
      </w:r>
    </w:p>
    <w:p w14:paraId="558CA2EB">
      <w:pPr>
        <w:tabs>
          <w:tab w:val="left" w:pos="6300"/>
        </w:tabs>
        <w:snapToGrid w:val="0"/>
        <w:ind w:firstLine="48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（附：被授权人身份证正反面复印件）</w:t>
      </w:r>
    </w:p>
    <w:p w14:paraId="0F52E2AC">
      <w:pPr>
        <w:tabs>
          <w:tab w:val="left" w:pos="6300"/>
        </w:tabs>
        <w:snapToGrid w:val="0"/>
        <w:ind w:firstLine="480"/>
        <w:rPr>
          <w:rFonts w:hint="eastAsia" w:ascii="仿宋" w:hAnsi="仿宋" w:eastAsia="仿宋" w:cs="仿宋"/>
          <w:color w:val="auto"/>
          <w:sz w:val="24"/>
          <w:szCs w:val="24"/>
          <w:highlight w:val="none"/>
        </w:rPr>
      </w:pPr>
    </w:p>
    <w:p w14:paraId="79CE9707">
      <w:pPr>
        <w:tabs>
          <w:tab w:val="left" w:pos="6300"/>
        </w:tabs>
        <w:snapToGrid w:val="0"/>
        <w:ind w:firstLine="480"/>
        <w:rPr>
          <w:rFonts w:hint="eastAsia" w:ascii="仿宋" w:hAnsi="仿宋" w:eastAsia="仿宋" w:cs="仿宋"/>
          <w:color w:val="auto"/>
          <w:sz w:val="24"/>
          <w:szCs w:val="24"/>
          <w:highlight w:val="none"/>
        </w:rPr>
      </w:pPr>
    </w:p>
    <w:p w14:paraId="0584F0BE">
      <w:pPr>
        <w:tabs>
          <w:tab w:val="left" w:pos="5670"/>
        </w:tabs>
        <w:snapToGrid w:val="0"/>
        <w:ind w:firstLine="5760" w:firstLineChars="240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公章）</w:t>
      </w:r>
    </w:p>
    <w:p w14:paraId="58144C9D">
      <w:pPr>
        <w:tabs>
          <w:tab w:val="left" w:pos="6300"/>
        </w:tabs>
        <w:snapToGrid w:val="0"/>
        <w:ind w:right="600" w:firstLine="48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年   月   日</w:t>
      </w:r>
    </w:p>
    <w:p w14:paraId="1DCC0797">
      <w:pPr>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被授权人电话：        电子邮箱：     （若法定代表人办理并签署投标文件的可不填写）</w:t>
      </w:r>
    </w:p>
    <w:p w14:paraId="374BFC8E">
      <w:pPr>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注：</w:t>
      </w:r>
    </w:p>
    <w:p w14:paraId="6ED1120B">
      <w:pPr>
        <w:ind w:firstLine="480" w:firstLineChars="200"/>
        <w:jc w:val="left"/>
        <w:rPr>
          <w:rFonts w:hint="eastAsia" w:ascii="仿宋" w:hAnsi="仿宋" w:eastAsia="仿宋" w:cs="仿宋"/>
          <w:color w:val="auto"/>
          <w:sz w:val="24"/>
          <w:szCs w:val="24"/>
          <w:highlight w:val="none"/>
        </w:rPr>
      </w:pPr>
      <w:bookmarkStart w:id="197" w:name="_Toc10358"/>
      <w:bookmarkStart w:id="198" w:name="_Toc31225"/>
      <w:bookmarkStart w:id="199" w:name="_Toc25283"/>
      <w:bookmarkStart w:id="200" w:name="_Toc10914"/>
      <w:bookmarkStart w:id="201" w:name="_Toc26496"/>
      <w:bookmarkStart w:id="202" w:name="_Toc26813"/>
      <w:bookmarkStart w:id="203" w:name="_Toc27402"/>
      <w:bookmarkStart w:id="204" w:name="_Toc4003"/>
      <w:r>
        <w:rPr>
          <w:rFonts w:hint="eastAsia" w:ascii="仿宋" w:hAnsi="仿宋" w:eastAsia="仿宋" w:cs="仿宋"/>
          <w:color w:val="auto"/>
          <w:sz w:val="24"/>
          <w:szCs w:val="24"/>
          <w:highlight w:val="none"/>
        </w:rPr>
        <w:t>1．若为法定代表人办理并签署投标文件的，不提供此文件。</w:t>
      </w:r>
      <w:bookmarkEnd w:id="197"/>
      <w:bookmarkEnd w:id="198"/>
      <w:bookmarkEnd w:id="199"/>
      <w:bookmarkEnd w:id="200"/>
      <w:bookmarkEnd w:id="201"/>
      <w:bookmarkEnd w:id="202"/>
      <w:bookmarkEnd w:id="203"/>
      <w:bookmarkEnd w:id="204"/>
    </w:p>
    <w:p w14:paraId="65AE160C">
      <w:pPr>
        <w:tabs>
          <w:tab w:val="left" w:pos="6300"/>
        </w:tabs>
        <w:snapToGrid w:val="0"/>
        <w:ind w:firstLine="480"/>
        <w:rPr>
          <w:rFonts w:hint="eastAsia" w:ascii="仿宋" w:hAnsi="仿宋" w:eastAsia="仿宋" w:cs="仿宋"/>
          <w:color w:val="auto"/>
          <w:sz w:val="24"/>
          <w:highlight w:val="none"/>
        </w:rPr>
      </w:pPr>
    </w:p>
    <w:p w14:paraId="6290B37B">
      <w:pPr>
        <w:tabs>
          <w:tab w:val="left" w:pos="6300"/>
        </w:tabs>
        <w:snapToGrid w:val="0"/>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rPr>
        <w:br w:type="column"/>
      </w:r>
      <w:r>
        <w:rPr>
          <w:rFonts w:hint="eastAsia" w:ascii="仿宋" w:hAnsi="仿宋" w:eastAsia="仿宋" w:cs="仿宋"/>
          <w:color w:val="auto"/>
          <w:sz w:val="24"/>
          <w:highlight w:val="none"/>
        </w:rPr>
        <w:t>（四）基本资格条件承诺函</w:t>
      </w:r>
    </w:p>
    <w:p w14:paraId="64426FD1">
      <w:pPr>
        <w:jc w:val="center"/>
        <w:rPr>
          <w:rFonts w:hint="eastAsia" w:ascii="仿宋" w:hAnsi="仿宋" w:eastAsia="仿宋" w:cs="仿宋"/>
          <w:color w:val="auto"/>
          <w:highlight w:val="none"/>
        </w:rPr>
      </w:pPr>
      <w:r>
        <w:rPr>
          <w:rFonts w:hint="eastAsia" w:ascii="仿宋" w:hAnsi="仿宋" w:eastAsia="仿宋" w:cs="仿宋"/>
          <w:color w:val="auto"/>
          <w:highlight w:val="none"/>
        </w:rPr>
        <w:t>基本资格条件承诺函</w:t>
      </w:r>
    </w:p>
    <w:p w14:paraId="63C8819C">
      <w:pPr>
        <w:tabs>
          <w:tab w:val="left" w:pos="6300"/>
        </w:tabs>
        <w:snapToGrid w:val="0"/>
        <w:ind w:firstLine="480"/>
        <w:rPr>
          <w:rFonts w:hint="eastAsia" w:ascii="仿宋" w:hAnsi="仿宋" w:eastAsia="仿宋" w:cs="仿宋"/>
          <w:color w:val="auto"/>
          <w:sz w:val="24"/>
          <w:highlight w:val="none"/>
        </w:rPr>
      </w:pPr>
    </w:p>
    <w:p w14:paraId="1E2131F7">
      <w:pPr>
        <w:tabs>
          <w:tab w:val="left" w:pos="6300"/>
        </w:tabs>
        <w:snapToGrid w:val="0"/>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致</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（采购代理机构名称）：</w:t>
      </w:r>
    </w:p>
    <w:p w14:paraId="7A86809B">
      <w:pPr>
        <w:tabs>
          <w:tab w:val="left" w:pos="6300"/>
        </w:tabs>
        <w:snapToGrid w:val="0"/>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    </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名称）郑重承诺：</w:t>
      </w:r>
    </w:p>
    <w:p w14:paraId="1500BD23">
      <w:pPr>
        <w:tabs>
          <w:tab w:val="left" w:pos="6300"/>
        </w:tabs>
        <w:snapToGrid w:val="0"/>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1.我方具有良好的商业信誉和健全的财务会计制度，具有履行合同所必需的设备和专业技术能力，具</w:t>
      </w:r>
      <w:r>
        <w:rPr>
          <w:rFonts w:hint="eastAsia" w:ascii="仿宋" w:hAnsi="仿宋" w:eastAsia="仿宋" w:cs="仿宋"/>
          <w:color w:val="auto"/>
          <w:sz w:val="24"/>
          <w:highlight w:val="none"/>
          <w:lang w:val="zh-CN"/>
        </w:rPr>
        <w:t>有依法缴纳税收和社会保障金的良好记录</w:t>
      </w:r>
      <w:r>
        <w:rPr>
          <w:rFonts w:hint="eastAsia" w:ascii="仿宋" w:hAnsi="仿宋" w:eastAsia="仿宋" w:cs="仿宋"/>
          <w:color w:val="auto"/>
          <w:sz w:val="24"/>
          <w:highlight w:val="none"/>
        </w:rPr>
        <w:t>，参加本项目采购活动前三年内无重大违法活动记录。</w:t>
      </w:r>
    </w:p>
    <w:p w14:paraId="5864A0E2">
      <w:pPr>
        <w:tabs>
          <w:tab w:val="left" w:pos="6300"/>
        </w:tabs>
        <w:snapToGrid w:val="0"/>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2.我方未列入在信用中国网站（www.creditchina.gov.cn）“失信被执行人”、“重大税收违法案件当事人名单”中，也未列入中国政府采购网（www.ccgp.gov.cn）“政府采购严重违法失信行为记录名单”中。</w:t>
      </w:r>
    </w:p>
    <w:p w14:paraId="277CEEA5">
      <w:pPr>
        <w:tabs>
          <w:tab w:val="left" w:pos="6300"/>
        </w:tabs>
        <w:snapToGrid w:val="0"/>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3.我方在采购项目评审（评标）环节结束后，随时接受采购人、采购代理机构的检查验证，配合提供相关证明材料，证明符合《中华人民共和国政府采购法》规定的</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基本资格条件。</w:t>
      </w:r>
    </w:p>
    <w:p w14:paraId="7EDC0309">
      <w:pPr>
        <w:tabs>
          <w:tab w:val="left" w:pos="6300"/>
        </w:tabs>
        <w:snapToGrid w:val="0"/>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我方对以上承诺负全部法律责任。</w:t>
      </w:r>
    </w:p>
    <w:p w14:paraId="596D5AF7">
      <w:pPr>
        <w:tabs>
          <w:tab w:val="left" w:pos="6300"/>
        </w:tabs>
        <w:snapToGrid w:val="0"/>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特此承诺。</w:t>
      </w:r>
    </w:p>
    <w:p w14:paraId="5347A8BF">
      <w:pPr>
        <w:tabs>
          <w:tab w:val="left" w:pos="6300"/>
        </w:tabs>
        <w:snapToGrid w:val="0"/>
        <w:ind w:firstLine="480" w:firstLineChars="200"/>
        <w:rPr>
          <w:rFonts w:hint="eastAsia" w:ascii="仿宋" w:hAnsi="仿宋" w:eastAsia="仿宋" w:cs="仿宋"/>
          <w:color w:val="auto"/>
          <w:sz w:val="24"/>
          <w:highlight w:val="none"/>
        </w:rPr>
      </w:pPr>
    </w:p>
    <w:p w14:paraId="7F217A41">
      <w:pPr>
        <w:tabs>
          <w:tab w:val="left" w:pos="6300"/>
        </w:tabs>
        <w:snapToGrid w:val="0"/>
        <w:ind w:firstLine="480" w:firstLineChars="200"/>
        <w:jc w:val="right"/>
        <w:rPr>
          <w:rFonts w:hint="eastAsia" w:ascii="仿宋" w:hAnsi="仿宋" w:eastAsia="仿宋" w:cs="仿宋"/>
          <w:color w:val="auto"/>
          <w:sz w:val="24"/>
          <w:highlight w:val="none"/>
        </w:rPr>
      </w:pPr>
      <w:r>
        <w:rPr>
          <w:rFonts w:hint="eastAsia" w:ascii="仿宋" w:hAnsi="仿宋" w:eastAsia="仿宋" w:cs="仿宋"/>
          <w:color w:val="auto"/>
          <w:sz w:val="24"/>
          <w:highlight w:val="none"/>
        </w:rPr>
        <w:t>（</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公章）</w:t>
      </w:r>
    </w:p>
    <w:p w14:paraId="425C0BC5">
      <w:pPr>
        <w:tabs>
          <w:tab w:val="left" w:pos="6300"/>
        </w:tabs>
        <w:snapToGrid w:val="0"/>
        <w:ind w:firstLine="480" w:firstLineChars="200"/>
        <w:jc w:val="right"/>
        <w:rPr>
          <w:rFonts w:hint="eastAsia" w:ascii="仿宋" w:hAnsi="仿宋" w:eastAsia="仿宋" w:cs="仿宋"/>
          <w:color w:val="auto"/>
          <w:sz w:val="24"/>
          <w:highlight w:val="none"/>
        </w:rPr>
      </w:pPr>
      <w:r>
        <w:rPr>
          <w:rFonts w:hint="eastAsia" w:ascii="仿宋" w:hAnsi="仿宋" w:eastAsia="仿宋" w:cs="仿宋"/>
          <w:color w:val="auto"/>
          <w:sz w:val="24"/>
          <w:highlight w:val="none"/>
        </w:rPr>
        <w:t>年   月   日</w:t>
      </w:r>
    </w:p>
    <w:p w14:paraId="603C5DA8">
      <w:pPr>
        <w:snapToGrid w:val="0"/>
        <w:ind w:firstLine="480" w:firstLineChars="200"/>
        <w:rPr>
          <w:rFonts w:hint="eastAsia" w:ascii="仿宋" w:hAnsi="仿宋" w:eastAsia="仿宋" w:cs="仿宋"/>
          <w:color w:val="auto"/>
          <w:sz w:val="24"/>
          <w:szCs w:val="24"/>
          <w:highlight w:val="none"/>
        </w:rPr>
      </w:pPr>
    </w:p>
    <w:p w14:paraId="06E1CEC0">
      <w:pPr>
        <w:rPr>
          <w:rFonts w:hint="eastAsia" w:ascii="仿宋" w:hAnsi="仿宋" w:eastAsia="仿宋" w:cs="仿宋"/>
          <w:color w:val="auto"/>
          <w:highlight w:val="none"/>
        </w:rPr>
      </w:pPr>
      <w:r>
        <w:rPr>
          <w:rFonts w:hint="eastAsia" w:ascii="仿宋" w:hAnsi="仿宋" w:eastAsia="仿宋" w:cs="仿宋"/>
          <w:color w:val="auto"/>
          <w:highlight w:val="none"/>
        </w:rPr>
        <w:br w:type="page"/>
      </w:r>
    </w:p>
    <w:p w14:paraId="54730645">
      <w:pPr>
        <w:tabs>
          <w:tab w:val="left" w:pos="6300"/>
        </w:tabs>
        <w:snapToGrid w:val="0"/>
        <w:ind w:firstLine="480" w:firstLineChars="200"/>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rPr>
        <w:t>（五）特定资格条件证书或证明文件</w:t>
      </w:r>
      <w:r>
        <w:rPr>
          <w:rFonts w:hint="eastAsia" w:ascii="仿宋" w:hAnsi="仿宋" w:eastAsia="仿宋" w:cs="仿宋"/>
          <w:color w:val="auto"/>
          <w:sz w:val="24"/>
          <w:highlight w:val="none"/>
          <w:lang w:eastAsia="zh-CN"/>
        </w:rPr>
        <w:t>（</w:t>
      </w:r>
      <w:r>
        <w:rPr>
          <w:rFonts w:hint="eastAsia" w:ascii="仿宋" w:hAnsi="仿宋" w:eastAsia="仿宋" w:cs="仿宋"/>
          <w:color w:val="auto"/>
          <w:sz w:val="24"/>
          <w:highlight w:val="none"/>
          <w:lang w:val="en-US" w:eastAsia="zh-CN"/>
        </w:rPr>
        <w:t>如有</w:t>
      </w:r>
      <w:r>
        <w:rPr>
          <w:rFonts w:hint="eastAsia" w:ascii="仿宋" w:hAnsi="仿宋" w:eastAsia="仿宋" w:cs="仿宋"/>
          <w:color w:val="auto"/>
          <w:sz w:val="24"/>
          <w:highlight w:val="none"/>
          <w:lang w:eastAsia="zh-CN"/>
        </w:rPr>
        <w:t>）</w:t>
      </w:r>
    </w:p>
    <w:p w14:paraId="5BC464E6">
      <w:pPr>
        <w:tabs>
          <w:tab w:val="left" w:pos="6300"/>
        </w:tabs>
        <w:snapToGrid w:val="0"/>
        <w:ind w:firstLine="480"/>
        <w:jc w:val="left"/>
        <w:rPr>
          <w:rFonts w:hint="eastAsia" w:ascii="仿宋" w:hAnsi="仿宋" w:eastAsia="仿宋" w:cs="仿宋"/>
          <w:color w:val="auto"/>
          <w:sz w:val="24"/>
          <w:highlight w:val="none"/>
        </w:rPr>
      </w:pPr>
    </w:p>
    <w:p w14:paraId="185FB19C">
      <w:pPr>
        <w:tabs>
          <w:tab w:val="left" w:pos="6300"/>
        </w:tabs>
        <w:snapToGrid w:val="0"/>
        <w:ind w:firstLine="480"/>
        <w:jc w:val="left"/>
        <w:rPr>
          <w:rFonts w:hint="eastAsia" w:ascii="仿宋" w:hAnsi="仿宋" w:eastAsia="仿宋" w:cs="仿宋"/>
          <w:color w:val="auto"/>
          <w:sz w:val="24"/>
          <w:highlight w:val="none"/>
        </w:rPr>
      </w:pPr>
    </w:p>
    <w:p w14:paraId="2A2D7049">
      <w:pPr>
        <w:tabs>
          <w:tab w:val="left" w:pos="6300"/>
        </w:tabs>
        <w:snapToGrid w:val="0"/>
        <w:ind w:firstLine="480"/>
        <w:jc w:val="left"/>
        <w:rPr>
          <w:rFonts w:hint="eastAsia" w:ascii="仿宋" w:hAnsi="仿宋" w:eastAsia="仿宋" w:cs="仿宋"/>
          <w:color w:val="auto"/>
          <w:sz w:val="24"/>
          <w:highlight w:val="none"/>
        </w:rPr>
      </w:pPr>
    </w:p>
    <w:p w14:paraId="2C39665B">
      <w:pPr>
        <w:tabs>
          <w:tab w:val="left" w:pos="6300"/>
        </w:tabs>
        <w:snapToGrid w:val="0"/>
        <w:ind w:firstLine="480"/>
        <w:jc w:val="left"/>
        <w:rPr>
          <w:rFonts w:hint="eastAsia" w:ascii="仿宋" w:hAnsi="仿宋" w:eastAsia="仿宋" w:cs="仿宋"/>
          <w:color w:val="auto"/>
          <w:sz w:val="24"/>
          <w:highlight w:val="none"/>
        </w:rPr>
      </w:pPr>
    </w:p>
    <w:p w14:paraId="31186FA0">
      <w:pPr>
        <w:tabs>
          <w:tab w:val="left" w:pos="6300"/>
        </w:tabs>
        <w:snapToGrid w:val="0"/>
        <w:ind w:firstLine="480"/>
        <w:jc w:val="left"/>
        <w:rPr>
          <w:rFonts w:hint="eastAsia" w:ascii="仿宋" w:hAnsi="仿宋" w:eastAsia="仿宋" w:cs="仿宋"/>
          <w:color w:val="auto"/>
          <w:sz w:val="24"/>
          <w:highlight w:val="none"/>
        </w:rPr>
      </w:pPr>
    </w:p>
    <w:p w14:paraId="117F1A4E">
      <w:pPr>
        <w:tabs>
          <w:tab w:val="left" w:pos="6300"/>
        </w:tabs>
        <w:snapToGrid w:val="0"/>
        <w:ind w:firstLine="480"/>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（结束）</w:t>
      </w:r>
    </w:p>
    <w:p w14:paraId="5420D942">
      <w:pPr>
        <w:tabs>
          <w:tab w:val="left" w:pos="6300"/>
        </w:tabs>
        <w:snapToGrid w:val="0"/>
        <w:ind w:firstLine="480"/>
        <w:jc w:val="left"/>
        <w:rPr>
          <w:rFonts w:hint="eastAsia" w:ascii="仿宋" w:hAnsi="仿宋" w:eastAsia="仿宋" w:cs="仿宋"/>
          <w:color w:val="auto"/>
          <w:sz w:val="24"/>
          <w:highlight w:val="none"/>
        </w:rPr>
      </w:pPr>
    </w:p>
    <w:p w14:paraId="0B3B984A">
      <w:pPr>
        <w:tabs>
          <w:tab w:val="left" w:pos="6300"/>
        </w:tabs>
        <w:snapToGrid w:val="0"/>
        <w:ind w:firstLine="480"/>
        <w:jc w:val="left"/>
        <w:rPr>
          <w:rFonts w:hint="eastAsia" w:ascii="仿宋" w:hAnsi="仿宋" w:eastAsia="仿宋" w:cs="仿宋"/>
          <w:color w:val="auto"/>
          <w:sz w:val="24"/>
          <w:highlight w:val="none"/>
        </w:rPr>
      </w:pPr>
    </w:p>
    <w:p w14:paraId="084E0429">
      <w:pPr>
        <w:tabs>
          <w:tab w:val="left" w:pos="6300"/>
        </w:tabs>
        <w:snapToGrid w:val="0"/>
        <w:ind w:firstLine="480"/>
        <w:jc w:val="left"/>
        <w:rPr>
          <w:rFonts w:hint="eastAsia" w:ascii="仿宋" w:hAnsi="仿宋" w:eastAsia="仿宋" w:cs="仿宋"/>
          <w:color w:val="auto"/>
          <w:sz w:val="24"/>
          <w:highlight w:val="none"/>
        </w:rPr>
      </w:pPr>
    </w:p>
    <w:p w14:paraId="340251FE">
      <w:pPr>
        <w:tabs>
          <w:tab w:val="left" w:pos="6300"/>
        </w:tabs>
        <w:snapToGrid w:val="0"/>
        <w:ind w:firstLine="480"/>
        <w:jc w:val="left"/>
        <w:rPr>
          <w:rFonts w:hint="eastAsia" w:ascii="仿宋" w:hAnsi="仿宋" w:eastAsia="仿宋" w:cs="仿宋"/>
          <w:color w:val="auto"/>
          <w:sz w:val="24"/>
          <w:highlight w:val="none"/>
        </w:rPr>
      </w:pPr>
    </w:p>
    <w:p w14:paraId="5810407C">
      <w:pPr>
        <w:tabs>
          <w:tab w:val="left" w:pos="6300"/>
        </w:tabs>
        <w:snapToGrid w:val="0"/>
        <w:ind w:firstLine="480"/>
        <w:jc w:val="left"/>
        <w:rPr>
          <w:rFonts w:hint="eastAsia" w:ascii="仿宋" w:hAnsi="仿宋" w:eastAsia="仿宋" w:cs="仿宋"/>
          <w:color w:val="auto"/>
          <w:sz w:val="24"/>
          <w:highlight w:val="none"/>
        </w:rPr>
      </w:pPr>
    </w:p>
    <w:p w14:paraId="0286AC44">
      <w:pPr>
        <w:tabs>
          <w:tab w:val="left" w:pos="6300"/>
        </w:tabs>
        <w:snapToGrid w:val="0"/>
        <w:ind w:firstLine="480"/>
        <w:jc w:val="left"/>
        <w:rPr>
          <w:rFonts w:hint="eastAsia" w:ascii="仿宋" w:hAnsi="仿宋" w:eastAsia="仿宋" w:cs="仿宋"/>
          <w:color w:val="auto"/>
          <w:sz w:val="24"/>
          <w:highlight w:val="none"/>
        </w:rPr>
      </w:pPr>
    </w:p>
    <w:p w14:paraId="038B70AB">
      <w:pPr>
        <w:tabs>
          <w:tab w:val="left" w:pos="6300"/>
        </w:tabs>
        <w:snapToGrid w:val="0"/>
        <w:ind w:firstLine="480"/>
        <w:jc w:val="left"/>
        <w:rPr>
          <w:rFonts w:hint="eastAsia" w:ascii="仿宋" w:hAnsi="仿宋" w:eastAsia="仿宋" w:cs="仿宋"/>
          <w:color w:val="auto"/>
          <w:sz w:val="24"/>
          <w:highlight w:val="none"/>
        </w:rPr>
      </w:pPr>
    </w:p>
    <w:p w14:paraId="176DF9F0">
      <w:pPr>
        <w:tabs>
          <w:tab w:val="left" w:pos="6300"/>
        </w:tabs>
        <w:snapToGrid w:val="0"/>
        <w:ind w:firstLine="480"/>
        <w:jc w:val="left"/>
        <w:rPr>
          <w:rFonts w:hint="eastAsia" w:ascii="仿宋" w:hAnsi="仿宋" w:eastAsia="仿宋" w:cs="仿宋"/>
          <w:color w:val="auto"/>
          <w:sz w:val="24"/>
          <w:highlight w:val="none"/>
        </w:rPr>
      </w:pPr>
    </w:p>
    <w:p w14:paraId="291EB5D3">
      <w:pPr>
        <w:tabs>
          <w:tab w:val="left" w:pos="6300"/>
        </w:tabs>
        <w:snapToGrid w:val="0"/>
        <w:jc w:val="left"/>
        <w:rPr>
          <w:rFonts w:hint="eastAsia" w:ascii="仿宋" w:hAnsi="仿宋" w:eastAsia="仿宋" w:cs="仿宋"/>
          <w:color w:val="auto"/>
          <w:sz w:val="24"/>
          <w:highlight w:val="none"/>
        </w:rPr>
      </w:pPr>
    </w:p>
    <w:sectPr>
      <w:headerReference r:id="rId5" w:type="default"/>
      <w:footerReference r:id="rId6" w:type="default"/>
      <w:pgSz w:w="11907" w:h="16840"/>
      <w:pgMar w:top="1134" w:right="1191" w:bottom="1134" w:left="1304" w:header="851" w:footer="992" w:gutter="0"/>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MingLiU">
    <w:panose1 w:val="02020509000000000000"/>
    <w:charset w:val="88"/>
    <w:family w:val="modern"/>
    <w:pitch w:val="default"/>
    <w:sig w:usb0="A00002FF" w:usb1="28CFFCFA" w:usb2="00000016" w:usb3="00000000" w:csb0="00100001" w:csb1="00000000"/>
  </w:font>
  <w:font w:name="Gulim">
    <w:altName w:val="Malgun Gothic"/>
    <w:panose1 w:val="020B0600000101010101"/>
    <w:charset w:val="81"/>
    <w:family w:val="swiss"/>
    <w:pitch w:val="default"/>
    <w:sig w:usb0="00000000" w:usb1="00000000" w:usb2="00000030" w:usb3="00000000" w:csb0="4008009F" w:csb1="DFD7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D19D9E">
    <w:pPr>
      <w:pStyle w:val="13"/>
      <w:ind w:firstLine="422"/>
      <w:jc w:val="center"/>
      <w:rPr>
        <w:rFonts w:ascii="宋体"/>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9012925">
                          <w:pPr>
                            <w:pStyle w:val="13"/>
                          </w:pPr>
                          <w:r>
                            <w:fldChar w:fldCharType="begin"/>
                          </w:r>
                          <w:r>
                            <w:instrText xml:space="preserve"> PAGE  \* MERGEFORMAT </w:instrText>
                          </w:r>
                          <w:r>
                            <w:fldChar w:fldCharType="separate"/>
                          </w:r>
                          <w:r>
                            <w:t>- 16 -</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ip7u8EBAACNAwAADgAAAGRycy9lMm9Eb2MueG1srVPNjtMwEL4j8Q6W&#10;79TZHqoqarraVbUICQHSwgO4jt1Y8p88bpO+ALwBJy7cea4+B2Mn6cJy2QMXZzwz/ma+byab28Ea&#10;cpIRtHcNvVlUlEgnfKvdoaFfPj+8WVMCibuWG+9kQ88S6O329atNH2q59J03rYwEQRzUfWhol1Ko&#10;GQPRScth4YN0GFQ+Wp7wGg+sjbxHdGvYsqpWrPexDdELCYDe3RikE2J8CaBXSgu58+JopUsjapSG&#10;J6QEnQ5At6VbpaRIH5UCmYhpKDJN5cQiaO/zybYbXh8iD50WUwv8JS0842S5dlj0CrXjiZNj1P9A&#10;WS2iB6/SQnjLRiJFEWRxUz3T5rHjQRYuKDWEq+jw/2DFh9OnSHTb0BUljlsc+OX7t8uPX5efX8kq&#10;y9MHqDHrMWBeGu79gEsz+wGdmfWgos1f5EMwjuKer+LKIRGRH62X63WFIYGx+YL47Ol5iJDeSm9J&#10;NhoacXpFVH56D2lMnVNyNecftDFlgsb95UDM7GG597HHbKVhP0yE9r49I58eB99Qh3tOiXnnUNe8&#10;I7MRZ2M/GbkGhLtjwsKln4w6Qk3FcEqF0bRReQ3+vJesp79o+x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OqXm5zwAAAAUBAAAPAAAAAAAAAAEAIAAAACIAAABkcnMvZG93bnJldi54bWxQSwECFAAU&#10;AAAACACHTuJApip7u8EBAACNAwAADgAAAAAAAAABACAAAAAeAQAAZHJzL2Uyb0RvYy54bWxQSwUG&#10;AAAAAAYABgBZAQAAUQUAAAAA&#10;">
              <v:fill on="f" focussize="0,0"/>
              <v:stroke on="f"/>
              <v:imagedata o:title=""/>
              <o:lock v:ext="edit" aspectratio="f"/>
              <v:textbox inset="0mm,0mm,0mm,0mm" style="mso-fit-shape-to-text:t;">
                <w:txbxContent>
                  <w:p w14:paraId="19012925">
                    <w:pPr>
                      <w:pStyle w:val="13"/>
                    </w:pPr>
                    <w:r>
                      <w:fldChar w:fldCharType="begin"/>
                    </w:r>
                    <w:r>
                      <w:instrText xml:space="preserve"> PAGE  \* MERGEFORMAT </w:instrText>
                    </w:r>
                    <w:r>
                      <w:fldChar w:fldCharType="separate"/>
                    </w:r>
                    <w:r>
                      <w:t>- 16 -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1965E7">
    <w:pPr>
      <w:pStyle w:val="13"/>
      <w:ind w:firstLine="361"/>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96850" cy="137795"/>
              <wp:effectExtent l="0" t="0" r="0" b="0"/>
              <wp:wrapNone/>
              <wp:docPr id="3" name="文本框 3"/>
              <wp:cNvGraphicFramePr/>
              <a:graphic xmlns:a="http://schemas.openxmlformats.org/drawingml/2006/main">
                <a:graphicData uri="http://schemas.microsoft.com/office/word/2010/wordprocessingShape">
                  <wps:wsp>
                    <wps:cNvSpPr txBox="1"/>
                    <wps:spPr>
                      <a:xfrm>
                        <a:off x="0" y="0"/>
                        <a:ext cx="196850" cy="1377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0FBF11">
                          <w:pPr>
                            <w:pStyle w:val="13"/>
                          </w:pPr>
                          <w:r>
                            <w:rPr>
                              <w:rFonts w:hint="eastAsia"/>
                            </w:rPr>
                            <w:fldChar w:fldCharType="begin"/>
                          </w:r>
                          <w:r>
                            <w:rPr>
                              <w:rFonts w:hint="eastAsia"/>
                            </w:rPr>
                            <w:instrText xml:space="preserve"> PAGE  \* MERGEFORMAT </w:instrText>
                          </w:r>
                          <w:r>
                            <w:rPr>
                              <w:rFonts w:hint="eastAsia"/>
                            </w:rPr>
                            <w:fldChar w:fldCharType="separate"/>
                          </w:r>
                          <w:r>
                            <w:t>- 3 -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0.85pt;width:15.5pt;mso-position-horizontal:center;mso-position-horizontal-relative:margin;mso-wrap-style:none;z-index:251660288;mso-width-relative:page;mso-height-relative:page;" filled="f" stroked="f" coordsize="21600,21600" o:gfxdata="UEsDBAoAAAAAAIdO4kAAAAAAAAAAAAAAAAAEAAAAZHJzL1BLAwQUAAAACACHTuJAH1uftNEAAAAD&#10;AQAADwAAAGRycy9kb3ducmV2LnhtbE2PwU7DMBBE70j8g7WVuFEnLQIU4lSiIj0i0XDg6MZLEmqv&#10;I9tN079n4QKXkUazmnlbbmZnxYQhDp4U5MsMBFLrzUCdgvemvn0EEZMmo60nVHDBCJvq+qrUhfFn&#10;esNpnzrBJRQLraBPaSykjG2PTselH5E4+/TB6cQ2dNIEfeZyZ+Uqy+6l0wPxQq9H3PbYHvcnp2Bb&#10;N02YMAb7gbt6/fX6fIcvs1I3izx7ApFwTn/H8IPP6FAx08GfyERhFfAj6Vc5W+fsDgpW+QPIqpT/&#10;2atvUEsDBBQAAAAIAIdO4kB/YocaLgIAAFMEAAAOAAAAZHJzL2Uyb0RvYy54bWytVM1uGjEQvlfq&#10;O1i+l4WgkASxRDSIqhJqItGqZ+P1siv5T7Zhlz5A+wY99ZJ7n4vn6Of9IW3aQw69mFnP+Jv5vplh&#10;dlsrSQ7C+dLolI4GQ0qE5iYr9S6lnz6u3lxT4gPTGZNGi5Qehae389evZpWdigtTGJkJRwCi/bSy&#10;KS1CsNMk8bwQivmBsULDmRunWMCn2yWZYxXQlUwuhsNJUhmXWWe48B63y9ZJO0T3EkCT5yUXS8P3&#10;SujQojohWQAlX5TW03lTbZ4LHu7z3ItAZErBNDQnksDexjOZz9h055gtSt6VwF5SwjNOipUaSc9Q&#10;SxYY2bvyLyhVcme8ycOAG5W0RBpFwGI0fKbNpmBWNFwgtbdn0f3/g+UfDg+OlFlKx5RoptDw0/dv&#10;px8/T49fyTjKU1k/RdTGIi7Ub02NoenvPS4j6zp3Kv6CD4Ef4h7P4oo6EB4f3UyuL+HhcI3GV1c3&#10;lxEleXpsnQ/vhFEkGil16F0jKTusfWhD+5CYS5tVKWXTP6lJldLJGPB/eAAuNXJECm2p0Qr1tu54&#10;bU12BC1n2rnwlq9KJF8zHx6YwyCgXqxKuMeRS4MkprMoKYz78q/7GI/+wEtJhcFKqcYeUSLfa/QN&#10;gKE3XG9se0Pv1Z3BpI6wgpY3Jh64IHszd0Z9xv4sYg64mObIlNLQm3ehHW7sHxeLRROESbMsrPXG&#10;8ggdJfJ2sQ8QsNE1itIq0WmFWWs60+1FHObfv5uop/+C+S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AfW5+00QAAAAMBAAAPAAAAAAAAAAEAIAAAACIAAABkcnMvZG93bnJldi54bWxQSwECFAAUAAAA&#10;CACHTuJAf2KHGi4CAABTBAAADgAAAAAAAAABACAAAAAgAQAAZHJzL2Uyb0RvYy54bWxQSwUGAAAA&#10;AAYABgBZAQAAwAUAAAAA&#10;">
              <v:fill on="f" focussize="0,0"/>
              <v:stroke on="f" weight="0.5pt"/>
              <v:imagedata o:title=""/>
              <o:lock v:ext="edit" aspectratio="f"/>
              <v:textbox inset="0mm,0mm,0mm,0mm" style="mso-fit-shape-to-text:t;">
                <w:txbxContent>
                  <w:p w14:paraId="3D0FBF11">
                    <w:pPr>
                      <w:pStyle w:val="13"/>
                    </w:pPr>
                    <w:r>
                      <w:rPr>
                        <w:rFonts w:hint="eastAsia"/>
                      </w:rPr>
                      <w:fldChar w:fldCharType="begin"/>
                    </w:r>
                    <w:r>
                      <w:rPr>
                        <w:rFonts w:hint="eastAsia"/>
                      </w:rPr>
                      <w:instrText xml:space="preserve"> PAGE  \* MERGEFORMAT </w:instrText>
                    </w:r>
                    <w:r>
                      <w:rPr>
                        <w:rFonts w:hint="eastAsia"/>
                      </w:rPr>
                      <w:fldChar w:fldCharType="separate"/>
                    </w:r>
                    <w:r>
                      <w:t>- 3 -</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B1E48F">
    <w:pPr>
      <w:pStyle w:val="13"/>
      <w:ind w:firstLine="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90500" cy="131445"/>
              <wp:effectExtent l="0" t="0" r="0" b="0"/>
              <wp:wrapNone/>
              <wp:docPr id="1" name="文本框 11"/>
              <wp:cNvGraphicFramePr/>
              <a:graphic xmlns:a="http://schemas.openxmlformats.org/drawingml/2006/main">
                <a:graphicData uri="http://schemas.microsoft.com/office/word/2010/wordprocessingShape">
                  <wps:wsp>
                    <wps:cNvSpPr txBox="1">
                      <a:spLocks noChangeArrowheads="1"/>
                    </wps:cNvSpPr>
                    <wps:spPr bwMode="auto">
                      <a:xfrm>
                        <a:off x="0" y="0"/>
                        <a:ext cx="190500" cy="131445"/>
                      </a:xfrm>
                      <a:prstGeom prst="rect">
                        <a:avLst/>
                      </a:prstGeom>
                      <a:noFill/>
                      <a:ln>
                        <a:noFill/>
                      </a:ln>
                    </wps:spPr>
                    <wps:txbx>
                      <w:txbxContent>
                        <w:p w14:paraId="0F786EB5">
                          <w:pPr>
                            <w:pStyle w:val="13"/>
                          </w:pPr>
                          <w:r>
                            <w:rPr>
                              <w:rFonts w:hint="eastAsia"/>
                            </w:rPr>
                            <w:fldChar w:fldCharType="begin"/>
                          </w:r>
                          <w:r>
                            <w:rPr>
                              <w:rFonts w:hint="eastAsia"/>
                            </w:rPr>
                            <w:instrText xml:space="preserve"> PAGE  \* MERGEFORMAT </w:instrText>
                          </w:r>
                          <w:r>
                            <w:rPr>
                              <w:rFonts w:hint="eastAsia"/>
                            </w:rPr>
                            <w:fldChar w:fldCharType="separate"/>
                          </w:r>
                          <w:r>
                            <w:t>- 5 -</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文本框 11" o:spid="_x0000_s1026" o:spt="202" type="#_x0000_t202" style="position:absolute;left:0pt;margin-top:0pt;height:10.35pt;width:15pt;mso-position-horizontal:center;mso-position-horizontal-relative:margin;mso-wrap-style:none;z-index:251661312;mso-width-relative:page;mso-height-relative:page;" filled="f" stroked="f" coordsize="21600,21600" o:gfxdata="UEsDBAoAAAAAAIdO4kAAAAAAAAAAAAAAAAAEAAAAZHJzL1BLAwQUAAAACACHTuJAoqRS7NAAAAAD&#10;AQAADwAAAGRycy9kb3ducmV2LnhtbE2PwWrDMBBE74X+g9hAb42UFJrgWM4h0EtvTUuhN8XaWCbS&#10;ykiKY/99t720l4Fhlpm39X4KXoyYch9Jw2qpQCC10fbUafh4f3ncgsjFkDU+EmqYMcO+ub+rTWXj&#10;jd5wPJZOcAnlymhwpQyVlLl1GExexgGJs3NMwRS2qZM2mRuXBy/XSj3LYHriBWcGPDhsL8dr0LCZ&#10;PiMOGQ/4dR7b5Pp5619nrR8WK7UDUXAqf8fwg8/o0DDTKV7JZuE18CPlVzl7UuxOGtZqA7Kp5X/2&#10;5htQSwMEFAAAAAgAh07iQOshw7kIAgAAAwQAAA4AAABkcnMvZTJvRG9jLnhtbK1TzY7TMBC+I/EO&#10;lu80ybKLIGq6WrYqQlp+pIUHcB2nsYg91thtUh4A3oDTXrjzXH0Oxk5TluWyBy7W2B5/833fjOeX&#10;g+nYTqHXYCtezHLOlJVQa7up+OdPq2cvOfNB2Fp0YFXF98rzy8XTJ/PeleoMWuhqhYxArC97V/E2&#10;BFdmmZetMsLPwClLlw2gEYG2uMlqFD2hmy47y/MXWQ9YOwSpvKfT5XjJj4j4GEBoGi3VEuTWKBtG&#10;VFSdCCTJt9p5vkhsm0bJ8KFpvAqsqzgpDWmlIhSv45ot5qLcoHCtlkcK4jEUHmgyQlsqeoJaiiDY&#10;FvU/UEZLBA9NmEkw2SgkOUIqivyBN7etcCppIau9O5nu/x+sfL/7iEzXNAmcWWGo4Ycf3w93vw4/&#10;v7GiiP70zpeUdusoMQyvYYi5Uat3NyC/eGbhuhV2o64QoW+VqIlfepndezri+Aiy7t9BTYXENkAC&#10;Gho0EZDsYIROvdmfeqOGwGQs+Sq/yOlG0lXxvDg/v4jcMlFOjx368EaBYTGoOFLrE7jY3fgwpk4p&#10;sZaFle661P7O/nVAmPEkkY98R+ZhWA9HM9ZQ70kGwjhN9JcoaAG/ctbTJFXc0sfhrHtryYg4dFOA&#10;U7CeAmElPax44GwMr8M4nFuHetMS7mT1FZm10klIdHXkcGRJs5GsOM5xHL77+5T15+8u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ipFLs0AAAAAMBAAAPAAAAAAAAAAEAIAAAACIAAABkcnMvZG93&#10;bnJldi54bWxQSwECFAAUAAAACACHTuJA6yHDuQgCAAADBAAADgAAAAAAAAABACAAAAAfAQAAZHJz&#10;L2Uyb0RvYy54bWxQSwUGAAAAAAYABgBZAQAAmQUAAAAA&#10;">
              <v:fill on="f" focussize="0,0"/>
              <v:stroke on="f"/>
              <v:imagedata o:title=""/>
              <o:lock v:ext="edit" aspectratio="f"/>
              <v:textbox inset="0mm,0mm,0mm,0mm" style="mso-fit-shape-to-text:t;">
                <w:txbxContent>
                  <w:p w14:paraId="0F786EB5">
                    <w:pPr>
                      <w:pStyle w:val="13"/>
                    </w:pPr>
                    <w:r>
                      <w:rPr>
                        <w:rFonts w:hint="eastAsia"/>
                      </w:rPr>
                      <w:fldChar w:fldCharType="begin"/>
                    </w:r>
                    <w:r>
                      <w:rPr>
                        <w:rFonts w:hint="eastAsia"/>
                      </w:rPr>
                      <w:instrText xml:space="preserve"> PAGE  \* MERGEFORMAT </w:instrText>
                    </w:r>
                    <w:r>
                      <w:rPr>
                        <w:rFonts w:hint="eastAsia"/>
                      </w:rPr>
                      <w:fldChar w:fldCharType="separate"/>
                    </w:r>
                    <w:r>
                      <w:t>- 5 -</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47507B">
    <w:pPr>
      <w:pStyle w:val="14"/>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9662896"/>
    <w:multiLevelType w:val="singleLevel"/>
    <w:tmpl w:val="E9662896"/>
    <w:lvl w:ilvl="0" w:tentative="0">
      <w:start w:val="1"/>
      <w:numFmt w:val="decimal"/>
      <w:suff w:val="nothing"/>
      <w:lvlText w:val="%1、"/>
      <w:lvlJc w:val="left"/>
    </w:lvl>
  </w:abstractNum>
  <w:abstractNum w:abstractNumId="1">
    <w:nsid w:val="77ABF0D0"/>
    <w:multiLevelType w:val="singleLevel"/>
    <w:tmpl w:val="77ABF0D0"/>
    <w:lvl w:ilvl="0" w:tentative="0">
      <w:start w:val="1"/>
      <w:numFmt w:val="chineseCounting"/>
      <w:suff w:val="nothing"/>
      <w:lvlText w:val="%1、"/>
      <w:lvlJc w:val="left"/>
      <w:rPr>
        <w:rFonts w:hint="eastAsia"/>
      </w:rPr>
    </w:lvl>
  </w:abstractNum>
  <w:abstractNum w:abstractNumId="2">
    <w:nsid w:val="7D764751"/>
    <w:multiLevelType w:val="singleLevel"/>
    <w:tmpl w:val="7D764751"/>
    <w:lvl w:ilvl="0" w:tentative="0">
      <w:start w:val="3"/>
      <w:numFmt w:val="chineseCounting"/>
      <w:suff w:val="space"/>
      <w:lvlText w:val="第%1篇"/>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liNGUyNTkzN2JmZWY3ZGNiZjA5YmE1MGM1OTIwM2EifQ=="/>
  </w:docVars>
  <w:rsids>
    <w:rsidRoot w:val="4DEF5E83"/>
    <w:rsid w:val="0003329A"/>
    <w:rsid w:val="000351F5"/>
    <w:rsid w:val="00040D43"/>
    <w:rsid w:val="00044494"/>
    <w:rsid w:val="00060B4A"/>
    <w:rsid w:val="0006406A"/>
    <w:rsid w:val="00091BED"/>
    <w:rsid w:val="000B2A3D"/>
    <w:rsid w:val="000F008F"/>
    <w:rsid w:val="000F6268"/>
    <w:rsid w:val="0011596B"/>
    <w:rsid w:val="001172C9"/>
    <w:rsid w:val="001255A8"/>
    <w:rsid w:val="00144741"/>
    <w:rsid w:val="00190ED5"/>
    <w:rsid w:val="001960DE"/>
    <w:rsid w:val="001A012C"/>
    <w:rsid w:val="001A23C7"/>
    <w:rsid w:val="001A6C1A"/>
    <w:rsid w:val="001B67DD"/>
    <w:rsid w:val="001F0ECD"/>
    <w:rsid w:val="001F39AF"/>
    <w:rsid w:val="002117E9"/>
    <w:rsid w:val="002653FC"/>
    <w:rsid w:val="00266182"/>
    <w:rsid w:val="002728BA"/>
    <w:rsid w:val="002A0829"/>
    <w:rsid w:val="002B71A4"/>
    <w:rsid w:val="002C2D8E"/>
    <w:rsid w:val="002E4203"/>
    <w:rsid w:val="00300C1D"/>
    <w:rsid w:val="00313F21"/>
    <w:rsid w:val="003229F9"/>
    <w:rsid w:val="00373D29"/>
    <w:rsid w:val="00385457"/>
    <w:rsid w:val="00386A67"/>
    <w:rsid w:val="00386AF7"/>
    <w:rsid w:val="003C4373"/>
    <w:rsid w:val="003D1678"/>
    <w:rsid w:val="003D72A5"/>
    <w:rsid w:val="003D758D"/>
    <w:rsid w:val="004162B9"/>
    <w:rsid w:val="004263AE"/>
    <w:rsid w:val="0047123F"/>
    <w:rsid w:val="004955B3"/>
    <w:rsid w:val="004A08B7"/>
    <w:rsid w:val="004A47A5"/>
    <w:rsid w:val="004B68AC"/>
    <w:rsid w:val="004E094B"/>
    <w:rsid w:val="004E0C27"/>
    <w:rsid w:val="004E6683"/>
    <w:rsid w:val="004F4F90"/>
    <w:rsid w:val="004F5A0F"/>
    <w:rsid w:val="0052157A"/>
    <w:rsid w:val="00525483"/>
    <w:rsid w:val="00551838"/>
    <w:rsid w:val="00554349"/>
    <w:rsid w:val="005643B3"/>
    <w:rsid w:val="005665D2"/>
    <w:rsid w:val="00587F23"/>
    <w:rsid w:val="005C4F4E"/>
    <w:rsid w:val="005E76E9"/>
    <w:rsid w:val="005F038B"/>
    <w:rsid w:val="005F5AED"/>
    <w:rsid w:val="00624EA5"/>
    <w:rsid w:val="00634590"/>
    <w:rsid w:val="006377C1"/>
    <w:rsid w:val="00642350"/>
    <w:rsid w:val="0065667C"/>
    <w:rsid w:val="006722B8"/>
    <w:rsid w:val="00684D24"/>
    <w:rsid w:val="006B6399"/>
    <w:rsid w:val="006D2F09"/>
    <w:rsid w:val="006E1374"/>
    <w:rsid w:val="00715EB3"/>
    <w:rsid w:val="00717D99"/>
    <w:rsid w:val="00727077"/>
    <w:rsid w:val="00732380"/>
    <w:rsid w:val="0074794A"/>
    <w:rsid w:val="00760B1D"/>
    <w:rsid w:val="0076667C"/>
    <w:rsid w:val="00781B2F"/>
    <w:rsid w:val="00796B8A"/>
    <w:rsid w:val="007A4050"/>
    <w:rsid w:val="007A481E"/>
    <w:rsid w:val="007A605B"/>
    <w:rsid w:val="007B5373"/>
    <w:rsid w:val="007C6825"/>
    <w:rsid w:val="007D4E90"/>
    <w:rsid w:val="008150E5"/>
    <w:rsid w:val="0083718B"/>
    <w:rsid w:val="00844285"/>
    <w:rsid w:val="008502BA"/>
    <w:rsid w:val="00855BC6"/>
    <w:rsid w:val="008602C6"/>
    <w:rsid w:val="0087082E"/>
    <w:rsid w:val="00875BFD"/>
    <w:rsid w:val="008A65C4"/>
    <w:rsid w:val="008C7377"/>
    <w:rsid w:val="008E005D"/>
    <w:rsid w:val="008E5E57"/>
    <w:rsid w:val="00903458"/>
    <w:rsid w:val="009137CC"/>
    <w:rsid w:val="00926A85"/>
    <w:rsid w:val="00947A16"/>
    <w:rsid w:val="009621C3"/>
    <w:rsid w:val="00984D6C"/>
    <w:rsid w:val="00990827"/>
    <w:rsid w:val="009B3460"/>
    <w:rsid w:val="009C0EE9"/>
    <w:rsid w:val="009C19F2"/>
    <w:rsid w:val="009C39A1"/>
    <w:rsid w:val="009D6F85"/>
    <w:rsid w:val="009D73C2"/>
    <w:rsid w:val="009E17CD"/>
    <w:rsid w:val="00A00658"/>
    <w:rsid w:val="00A14B2E"/>
    <w:rsid w:val="00A2059A"/>
    <w:rsid w:val="00A414B8"/>
    <w:rsid w:val="00A46228"/>
    <w:rsid w:val="00A6633E"/>
    <w:rsid w:val="00AA1B06"/>
    <w:rsid w:val="00AA1C7E"/>
    <w:rsid w:val="00AA2A97"/>
    <w:rsid w:val="00AA72A9"/>
    <w:rsid w:val="00AB08F4"/>
    <w:rsid w:val="00AB0EE4"/>
    <w:rsid w:val="00AC0187"/>
    <w:rsid w:val="00AC3144"/>
    <w:rsid w:val="00AD558A"/>
    <w:rsid w:val="00B00B47"/>
    <w:rsid w:val="00B06297"/>
    <w:rsid w:val="00B258B3"/>
    <w:rsid w:val="00B31F3F"/>
    <w:rsid w:val="00B35773"/>
    <w:rsid w:val="00B534C2"/>
    <w:rsid w:val="00B6602F"/>
    <w:rsid w:val="00B73330"/>
    <w:rsid w:val="00B837FF"/>
    <w:rsid w:val="00B919A5"/>
    <w:rsid w:val="00BE683F"/>
    <w:rsid w:val="00BF40EF"/>
    <w:rsid w:val="00C209F9"/>
    <w:rsid w:val="00C76ED6"/>
    <w:rsid w:val="00CC3589"/>
    <w:rsid w:val="00CD6F8D"/>
    <w:rsid w:val="00D008CE"/>
    <w:rsid w:val="00D07940"/>
    <w:rsid w:val="00D37B4C"/>
    <w:rsid w:val="00D54920"/>
    <w:rsid w:val="00D63828"/>
    <w:rsid w:val="00DA1366"/>
    <w:rsid w:val="00DE644D"/>
    <w:rsid w:val="00DF047C"/>
    <w:rsid w:val="00DF0A25"/>
    <w:rsid w:val="00DF10AD"/>
    <w:rsid w:val="00DF1E46"/>
    <w:rsid w:val="00E0647C"/>
    <w:rsid w:val="00E119C5"/>
    <w:rsid w:val="00E16445"/>
    <w:rsid w:val="00E17CDD"/>
    <w:rsid w:val="00E300F4"/>
    <w:rsid w:val="00E30F02"/>
    <w:rsid w:val="00E47434"/>
    <w:rsid w:val="00E631B0"/>
    <w:rsid w:val="00E70824"/>
    <w:rsid w:val="00E7173D"/>
    <w:rsid w:val="00EA2284"/>
    <w:rsid w:val="00EA39B6"/>
    <w:rsid w:val="00EA3EE7"/>
    <w:rsid w:val="00EB01A4"/>
    <w:rsid w:val="00EB3EB5"/>
    <w:rsid w:val="00EB478E"/>
    <w:rsid w:val="00EB4F4B"/>
    <w:rsid w:val="00EC3E8B"/>
    <w:rsid w:val="00ED4FCC"/>
    <w:rsid w:val="00EE2EF4"/>
    <w:rsid w:val="00F07EA2"/>
    <w:rsid w:val="00F10508"/>
    <w:rsid w:val="00F216DC"/>
    <w:rsid w:val="00F318F4"/>
    <w:rsid w:val="00F67EFD"/>
    <w:rsid w:val="00F8598F"/>
    <w:rsid w:val="00F93DF8"/>
    <w:rsid w:val="00F941FA"/>
    <w:rsid w:val="00FA4452"/>
    <w:rsid w:val="00FA72E3"/>
    <w:rsid w:val="00FA78DE"/>
    <w:rsid w:val="00FB33CC"/>
    <w:rsid w:val="00FC1F73"/>
    <w:rsid w:val="00FC2C6C"/>
    <w:rsid w:val="00FD7029"/>
    <w:rsid w:val="00FE23CE"/>
    <w:rsid w:val="00FF177E"/>
    <w:rsid w:val="010131A7"/>
    <w:rsid w:val="010B22B0"/>
    <w:rsid w:val="01207B0A"/>
    <w:rsid w:val="01453A14"/>
    <w:rsid w:val="01522069"/>
    <w:rsid w:val="01782C45"/>
    <w:rsid w:val="018D0F17"/>
    <w:rsid w:val="021138F7"/>
    <w:rsid w:val="023A4BFB"/>
    <w:rsid w:val="02532161"/>
    <w:rsid w:val="027F4D04"/>
    <w:rsid w:val="02825F48"/>
    <w:rsid w:val="02C72207"/>
    <w:rsid w:val="02CF7A3A"/>
    <w:rsid w:val="02E334E5"/>
    <w:rsid w:val="02F474A0"/>
    <w:rsid w:val="02F96864"/>
    <w:rsid w:val="03092820"/>
    <w:rsid w:val="03127926"/>
    <w:rsid w:val="03393105"/>
    <w:rsid w:val="037E30D1"/>
    <w:rsid w:val="03A70F25"/>
    <w:rsid w:val="03AC20C9"/>
    <w:rsid w:val="03FF434E"/>
    <w:rsid w:val="042E69E2"/>
    <w:rsid w:val="04975000"/>
    <w:rsid w:val="04EA6DAD"/>
    <w:rsid w:val="05047743"/>
    <w:rsid w:val="055A55B4"/>
    <w:rsid w:val="056E4905"/>
    <w:rsid w:val="057332A8"/>
    <w:rsid w:val="05AE345A"/>
    <w:rsid w:val="064A5629"/>
    <w:rsid w:val="06565D7C"/>
    <w:rsid w:val="06A40784"/>
    <w:rsid w:val="06B238FA"/>
    <w:rsid w:val="06E15F8D"/>
    <w:rsid w:val="070752C8"/>
    <w:rsid w:val="07846919"/>
    <w:rsid w:val="07862691"/>
    <w:rsid w:val="078A03D3"/>
    <w:rsid w:val="079C56BF"/>
    <w:rsid w:val="07DD49A7"/>
    <w:rsid w:val="07ED2710"/>
    <w:rsid w:val="07EE6482"/>
    <w:rsid w:val="07F67816"/>
    <w:rsid w:val="081303C8"/>
    <w:rsid w:val="085A5FF7"/>
    <w:rsid w:val="09420839"/>
    <w:rsid w:val="09616F12"/>
    <w:rsid w:val="09CC2259"/>
    <w:rsid w:val="09DE12E6"/>
    <w:rsid w:val="09EA6F07"/>
    <w:rsid w:val="0A9652E1"/>
    <w:rsid w:val="0AB94B2B"/>
    <w:rsid w:val="0AD11E75"/>
    <w:rsid w:val="0AE0030A"/>
    <w:rsid w:val="0AFB5144"/>
    <w:rsid w:val="0B116715"/>
    <w:rsid w:val="0B7F3FC7"/>
    <w:rsid w:val="0BD51E39"/>
    <w:rsid w:val="0BF91683"/>
    <w:rsid w:val="0C3B1C9C"/>
    <w:rsid w:val="0C434FF4"/>
    <w:rsid w:val="0D1F5B01"/>
    <w:rsid w:val="0D8C6527"/>
    <w:rsid w:val="0D9E3B2D"/>
    <w:rsid w:val="0E4C540B"/>
    <w:rsid w:val="0EC248F6"/>
    <w:rsid w:val="0F052A35"/>
    <w:rsid w:val="0F234C69"/>
    <w:rsid w:val="0F307AB2"/>
    <w:rsid w:val="0F6E2388"/>
    <w:rsid w:val="0FD50659"/>
    <w:rsid w:val="0FEF4DD2"/>
    <w:rsid w:val="102B7629"/>
    <w:rsid w:val="106877E7"/>
    <w:rsid w:val="106F1535"/>
    <w:rsid w:val="10A87B1C"/>
    <w:rsid w:val="10BB784F"/>
    <w:rsid w:val="1109680C"/>
    <w:rsid w:val="116544B1"/>
    <w:rsid w:val="11691059"/>
    <w:rsid w:val="119F2CCD"/>
    <w:rsid w:val="11A007F3"/>
    <w:rsid w:val="11DF131B"/>
    <w:rsid w:val="11E701D0"/>
    <w:rsid w:val="121A2353"/>
    <w:rsid w:val="12280F14"/>
    <w:rsid w:val="12445768"/>
    <w:rsid w:val="12802AFE"/>
    <w:rsid w:val="129E11D6"/>
    <w:rsid w:val="130C25E4"/>
    <w:rsid w:val="132B5121"/>
    <w:rsid w:val="13540CE3"/>
    <w:rsid w:val="13DC1FB6"/>
    <w:rsid w:val="13EB3FA7"/>
    <w:rsid w:val="14530483"/>
    <w:rsid w:val="147F0B94"/>
    <w:rsid w:val="148461AA"/>
    <w:rsid w:val="14AE0CDA"/>
    <w:rsid w:val="14BC5BE5"/>
    <w:rsid w:val="14E82BDD"/>
    <w:rsid w:val="14E84241"/>
    <w:rsid w:val="152139F9"/>
    <w:rsid w:val="15344EF4"/>
    <w:rsid w:val="1546345F"/>
    <w:rsid w:val="154C622F"/>
    <w:rsid w:val="15770AE8"/>
    <w:rsid w:val="162D4D4B"/>
    <w:rsid w:val="168626AD"/>
    <w:rsid w:val="171639BF"/>
    <w:rsid w:val="176302F9"/>
    <w:rsid w:val="17650515"/>
    <w:rsid w:val="17C84600"/>
    <w:rsid w:val="17E21B65"/>
    <w:rsid w:val="1807337A"/>
    <w:rsid w:val="183A54FD"/>
    <w:rsid w:val="18626802"/>
    <w:rsid w:val="18E84F59"/>
    <w:rsid w:val="18FC0A05"/>
    <w:rsid w:val="194859F8"/>
    <w:rsid w:val="1957287E"/>
    <w:rsid w:val="19A846E9"/>
    <w:rsid w:val="19B65058"/>
    <w:rsid w:val="19E75211"/>
    <w:rsid w:val="1A5A3C35"/>
    <w:rsid w:val="1A774C9C"/>
    <w:rsid w:val="1AE73242"/>
    <w:rsid w:val="1AE87493"/>
    <w:rsid w:val="1B701236"/>
    <w:rsid w:val="1BB6167F"/>
    <w:rsid w:val="1BC7354C"/>
    <w:rsid w:val="1BF81957"/>
    <w:rsid w:val="1C3261F4"/>
    <w:rsid w:val="1C4865E5"/>
    <w:rsid w:val="1C4C57FF"/>
    <w:rsid w:val="1C69015F"/>
    <w:rsid w:val="1C8925AF"/>
    <w:rsid w:val="1C8B4B07"/>
    <w:rsid w:val="1C93342E"/>
    <w:rsid w:val="1CAC44F0"/>
    <w:rsid w:val="1CCC06EE"/>
    <w:rsid w:val="1CCD2D5C"/>
    <w:rsid w:val="1CD048C1"/>
    <w:rsid w:val="1CD37CCF"/>
    <w:rsid w:val="1D0E0D07"/>
    <w:rsid w:val="1D350989"/>
    <w:rsid w:val="1D7C0366"/>
    <w:rsid w:val="1D862F93"/>
    <w:rsid w:val="1D925B8A"/>
    <w:rsid w:val="1E0A3BC4"/>
    <w:rsid w:val="1E2A7DC2"/>
    <w:rsid w:val="1E2B7565"/>
    <w:rsid w:val="1E5135A1"/>
    <w:rsid w:val="1E537319"/>
    <w:rsid w:val="1E6828C2"/>
    <w:rsid w:val="1EA47B74"/>
    <w:rsid w:val="1EDA17E8"/>
    <w:rsid w:val="1F2D7B6A"/>
    <w:rsid w:val="1F460C2C"/>
    <w:rsid w:val="1F505606"/>
    <w:rsid w:val="1F7405B1"/>
    <w:rsid w:val="1FBE6A14"/>
    <w:rsid w:val="202E28ED"/>
    <w:rsid w:val="20390790"/>
    <w:rsid w:val="203B62B7"/>
    <w:rsid w:val="209B4FA7"/>
    <w:rsid w:val="214E201A"/>
    <w:rsid w:val="215D5D90"/>
    <w:rsid w:val="21785657"/>
    <w:rsid w:val="219D08AB"/>
    <w:rsid w:val="21C916A0"/>
    <w:rsid w:val="220152DE"/>
    <w:rsid w:val="225856E4"/>
    <w:rsid w:val="23272B22"/>
    <w:rsid w:val="232C638A"/>
    <w:rsid w:val="236723EA"/>
    <w:rsid w:val="23B02B18"/>
    <w:rsid w:val="24343749"/>
    <w:rsid w:val="2451716B"/>
    <w:rsid w:val="246868E6"/>
    <w:rsid w:val="24AA7567"/>
    <w:rsid w:val="24B44889"/>
    <w:rsid w:val="25290DD3"/>
    <w:rsid w:val="252E63EA"/>
    <w:rsid w:val="253046F8"/>
    <w:rsid w:val="25421E95"/>
    <w:rsid w:val="2551032A"/>
    <w:rsid w:val="258242A3"/>
    <w:rsid w:val="25893620"/>
    <w:rsid w:val="259358AB"/>
    <w:rsid w:val="25C44658"/>
    <w:rsid w:val="25CA6354"/>
    <w:rsid w:val="25E94F63"/>
    <w:rsid w:val="261A4BC0"/>
    <w:rsid w:val="268838D8"/>
    <w:rsid w:val="26AA7CF2"/>
    <w:rsid w:val="26B446CD"/>
    <w:rsid w:val="26D60AE7"/>
    <w:rsid w:val="26ED5E31"/>
    <w:rsid w:val="26F47310"/>
    <w:rsid w:val="26FD2518"/>
    <w:rsid w:val="27337CE7"/>
    <w:rsid w:val="27483067"/>
    <w:rsid w:val="27677991"/>
    <w:rsid w:val="277246F6"/>
    <w:rsid w:val="27767BD4"/>
    <w:rsid w:val="27B5050A"/>
    <w:rsid w:val="27BF5BC8"/>
    <w:rsid w:val="28697739"/>
    <w:rsid w:val="286F5B1F"/>
    <w:rsid w:val="28846321"/>
    <w:rsid w:val="288E0F4E"/>
    <w:rsid w:val="28A236DD"/>
    <w:rsid w:val="28DF032D"/>
    <w:rsid w:val="28FE60D3"/>
    <w:rsid w:val="29177195"/>
    <w:rsid w:val="295757E3"/>
    <w:rsid w:val="296323DA"/>
    <w:rsid w:val="29A70519"/>
    <w:rsid w:val="29A7676B"/>
    <w:rsid w:val="2A047719"/>
    <w:rsid w:val="2A1A0CEB"/>
    <w:rsid w:val="2A554419"/>
    <w:rsid w:val="2A8645D2"/>
    <w:rsid w:val="2A8D3BB3"/>
    <w:rsid w:val="2A9F5694"/>
    <w:rsid w:val="2AA131BA"/>
    <w:rsid w:val="2ADC0696"/>
    <w:rsid w:val="2AEF03C9"/>
    <w:rsid w:val="2B5B780D"/>
    <w:rsid w:val="2BB94533"/>
    <w:rsid w:val="2BEA4DF9"/>
    <w:rsid w:val="2C212804"/>
    <w:rsid w:val="2C666469"/>
    <w:rsid w:val="2C903500"/>
    <w:rsid w:val="2CF47F19"/>
    <w:rsid w:val="2CFE2B46"/>
    <w:rsid w:val="2D0F6B01"/>
    <w:rsid w:val="2D340315"/>
    <w:rsid w:val="2D71156A"/>
    <w:rsid w:val="2D811081"/>
    <w:rsid w:val="2D987795"/>
    <w:rsid w:val="2D9E7E85"/>
    <w:rsid w:val="2DBF0527"/>
    <w:rsid w:val="2E112405"/>
    <w:rsid w:val="2E206AEC"/>
    <w:rsid w:val="2E864BA1"/>
    <w:rsid w:val="2EC93486"/>
    <w:rsid w:val="2F065CE2"/>
    <w:rsid w:val="2F6E343A"/>
    <w:rsid w:val="2FA33530"/>
    <w:rsid w:val="30281C88"/>
    <w:rsid w:val="30403475"/>
    <w:rsid w:val="30470360"/>
    <w:rsid w:val="30542A7D"/>
    <w:rsid w:val="30907F59"/>
    <w:rsid w:val="30CB71E3"/>
    <w:rsid w:val="30CE0A81"/>
    <w:rsid w:val="30E16A06"/>
    <w:rsid w:val="310426F5"/>
    <w:rsid w:val="31815AF3"/>
    <w:rsid w:val="31A517E2"/>
    <w:rsid w:val="31D04385"/>
    <w:rsid w:val="3268462F"/>
    <w:rsid w:val="32803FFD"/>
    <w:rsid w:val="328F34B6"/>
    <w:rsid w:val="32B011BC"/>
    <w:rsid w:val="32E4458C"/>
    <w:rsid w:val="330D3AE3"/>
    <w:rsid w:val="332F1B24"/>
    <w:rsid w:val="334868C9"/>
    <w:rsid w:val="33955886"/>
    <w:rsid w:val="33A2238B"/>
    <w:rsid w:val="33DC1707"/>
    <w:rsid w:val="34750E92"/>
    <w:rsid w:val="348C0A37"/>
    <w:rsid w:val="34A00986"/>
    <w:rsid w:val="34CE5636"/>
    <w:rsid w:val="34E83FCE"/>
    <w:rsid w:val="35170C48"/>
    <w:rsid w:val="351A50CE"/>
    <w:rsid w:val="35306E54"/>
    <w:rsid w:val="3547648D"/>
    <w:rsid w:val="355E6877"/>
    <w:rsid w:val="356544C7"/>
    <w:rsid w:val="3586192A"/>
    <w:rsid w:val="35987B8D"/>
    <w:rsid w:val="359F0C3E"/>
    <w:rsid w:val="35A95619"/>
    <w:rsid w:val="35B46497"/>
    <w:rsid w:val="35DC154A"/>
    <w:rsid w:val="36280C33"/>
    <w:rsid w:val="36444420"/>
    <w:rsid w:val="364A6DFC"/>
    <w:rsid w:val="36763B54"/>
    <w:rsid w:val="37074CED"/>
    <w:rsid w:val="373D24BC"/>
    <w:rsid w:val="37441A9D"/>
    <w:rsid w:val="3789228D"/>
    <w:rsid w:val="379C2703"/>
    <w:rsid w:val="37B409D1"/>
    <w:rsid w:val="37E42519"/>
    <w:rsid w:val="37FD732F"/>
    <w:rsid w:val="384653A1"/>
    <w:rsid w:val="386B4E07"/>
    <w:rsid w:val="388C36FB"/>
    <w:rsid w:val="38BE762D"/>
    <w:rsid w:val="38F372D7"/>
    <w:rsid w:val="390019F4"/>
    <w:rsid w:val="390908A8"/>
    <w:rsid w:val="391D25A6"/>
    <w:rsid w:val="39704576"/>
    <w:rsid w:val="3979525D"/>
    <w:rsid w:val="3986639D"/>
    <w:rsid w:val="39A24859"/>
    <w:rsid w:val="39D91E06"/>
    <w:rsid w:val="39E96DD6"/>
    <w:rsid w:val="3A276B75"/>
    <w:rsid w:val="3A5F274A"/>
    <w:rsid w:val="3AAF3477"/>
    <w:rsid w:val="3AB160D5"/>
    <w:rsid w:val="3B81506E"/>
    <w:rsid w:val="3B954675"/>
    <w:rsid w:val="3BDD7DCA"/>
    <w:rsid w:val="3BE850ED"/>
    <w:rsid w:val="3CA935B6"/>
    <w:rsid w:val="3CC72F54"/>
    <w:rsid w:val="3CCD6091"/>
    <w:rsid w:val="3D6E2D89"/>
    <w:rsid w:val="3D753879"/>
    <w:rsid w:val="3D7D2A20"/>
    <w:rsid w:val="3D9B1CEB"/>
    <w:rsid w:val="3DAE01F1"/>
    <w:rsid w:val="3DBE08A9"/>
    <w:rsid w:val="3DFD4754"/>
    <w:rsid w:val="3E241CE0"/>
    <w:rsid w:val="3E8B1D5F"/>
    <w:rsid w:val="3E9A0C6C"/>
    <w:rsid w:val="3EF0645B"/>
    <w:rsid w:val="3F4940F4"/>
    <w:rsid w:val="3F9115F7"/>
    <w:rsid w:val="3F9B4224"/>
    <w:rsid w:val="3FB026E8"/>
    <w:rsid w:val="3FB35A12"/>
    <w:rsid w:val="3FBB48C6"/>
    <w:rsid w:val="3FD339BE"/>
    <w:rsid w:val="3FEC4A80"/>
    <w:rsid w:val="40526FD9"/>
    <w:rsid w:val="41684B4C"/>
    <w:rsid w:val="416B0395"/>
    <w:rsid w:val="419F6289"/>
    <w:rsid w:val="41A35612"/>
    <w:rsid w:val="41FD2F74"/>
    <w:rsid w:val="42010CB6"/>
    <w:rsid w:val="42EA799C"/>
    <w:rsid w:val="42F205FF"/>
    <w:rsid w:val="42FC4EA8"/>
    <w:rsid w:val="43664B49"/>
    <w:rsid w:val="43FA7557"/>
    <w:rsid w:val="441B5933"/>
    <w:rsid w:val="442E1B0B"/>
    <w:rsid w:val="45154A79"/>
    <w:rsid w:val="453018B3"/>
    <w:rsid w:val="45603F46"/>
    <w:rsid w:val="457E43CC"/>
    <w:rsid w:val="45980BF0"/>
    <w:rsid w:val="45997458"/>
    <w:rsid w:val="45C049E4"/>
    <w:rsid w:val="45D71D2E"/>
    <w:rsid w:val="46040D75"/>
    <w:rsid w:val="460F14C8"/>
    <w:rsid w:val="46731A57"/>
    <w:rsid w:val="468C0D6B"/>
    <w:rsid w:val="468C2B19"/>
    <w:rsid w:val="46963997"/>
    <w:rsid w:val="46B3312C"/>
    <w:rsid w:val="46BC1650"/>
    <w:rsid w:val="46F04E55"/>
    <w:rsid w:val="47281E8B"/>
    <w:rsid w:val="472E3BD0"/>
    <w:rsid w:val="47482EE3"/>
    <w:rsid w:val="47A367A5"/>
    <w:rsid w:val="47D91D8D"/>
    <w:rsid w:val="48055C08"/>
    <w:rsid w:val="48710218"/>
    <w:rsid w:val="49027FE8"/>
    <w:rsid w:val="49902920"/>
    <w:rsid w:val="49973CAE"/>
    <w:rsid w:val="49CA74E0"/>
    <w:rsid w:val="49CD147E"/>
    <w:rsid w:val="49E13FA6"/>
    <w:rsid w:val="49E369F5"/>
    <w:rsid w:val="49F70BF1"/>
    <w:rsid w:val="4A38723F"/>
    <w:rsid w:val="4A802994"/>
    <w:rsid w:val="4B056479"/>
    <w:rsid w:val="4B215F25"/>
    <w:rsid w:val="4B2D688D"/>
    <w:rsid w:val="4B594059"/>
    <w:rsid w:val="4B92297F"/>
    <w:rsid w:val="4B9C37FE"/>
    <w:rsid w:val="4BCA6B34"/>
    <w:rsid w:val="4C26756B"/>
    <w:rsid w:val="4C770C39"/>
    <w:rsid w:val="4C8C608C"/>
    <w:rsid w:val="4D0104F9"/>
    <w:rsid w:val="4D0F047A"/>
    <w:rsid w:val="4D461C73"/>
    <w:rsid w:val="4D714816"/>
    <w:rsid w:val="4D9D385D"/>
    <w:rsid w:val="4DB424A5"/>
    <w:rsid w:val="4DEF5E83"/>
    <w:rsid w:val="4E676345"/>
    <w:rsid w:val="4E712D20"/>
    <w:rsid w:val="4E9E4ABB"/>
    <w:rsid w:val="4ECE0172"/>
    <w:rsid w:val="4F0516BA"/>
    <w:rsid w:val="4F1277F7"/>
    <w:rsid w:val="4F3B2EF4"/>
    <w:rsid w:val="4F563CC4"/>
    <w:rsid w:val="4F977F9F"/>
    <w:rsid w:val="4FB8672C"/>
    <w:rsid w:val="4FD322A6"/>
    <w:rsid w:val="4FD33566"/>
    <w:rsid w:val="4FE45692"/>
    <w:rsid w:val="503D071F"/>
    <w:rsid w:val="504852D5"/>
    <w:rsid w:val="504B30B2"/>
    <w:rsid w:val="504F52E3"/>
    <w:rsid w:val="50690566"/>
    <w:rsid w:val="50720FD1"/>
    <w:rsid w:val="50884351"/>
    <w:rsid w:val="509E1DC6"/>
    <w:rsid w:val="50AA42C7"/>
    <w:rsid w:val="50AD025B"/>
    <w:rsid w:val="50D60D7C"/>
    <w:rsid w:val="513F5357"/>
    <w:rsid w:val="5186459D"/>
    <w:rsid w:val="518F170F"/>
    <w:rsid w:val="51C75820"/>
    <w:rsid w:val="51D57A6A"/>
    <w:rsid w:val="51D84E64"/>
    <w:rsid w:val="52391DA6"/>
    <w:rsid w:val="525C5004"/>
    <w:rsid w:val="5290573F"/>
    <w:rsid w:val="52C5188C"/>
    <w:rsid w:val="52CF6267"/>
    <w:rsid w:val="52EE43DB"/>
    <w:rsid w:val="52FD2E8D"/>
    <w:rsid w:val="530E05BC"/>
    <w:rsid w:val="535A7887"/>
    <w:rsid w:val="5373753A"/>
    <w:rsid w:val="53BC2C8F"/>
    <w:rsid w:val="53BF4C42"/>
    <w:rsid w:val="53CD66E0"/>
    <w:rsid w:val="53F57F4F"/>
    <w:rsid w:val="53FE4420"/>
    <w:rsid w:val="545A24A8"/>
    <w:rsid w:val="5486504B"/>
    <w:rsid w:val="54B971CF"/>
    <w:rsid w:val="54D2203E"/>
    <w:rsid w:val="55047725"/>
    <w:rsid w:val="55051DA8"/>
    <w:rsid w:val="550F5041"/>
    <w:rsid w:val="551D59AF"/>
    <w:rsid w:val="551F4386"/>
    <w:rsid w:val="557773FB"/>
    <w:rsid w:val="55821CB6"/>
    <w:rsid w:val="55CB16B9"/>
    <w:rsid w:val="563A60ED"/>
    <w:rsid w:val="563F54B2"/>
    <w:rsid w:val="565432B3"/>
    <w:rsid w:val="56576C9F"/>
    <w:rsid w:val="566B44F9"/>
    <w:rsid w:val="569A4DDE"/>
    <w:rsid w:val="56A54175"/>
    <w:rsid w:val="570858F2"/>
    <w:rsid w:val="57471324"/>
    <w:rsid w:val="575C2093"/>
    <w:rsid w:val="57AA2DFF"/>
    <w:rsid w:val="57AF2B0B"/>
    <w:rsid w:val="57C230D5"/>
    <w:rsid w:val="57DC0F5F"/>
    <w:rsid w:val="583B614D"/>
    <w:rsid w:val="585C67EF"/>
    <w:rsid w:val="586631C9"/>
    <w:rsid w:val="588C08D1"/>
    <w:rsid w:val="58A43CF2"/>
    <w:rsid w:val="58AB7E44"/>
    <w:rsid w:val="58B32187"/>
    <w:rsid w:val="592866D1"/>
    <w:rsid w:val="598C6238"/>
    <w:rsid w:val="59AC5554"/>
    <w:rsid w:val="59B9269D"/>
    <w:rsid w:val="59F023FC"/>
    <w:rsid w:val="59F91D02"/>
    <w:rsid w:val="5A094754"/>
    <w:rsid w:val="5A105AE3"/>
    <w:rsid w:val="5A180D4E"/>
    <w:rsid w:val="5A4E2167"/>
    <w:rsid w:val="5A7B6CD4"/>
    <w:rsid w:val="5AB67D0C"/>
    <w:rsid w:val="5AC8016B"/>
    <w:rsid w:val="5AF01470"/>
    <w:rsid w:val="5B025E57"/>
    <w:rsid w:val="5B231846"/>
    <w:rsid w:val="5B7A6F8C"/>
    <w:rsid w:val="5B7C2D04"/>
    <w:rsid w:val="5B8F3C7E"/>
    <w:rsid w:val="5BAD55B3"/>
    <w:rsid w:val="5BDB7A2A"/>
    <w:rsid w:val="5BE30FD5"/>
    <w:rsid w:val="5BE32D83"/>
    <w:rsid w:val="5BE63730"/>
    <w:rsid w:val="5C5251DF"/>
    <w:rsid w:val="5C534E4A"/>
    <w:rsid w:val="5C902F0B"/>
    <w:rsid w:val="5CE9261B"/>
    <w:rsid w:val="5D0D6309"/>
    <w:rsid w:val="5D66733F"/>
    <w:rsid w:val="5DAB78D0"/>
    <w:rsid w:val="5DBB5D65"/>
    <w:rsid w:val="5DCF1811"/>
    <w:rsid w:val="5DDE7CA6"/>
    <w:rsid w:val="5DFE04B3"/>
    <w:rsid w:val="5E09755D"/>
    <w:rsid w:val="5E203E1A"/>
    <w:rsid w:val="5E5D506F"/>
    <w:rsid w:val="5E671A49"/>
    <w:rsid w:val="5EA22A81"/>
    <w:rsid w:val="5EEA61D6"/>
    <w:rsid w:val="5F335DCF"/>
    <w:rsid w:val="5F4D50E3"/>
    <w:rsid w:val="5FC30F01"/>
    <w:rsid w:val="5FC66C44"/>
    <w:rsid w:val="5FCB425A"/>
    <w:rsid w:val="5FE536D5"/>
    <w:rsid w:val="60327E35"/>
    <w:rsid w:val="606A3A73"/>
    <w:rsid w:val="612C6F7A"/>
    <w:rsid w:val="614F3918"/>
    <w:rsid w:val="61515E49"/>
    <w:rsid w:val="616E30EF"/>
    <w:rsid w:val="61880654"/>
    <w:rsid w:val="61B6665A"/>
    <w:rsid w:val="61E635CD"/>
    <w:rsid w:val="61EB473F"/>
    <w:rsid w:val="6232470C"/>
    <w:rsid w:val="624327CD"/>
    <w:rsid w:val="62EA2C49"/>
    <w:rsid w:val="634C56B2"/>
    <w:rsid w:val="636E49DC"/>
    <w:rsid w:val="63957059"/>
    <w:rsid w:val="64177A6E"/>
    <w:rsid w:val="642018F9"/>
    <w:rsid w:val="64596B4E"/>
    <w:rsid w:val="648F5856"/>
    <w:rsid w:val="64D4770D"/>
    <w:rsid w:val="64DD4813"/>
    <w:rsid w:val="64E21E2A"/>
    <w:rsid w:val="64E75692"/>
    <w:rsid w:val="654E5711"/>
    <w:rsid w:val="65962C14"/>
    <w:rsid w:val="65B23EF2"/>
    <w:rsid w:val="65EE47FE"/>
    <w:rsid w:val="65F06D2C"/>
    <w:rsid w:val="6609788A"/>
    <w:rsid w:val="661A55F3"/>
    <w:rsid w:val="661B7F24"/>
    <w:rsid w:val="665723A3"/>
    <w:rsid w:val="666F3B91"/>
    <w:rsid w:val="66A60C9C"/>
    <w:rsid w:val="66BB2590"/>
    <w:rsid w:val="66C54162"/>
    <w:rsid w:val="66E203D8"/>
    <w:rsid w:val="671B7922"/>
    <w:rsid w:val="67577EB7"/>
    <w:rsid w:val="677F153E"/>
    <w:rsid w:val="68091DC3"/>
    <w:rsid w:val="68262975"/>
    <w:rsid w:val="689C6793"/>
    <w:rsid w:val="68BE670A"/>
    <w:rsid w:val="68BF2482"/>
    <w:rsid w:val="690946BA"/>
    <w:rsid w:val="692844CB"/>
    <w:rsid w:val="699F7D3A"/>
    <w:rsid w:val="69DD52B6"/>
    <w:rsid w:val="6A170931"/>
    <w:rsid w:val="6A617C95"/>
    <w:rsid w:val="6AA81420"/>
    <w:rsid w:val="6AB623DF"/>
    <w:rsid w:val="6ACE4BFE"/>
    <w:rsid w:val="6AD40467"/>
    <w:rsid w:val="6AE04B74"/>
    <w:rsid w:val="6AF01C56"/>
    <w:rsid w:val="6B2B3DFF"/>
    <w:rsid w:val="6B451364"/>
    <w:rsid w:val="6B4D0219"/>
    <w:rsid w:val="6B6C069F"/>
    <w:rsid w:val="6BAE0CB8"/>
    <w:rsid w:val="6BAF4A30"/>
    <w:rsid w:val="6BD61FBC"/>
    <w:rsid w:val="6C6D0B73"/>
    <w:rsid w:val="6C710B23"/>
    <w:rsid w:val="6CAB51F7"/>
    <w:rsid w:val="6CBD4F2A"/>
    <w:rsid w:val="6CBF0CA2"/>
    <w:rsid w:val="6CC462B9"/>
    <w:rsid w:val="6D38471B"/>
    <w:rsid w:val="6D4573FA"/>
    <w:rsid w:val="6DB8307B"/>
    <w:rsid w:val="6DC76061"/>
    <w:rsid w:val="6DD54C21"/>
    <w:rsid w:val="6E1E4550"/>
    <w:rsid w:val="6E1F5E9D"/>
    <w:rsid w:val="6E3336F6"/>
    <w:rsid w:val="6E557B10"/>
    <w:rsid w:val="6E5F1847"/>
    <w:rsid w:val="6EA14120"/>
    <w:rsid w:val="6F0357BE"/>
    <w:rsid w:val="6F0626E6"/>
    <w:rsid w:val="6F443096"/>
    <w:rsid w:val="6F5778B8"/>
    <w:rsid w:val="6F926B42"/>
    <w:rsid w:val="6F93401E"/>
    <w:rsid w:val="6FA83C70"/>
    <w:rsid w:val="702E23C7"/>
    <w:rsid w:val="70B2124A"/>
    <w:rsid w:val="70D21129"/>
    <w:rsid w:val="70DD5B9B"/>
    <w:rsid w:val="70E51287"/>
    <w:rsid w:val="70FD7FEB"/>
    <w:rsid w:val="71184E25"/>
    <w:rsid w:val="71685DAD"/>
    <w:rsid w:val="71C64881"/>
    <w:rsid w:val="721929A1"/>
    <w:rsid w:val="72275320"/>
    <w:rsid w:val="72A72905"/>
    <w:rsid w:val="72D37256"/>
    <w:rsid w:val="72F571CC"/>
    <w:rsid w:val="74185868"/>
    <w:rsid w:val="74406B6D"/>
    <w:rsid w:val="74BD640F"/>
    <w:rsid w:val="74BE7A92"/>
    <w:rsid w:val="74FF07D6"/>
    <w:rsid w:val="74FF4332"/>
    <w:rsid w:val="750202C6"/>
    <w:rsid w:val="75287D2D"/>
    <w:rsid w:val="75363ACC"/>
    <w:rsid w:val="75530B22"/>
    <w:rsid w:val="759E1D9D"/>
    <w:rsid w:val="75F05AFC"/>
    <w:rsid w:val="75F7317D"/>
    <w:rsid w:val="76625752"/>
    <w:rsid w:val="76D75FBA"/>
    <w:rsid w:val="76DF08BF"/>
    <w:rsid w:val="76F87D58"/>
    <w:rsid w:val="777110D9"/>
    <w:rsid w:val="777F7CC7"/>
    <w:rsid w:val="77CF26E1"/>
    <w:rsid w:val="77D53B2E"/>
    <w:rsid w:val="77ED2B68"/>
    <w:rsid w:val="78414C61"/>
    <w:rsid w:val="785B5D23"/>
    <w:rsid w:val="791553F6"/>
    <w:rsid w:val="79334EF2"/>
    <w:rsid w:val="796B468C"/>
    <w:rsid w:val="797B41A3"/>
    <w:rsid w:val="799B1910"/>
    <w:rsid w:val="79BF0534"/>
    <w:rsid w:val="7A373298"/>
    <w:rsid w:val="7A41363F"/>
    <w:rsid w:val="7A456C8B"/>
    <w:rsid w:val="7A542AC5"/>
    <w:rsid w:val="7A58671F"/>
    <w:rsid w:val="7A9C6DC1"/>
    <w:rsid w:val="7AC2652D"/>
    <w:rsid w:val="7AC31DEF"/>
    <w:rsid w:val="7AFC1B2D"/>
    <w:rsid w:val="7B160627"/>
    <w:rsid w:val="7B4E1B6F"/>
    <w:rsid w:val="7B4E58F5"/>
    <w:rsid w:val="7B5628D6"/>
    <w:rsid w:val="7BB816DF"/>
    <w:rsid w:val="7BF30969"/>
    <w:rsid w:val="7C025669"/>
    <w:rsid w:val="7C331A1A"/>
    <w:rsid w:val="7C374CF9"/>
    <w:rsid w:val="7C3C6BAC"/>
    <w:rsid w:val="7C4C02E1"/>
    <w:rsid w:val="7C7D2A53"/>
    <w:rsid w:val="7CAA7279"/>
    <w:rsid w:val="7CAD17BD"/>
    <w:rsid w:val="7CDB0441"/>
    <w:rsid w:val="7CE0713F"/>
    <w:rsid w:val="7D4D5E56"/>
    <w:rsid w:val="7D6F401F"/>
    <w:rsid w:val="7D7635FF"/>
    <w:rsid w:val="7D7D2BE0"/>
    <w:rsid w:val="7DD00F61"/>
    <w:rsid w:val="7E040C0B"/>
    <w:rsid w:val="7E0714B7"/>
    <w:rsid w:val="7E501EBB"/>
    <w:rsid w:val="7E553215"/>
    <w:rsid w:val="7EE534A5"/>
    <w:rsid w:val="7F3B240A"/>
    <w:rsid w:val="7F98785D"/>
    <w:rsid w:val="7F9B153D"/>
    <w:rsid w:val="7FA21106"/>
    <w:rsid w:val="7FFD3B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qFormat="1" w:unhideWhenUsed="0" w:uiPriority="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8"/>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link w:val="32"/>
    <w:autoRedefine/>
    <w:qFormat/>
    <w:uiPriority w:val="0"/>
    <w:pPr>
      <w:keepNext/>
      <w:keepLines/>
      <w:spacing w:before="260" w:after="260" w:line="413" w:lineRule="auto"/>
      <w:outlineLvl w:val="1"/>
    </w:pPr>
    <w:rPr>
      <w:rFonts w:ascii="Arial" w:hAnsi="Arial" w:eastAsia="黑体"/>
      <w:b/>
      <w:sz w:val="32"/>
    </w:rPr>
  </w:style>
  <w:style w:type="paragraph" w:styleId="4">
    <w:name w:val="heading 3"/>
    <w:basedOn w:val="3"/>
    <w:next w:val="1"/>
    <w:autoRedefine/>
    <w:qFormat/>
    <w:uiPriority w:val="0"/>
    <w:pPr>
      <w:keepNext/>
      <w:keepLines/>
      <w:spacing w:before="260" w:after="260" w:line="413" w:lineRule="auto"/>
      <w:outlineLvl w:val="2"/>
    </w:pPr>
    <w:rPr>
      <w:sz w:val="32"/>
    </w:rPr>
  </w:style>
  <w:style w:type="character" w:default="1" w:styleId="21">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5">
    <w:name w:val="table of authorities"/>
    <w:basedOn w:val="1"/>
    <w:next w:val="1"/>
    <w:autoRedefine/>
    <w:qFormat/>
    <w:uiPriority w:val="0"/>
    <w:pPr>
      <w:ind w:left="420" w:leftChars="200"/>
    </w:pPr>
  </w:style>
  <w:style w:type="paragraph" w:styleId="6">
    <w:name w:val="annotation text"/>
    <w:basedOn w:val="1"/>
    <w:qFormat/>
    <w:uiPriority w:val="0"/>
    <w:pPr>
      <w:jc w:val="left"/>
    </w:pPr>
  </w:style>
  <w:style w:type="paragraph" w:styleId="7">
    <w:name w:val="Body Text"/>
    <w:basedOn w:val="1"/>
    <w:next w:val="1"/>
    <w:autoRedefine/>
    <w:qFormat/>
    <w:uiPriority w:val="0"/>
    <w:rPr>
      <w:rFonts w:ascii="仿宋_GB2312" w:eastAsia="仿宋_GB2312"/>
      <w:sz w:val="32"/>
    </w:rPr>
  </w:style>
  <w:style w:type="paragraph" w:styleId="8">
    <w:name w:val="Body Text Indent"/>
    <w:basedOn w:val="1"/>
    <w:autoRedefine/>
    <w:qFormat/>
    <w:uiPriority w:val="0"/>
    <w:pPr>
      <w:spacing w:line="700" w:lineRule="exact"/>
      <w:ind w:left="960"/>
    </w:pPr>
    <w:rPr>
      <w:sz w:val="44"/>
    </w:rPr>
  </w:style>
  <w:style w:type="paragraph" w:styleId="9">
    <w:name w:val="Block Text"/>
    <w:basedOn w:val="1"/>
    <w:autoRedefine/>
    <w:qFormat/>
    <w:uiPriority w:val="0"/>
    <w:pPr>
      <w:autoSpaceDE w:val="0"/>
      <w:autoSpaceDN w:val="0"/>
      <w:adjustRightInd w:val="0"/>
      <w:spacing w:line="1270" w:lineRule="exact"/>
      <w:ind w:left="2160" w:right="-20" w:hanging="2160" w:hangingChars="300"/>
      <w:jc w:val="left"/>
    </w:pPr>
    <w:rPr>
      <w:rFonts w:eastAsia="仿宋_GB2312"/>
      <w:sz w:val="72"/>
      <w:szCs w:val="24"/>
    </w:rPr>
  </w:style>
  <w:style w:type="paragraph" w:styleId="10">
    <w:name w:val="toc 3"/>
    <w:basedOn w:val="1"/>
    <w:next w:val="1"/>
    <w:qFormat/>
    <w:uiPriority w:val="0"/>
    <w:pPr>
      <w:ind w:left="840" w:leftChars="400"/>
    </w:pPr>
  </w:style>
  <w:style w:type="paragraph" w:styleId="11">
    <w:name w:val="Date"/>
    <w:basedOn w:val="1"/>
    <w:next w:val="1"/>
    <w:autoRedefine/>
    <w:qFormat/>
    <w:uiPriority w:val="0"/>
  </w:style>
  <w:style w:type="paragraph" w:styleId="12">
    <w:name w:val="Body Text Indent 2"/>
    <w:basedOn w:val="1"/>
    <w:autoRedefine/>
    <w:qFormat/>
    <w:uiPriority w:val="0"/>
    <w:pPr>
      <w:snapToGrid w:val="0"/>
      <w:spacing w:line="560" w:lineRule="atLeast"/>
      <w:ind w:firstLine="540"/>
    </w:pPr>
  </w:style>
  <w:style w:type="paragraph" w:styleId="13">
    <w:name w:val="footer"/>
    <w:basedOn w:val="1"/>
    <w:link w:val="34"/>
    <w:autoRedefine/>
    <w:qFormat/>
    <w:uiPriority w:val="99"/>
    <w:pPr>
      <w:tabs>
        <w:tab w:val="center" w:pos="4153"/>
        <w:tab w:val="right" w:pos="8306"/>
      </w:tabs>
      <w:snapToGrid w:val="0"/>
      <w:jc w:val="left"/>
    </w:pPr>
    <w:rPr>
      <w:sz w:val="18"/>
    </w:rPr>
  </w:style>
  <w:style w:type="paragraph" w:styleId="14">
    <w:name w:val="header"/>
    <w:basedOn w:val="1"/>
    <w:autoRedefine/>
    <w:qFormat/>
    <w:uiPriority w:val="0"/>
    <w:pPr>
      <w:pBdr>
        <w:bottom w:val="none" w:color="auto" w:sz="0" w:space="1"/>
      </w:pBdr>
      <w:tabs>
        <w:tab w:val="center" w:pos="4153"/>
        <w:tab w:val="right" w:pos="8306"/>
      </w:tabs>
      <w:snapToGrid w:val="0"/>
      <w:ind w:firstLine="420"/>
      <w:jc w:val="center"/>
    </w:pPr>
    <w:rPr>
      <w:sz w:val="18"/>
    </w:rPr>
  </w:style>
  <w:style w:type="paragraph" w:styleId="15">
    <w:name w:val="toc 1"/>
    <w:basedOn w:val="1"/>
    <w:next w:val="1"/>
    <w:autoRedefine/>
    <w:qFormat/>
    <w:uiPriority w:val="39"/>
    <w:pPr>
      <w:spacing w:line="180" w:lineRule="auto"/>
      <w:jc w:val="center"/>
    </w:pPr>
    <w:rPr>
      <w:sz w:val="30"/>
    </w:rPr>
  </w:style>
  <w:style w:type="paragraph" w:styleId="16">
    <w:name w:val="List"/>
    <w:basedOn w:val="1"/>
    <w:autoRedefine/>
    <w:semiHidden/>
    <w:qFormat/>
    <w:uiPriority w:val="0"/>
    <w:pPr>
      <w:ind w:left="200" w:hanging="200" w:hangingChars="200"/>
    </w:pPr>
  </w:style>
  <w:style w:type="paragraph" w:styleId="17">
    <w:name w:val="toc 2"/>
    <w:basedOn w:val="1"/>
    <w:next w:val="1"/>
    <w:qFormat/>
    <w:uiPriority w:val="39"/>
    <w:pPr>
      <w:ind w:left="420" w:leftChars="200"/>
    </w:pPr>
  </w:style>
  <w:style w:type="paragraph" w:styleId="18">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19">
    <w:name w:val="Body Text First Indent"/>
    <w:basedOn w:val="7"/>
    <w:qFormat/>
    <w:uiPriority w:val="0"/>
    <w:pPr>
      <w:widowControl w:val="0"/>
      <w:spacing w:line="360" w:lineRule="auto"/>
      <w:ind w:firstLine="420"/>
    </w:pPr>
    <w:rPr>
      <w:sz w:val="24"/>
      <w:szCs w:val="24"/>
      <w:lang w:eastAsia="zh-CN"/>
    </w:rPr>
  </w:style>
  <w:style w:type="character" w:styleId="22">
    <w:name w:val="page number"/>
    <w:basedOn w:val="21"/>
    <w:autoRedefine/>
    <w:qFormat/>
    <w:uiPriority w:val="0"/>
  </w:style>
  <w:style w:type="character" w:styleId="23">
    <w:name w:val="Hyperlink"/>
    <w:basedOn w:val="21"/>
    <w:autoRedefine/>
    <w:qFormat/>
    <w:uiPriority w:val="99"/>
    <w:rPr>
      <w:color w:val="0000FF"/>
      <w:u w:val="single"/>
    </w:rPr>
  </w:style>
  <w:style w:type="paragraph" w:customStyle="1" w:styleId="24">
    <w:name w:val="索引 51"/>
    <w:basedOn w:val="1"/>
    <w:next w:val="1"/>
    <w:qFormat/>
    <w:uiPriority w:val="0"/>
    <w:pPr>
      <w:ind w:left="1680"/>
    </w:pPr>
  </w:style>
  <w:style w:type="paragraph" w:customStyle="1" w:styleId="25">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26">
    <w:name w:val="图例"/>
    <w:basedOn w:val="1"/>
    <w:autoRedefine/>
    <w:qFormat/>
    <w:uiPriority w:val="0"/>
    <w:pPr>
      <w:spacing w:before="120" w:after="120" w:line="360" w:lineRule="auto"/>
      <w:jc w:val="center"/>
    </w:pPr>
    <w:rPr>
      <w:rFonts w:eastAsia="仿宋_GB2312"/>
      <w:b/>
      <w:sz w:val="24"/>
    </w:rPr>
  </w:style>
  <w:style w:type="paragraph" w:customStyle="1" w:styleId="27">
    <w:name w:val="电建正文"/>
    <w:basedOn w:val="28"/>
    <w:autoRedefine/>
    <w:qFormat/>
    <w:uiPriority w:val="0"/>
    <w:pPr>
      <w:tabs>
        <w:tab w:val="left" w:pos="720"/>
      </w:tabs>
      <w:ind w:firstLine="480" w:firstLineChars="200"/>
    </w:pPr>
    <w:rPr>
      <w:rFonts w:ascii="方正仿宋_GBK" w:hAnsi="方正仿宋_GBK" w:eastAsia="方正仿宋_GBK" w:cs="方正仿宋_GBK"/>
      <w:sz w:val="24"/>
      <w:szCs w:val="28"/>
    </w:rPr>
  </w:style>
  <w:style w:type="paragraph" w:customStyle="1" w:styleId="28">
    <w:name w:val="List First"/>
    <w:basedOn w:val="16"/>
    <w:next w:val="16"/>
    <w:autoRedefine/>
    <w:qFormat/>
    <w:uiPriority w:val="0"/>
    <w:pPr>
      <w:widowControl/>
      <w:tabs>
        <w:tab w:val="left" w:pos="720"/>
      </w:tabs>
      <w:overflowPunct w:val="0"/>
      <w:autoSpaceDE w:val="0"/>
      <w:autoSpaceDN w:val="0"/>
      <w:spacing w:before="80" w:after="80"/>
      <w:ind w:left="0"/>
      <w:jc w:val="left"/>
    </w:pPr>
    <w:rPr>
      <w:kern w:val="0"/>
      <w:sz w:val="20"/>
    </w:rPr>
  </w:style>
  <w:style w:type="paragraph" w:customStyle="1" w:styleId="29">
    <w:name w:val="WPSOffice手动目录 1"/>
    <w:qFormat/>
    <w:uiPriority w:val="0"/>
    <w:rPr>
      <w:rFonts w:ascii="Times New Roman" w:hAnsi="Times New Roman" w:eastAsia="宋体" w:cs="Times New Roman"/>
      <w:lang w:val="en-US" w:eastAsia="zh-CN" w:bidi="ar-SA"/>
    </w:rPr>
  </w:style>
  <w:style w:type="paragraph" w:customStyle="1" w:styleId="30">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31">
    <w:name w:val="WPSOffice手动目录 3"/>
    <w:qFormat/>
    <w:uiPriority w:val="0"/>
    <w:pPr>
      <w:ind w:left="400" w:leftChars="400"/>
    </w:pPr>
    <w:rPr>
      <w:rFonts w:ascii="Times New Roman" w:hAnsi="Times New Roman" w:eastAsia="宋体" w:cs="Times New Roman"/>
      <w:lang w:val="en-US" w:eastAsia="zh-CN" w:bidi="ar-SA"/>
    </w:rPr>
  </w:style>
  <w:style w:type="character" w:customStyle="1" w:styleId="32">
    <w:name w:val="标题 2 字符"/>
    <w:link w:val="3"/>
    <w:qFormat/>
    <w:uiPriority w:val="0"/>
    <w:rPr>
      <w:rFonts w:ascii="Arial" w:hAnsi="Arial" w:eastAsia="黑体"/>
      <w:b/>
      <w:kern w:val="2"/>
      <w:sz w:val="32"/>
    </w:rPr>
  </w:style>
  <w:style w:type="character" w:customStyle="1" w:styleId="33">
    <w:name w:val="Unresolved Mention"/>
    <w:basedOn w:val="21"/>
    <w:semiHidden/>
    <w:unhideWhenUsed/>
    <w:qFormat/>
    <w:uiPriority w:val="99"/>
    <w:rPr>
      <w:color w:val="605E5C"/>
      <w:shd w:val="clear" w:color="auto" w:fill="E1DFDD"/>
    </w:rPr>
  </w:style>
  <w:style w:type="character" w:customStyle="1" w:styleId="34">
    <w:name w:val="页脚 字符"/>
    <w:link w:val="13"/>
    <w:qFormat/>
    <w:uiPriority w:val="99"/>
    <w:rPr>
      <w:kern w:val="2"/>
      <w:sz w:val="18"/>
    </w:rPr>
  </w:style>
  <w:style w:type="character" w:customStyle="1" w:styleId="35">
    <w:name w:val="页眉或页脚 (2)_"/>
    <w:basedOn w:val="21"/>
    <w:link w:val="36"/>
    <w:qFormat/>
    <w:uiPriority w:val="0"/>
    <w:rPr>
      <w:rFonts w:eastAsia="Times New Roman"/>
      <w:shd w:val="clear" w:color="auto" w:fill="FFFFFF"/>
      <w:lang w:val="zh-CN" w:bidi="zh-CN"/>
    </w:rPr>
  </w:style>
  <w:style w:type="paragraph" w:customStyle="1" w:styleId="36">
    <w:name w:val="页眉或页脚 (2)"/>
    <w:basedOn w:val="1"/>
    <w:link w:val="35"/>
    <w:qFormat/>
    <w:uiPriority w:val="0"/>
    <w:pPr>
      <w:shd w:val="clear" w:color="auto" w:fill="FFFFFF"/>
      <w:jc w:val="left"/>
    </w:pPr>
    <w:rPr>
      <w:rFonts w:eastAsia="Times New Roman"/>
      <w:kern w:val="0"/>
      <w:sz w:val="20"/>
      <w:lang w:val="zh-CN" w:bidi="zh-CN"/>
    </w:rPr>
  </w:style>
  <w:style w:type="character" w:customStyle="1" w:styleId="37">
    <w:name w:val="正文文本_"/>
    <w:basedOn w:val="21"/>
    <w:link w:val="38"/>
    <w:qFormat/>
    <w:uiPriority w:val="0"/>
    <w:rPr>
      <w:rFonts w:ascii="MingLiU" w:hAnsi="MingLiU" w:eastAsia="MingLiU" w:cs="MingLiU"/>
      <w:sz w:val="22"/>
      <w:szCs w:val="22"/>
      <w:shd w:val="clear" w:color="auto" w:fill="FFFFFF"/>
      <w:lang w:val="zh-CN" w:bidi="zh-CN"/>
    </w:rPr>
  </w:style>
  <w:style w:type="paragraph" w:customStyle="1" w:styleId="38">
    <w:name w:val="正文文本1"/>
    <w:basedOn w:val="1"/>
    <w:link w:val="37"/>
    <w:qFormat/>
    <w:uiPriority w:val="0"/>
    <w:pPr>
      <w:shd w:val="clear" w:color="auto" w:fill="FFFFFF"/>
      <w:spacing w:line="430" w:lineRule="auto"/>
      <w:ind w:firstLine="400"/>
      <w:jc w:val="left"/>
    </w:pPr>
    <w:rPr>
      <w:rFonts w:ascii="MingLiU" w:hAnsi="MingLiU" w:eastAsia="MingLiU" w:cs="MingLiU"/>
      <w:kern w:val="0"/>
      <w:sz w:val="22"/>
      <w:szCs w:val="22"/>
      <w:lang w:val="zh-CN" w:bidi="zh-CN"/>
    </w:rPr>
  </w:style>
  <w:style w:type="character" w:customStyle="1" w:styleId="39">
    <w:name w:val="标题 #1_"/>
    <w:basedOn w:val="21"/>
    <w:link w:val="40"/>
    <w:qFormat/>
    <w:uiPriority w:val="0"/>
    <w:rPr>
      <w:rFonts w:ascii="MingLiU" w:hAnsi="MingLiU" w:eastAsia="MingLiU" w:cs="MingLiU"/>
      <w:sz w:val="28"/>
      <w:szCs w:val="28"/>
      <w:shd w:val="clear" w:color="auto" w:fill="FFFFFF"/>
      <w:lang w:val="zh-CN" w:bidi="zh-CN"/>
    </w:rPr>
  </w:style>
  <w:style w:type="paragraph" w:customStyle="1" w:styleId="40">
    <w:name w:val="标题 #1"/>
    <w:basedOn w:val="1"/>
    <w:link w:val="39"/>
    <w:qFormat/>
    <w:uiPriority w:val="0"/>
    <w:pPr>
      <w:shd w:val="clear" w:color="auto" w:fill="FFFFFF"/>
      <w:spacing w:after="200"/>
      <w:jc w:val="center"/>
      <w:outlineLvl w:val="0"/>
    </w:pPr>
    <w:rPr>
      <w:rFonts w:ascii="MingLiU" w:hAnsi="MingLiU" w:eastAsia="MingLiU" w:cs="MingLiU"/>
      <w:kern w:val="0"/>
      <w:szCs w:val="28"/>
      <w:lang w:val="zh-CN" w:bidi="zh-CN"/>
    </w:rPr>
  </w:style>
  <w:style w:type="character" w:customStyle="1" w:styleId="41">
    <w:name w:val="正文文本 (2)_"/>
    <w:basedOn w:val="21"/>
    <w:link w:val="42"/>
    <w:qFormat/>
    <w:uiPriority w:val="0"/>
    <w:rPr>
      <w:rFonts w:ascii="Gulim" w:hAnsi="Gulim" w:eastAsia="Gulim" w:cs="Gulim"/>
      <w:shd w:val="clear" w:color="auto" w:fill="FFFFFF"/>
      <w:lang w:val="zh-CN" w:bidi="zh-CN"/>
    </w:rPr>
  </w:style>
  <w:style w:type="paragraph" w:customStyle="1" w:styleId="42">
    <w:name w:val="正文文本 (2)"/>
    <w:basedOn w:val="1"/>
    <w:link w:val="41"/>
    <w:qFormat/>
    <w:uiPriority w:val="0"/>
    <w:pPr>
      <w:shd w:val="clear" w:color="auto" w:fill="FFFFFF"/>
      <w:spacing w:after="180"/>
      <w:ind w:firstLine="220"/>
      <w:jc w:val="left"/>
    </w:pPr>
    <w:rPr>
      <w:rFonts w:ascii="Gulim" w:hAnsi="Gulim" w:eastAsia="Gulim" w:cs="Gulim"/>
      <w:kern w:val="0"/>
      <w:sz w:val="20"/>
      <w:lang w:val="zh-CN" w:bidi="zh-CN"/>
    </w:rPr>
  </w:style>
  <w:style w:type="character" w:customStyle="1" w:styleId="43">
    <w:name w:val="其他_"/>
    <w:basedOn w:val="21"/>
    <w:link w:val="44"/>
    <w:qFormat/>
    <w:uiPriority w:val="0"/>
    <w:rPr>
      <w:rFonts w:ascii="MingLiU" w:hAnsi="MingLiU" w:eastAsia="MingLiU" w:cs="MingLiU"/>
      <w:sz w:val="22"/>
      <w:szCs w:val="22"/>
      <w:shd w:val="clear" w:color="auto" w:fill="FFFFFF"/>
      <w:lang w:val="zh-CN" w:bidi="zh-CN"/>
    </w:rPr>
  </w:style>
  <w:style w:type="paragraph" w:customStyle="1" w:styleId="44">
    <w:name w:val="其他"/>
    <w:basedOn w:val="1"/>
    <w:link w:val="43"/>
    <w:qFormat/>
    <w:uiPriority w:val="0"/>
    <w:pPr>
      <w:shd w:val="clear" w:color="auto" w:fill="FFFFFF"/>
      <w:spacing w:line="430" w:lineRule="auto"/>
      <w:ind w:firstLine="400"/>
      <w:jc w:val="left"/>
    </w:pPr>
    <w:rPr>
      <w:rFonts w:ascii="MingLiU" w:hAnsi="MingLiU" w:eastAsia="MingLiU" w:cs="MingLiU"/>
      <w:kern w:val="0"/>
      <w:sz w:val="22"/>
      <w:szCs w:val="22"/>
      <w:lang w:val="zh-CN" w:bidi="zh-CN"/>
    </w:rPr>
  </w:style>
  <w:style w:type="paragraph" w:styleId="45">
    <w:name w:val="List Paragraph"/>
    <w:basedOn w:val="1"/>
    <w:qFormat/>
    <w:uiPriority w:val="99"/>
    <w:pPr>
      <w:ind w:firstLine="420" w:firstLineChars="200"/>
    </w:pPr>
  </w:style>
  <w:style w:type="paragraph" w:customStyle="1" w:styleId="46">
    <w:name w:val="DTZ normal"/>
    <w:basedOn w:val="1"/>
    <w:qFormat/>
    <w:uiPriority w:val="0"/>
    <w:pPr>
      <w:widowControl/>
      <w:spacing w:after="260" w:line="260" w:lineRule="exact"/>
      <w:jc w:val="left"/>
    </w:pPr>
    <w:rPr>
      <w:rFonts w:ascii="Arial" w:hAnsi="Arial"/>
      <w:kern w:val="0"/>
      <w:sz w:val="20"/>
      <w:lang w:val="en-GB" w:eastAsia="en-US"/>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26</Pages>
  <Words>3075</Words>
  <Characters>3290</Characters>
  <Lines>143</Lines>
  <Paragraphs>40</Paragraphs>
  <TotalTime>2</TotalTime>
  <ScaleCrop>false</ScaleCrop>
  <LinksUpToDate>false</LinksUpToDate>
  <CharactersWithSpaces>3441</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2025-01-22T07:58:00Z</dcterms:created>
  <dc:creator>Administrator</dc:creator>
  <cp:lastModifiedBy>叶飞舞</cp:lastModifiedBy>
  <cp:lastPrinted>2024-11-21T08:25:00Z</cp:lastPrinted>
  <dcterms:modified xsi:type="dcterms:W3CDTF">2025-05-28T02:43:10Z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881613C7BDB64341844D6B594E0BBFAB_13</vt:lpwstr>
  </property>
  <property fmtid="{D5CDD505-2E9C-101B-9397-08002B2CF9AE}" pid="4" name="KSOTemplateDocerSaveRecord">
    <vt:lpwstr>eyJoZGlkIjoiMTA3ZDY3YzY2ZWQ4ZGM2MWRhY2M5ODkwNGFkZWU0NTciLCJ1c2VySWQiOiIzOTY5MDA3OTEifQ==</vt:lpwstr>
  </property>
</Properties>
</file>