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963F5">
      <w:pPr>
        <w:spacing w:line="600" w:lineRule="exact"/>
        <w:jc w:val="both"/>
        <w:rPr>
          <w:rFonts w:hint="eastAsia" w:ascii="华文中宋" w:hAnsi="华文中宋" w:eastAsia="华文中宋"/>
          <w:b/>
          <w:sz w:val="44"/>
          <w:szCs w:val="44"/>
        </w:rPr>
      </w:pPr>
    </w:p>
    <w:p w14:paraId="4013206A">
      <w:pPr>
        <w:adjustRightInd w:val="0"/>
        <w:snapToGrid w:val="0"/>
        <w:spacing w:line="560" w:lineRule="exact"/>
        <w:jc w:val="center"/>
        <w:rPr>
          <w:rFonts w:eastAsia="方正小标宋_GBK"/>
          <w:sz w:val="44"/>
          <w:szCs w:val="44"/>
        </w:rPr>
      </w:pPr>
      <w:r>
        <w:rPr>
          <w:rFonts w:eastAsia="方正小标宋_GBK"/>
          <w:sz w:val="44"/>
          <w:szCs w:val="44"/>
        </w:rPr>
        <w:t>重庆市巴南区教育委员会</w:t>
      </w:r>
    </w:p>
    <w:p w14:paraId="52B2C80A">
      <w:pPr>
        <w:adjustRightInd w:val="0"/>
        <w:snapToGrid w:val="0"/>
        <w:spacing w:line="560" w:lineRule="exact"/>
        <w:jc w:val="center"/>
        <w:rPr>
          <w:rFonts w:hint="eastAsia" w:eastAsia="方正小标宋_GBK"/>
          <w:sz w:val="44"/>
          <w:szCs w:val="44"/>
          <w:lang w:val="en-US" w:eastAsia="zh-CN"/>
        </w:rPr>
      </w:pPr>
      <w:r>
        <w:rPr>
          <w:rFonts w:eastAsia="方正小标宋_GBK"/>
          <w:sz w:val="44"/>
          <w:szCs w:val="44"/>
        </w:rPr>
        <w:t>关于</w:t>
      </w:r>
      <w:r>
        <w:rPr>
          <w:rFonts w:hint="eastAsia" w:eastAsia="方正小标宋_GBK"/>
          <w:sz w:val="44"/>
          <w:szCs w:val="44"/>
          <w:lang w:eastAsia="zh-CN"/>
        </w:rPr>
        <w:t>采购重庆市巴南区教育事业发展“十五五”规划的服务需求方案</w:t>
      </w:r>
    </w:p>
    <w:p w14:paraId="3CADA2CD">
      <w:pPr>
        <w:adjustRightInd w:val="0"/>
        <w:snapToGrid w:val="0"/>
        <w:spacing w:line="560" w:lineRule="exact"/>
        <w:jc w:val="center"/>
        <w:rPr>
          <w:rFonts w:eastAsia="方正小标宋_GBK"/>
          <w:sz w:val="44"/>
          <w:szCs w:val="44"/>
        </w:rPr>
      </w:pPr>
    </w:p>
    <w:p w14:paraId="5BEA4DE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left"/>
        <w:textAlignment w:val="auto"/>
        <w:outlineLvl w:val="0"/>
        <w:rPr>
          <w:rFonts w:hint="eastAsia" w:ascii="方正黑体_GBK" w:hAnsi="方正黑体_GBK" w:eastAsia="方正黑体_GBK" w:cs="方正黑体_GBK"/>
          <w:b w:val="0"/>
          <w:bCs w:val="0"/>
          <w:caps w:val="0"/>
          <w:color w:val="auto"/>
          <w:spacing w:val="0"/>
          <w:sz w:val="32"/>
          <w:szCs w:val="32"/>
          <w:highlight w:val="none"/>
          <w:shd w:val="clear" w:color="auto" w:fill="auto"/>
          <w:lang w:val="en-US" w:eastAsia="zh-CN"/>
        </w:rPr>
      </w:pPr>
      <w:bookmarkStart w:id="0" w:name="_Toc22195"/>
      <w:r>
        <w:rPr>
          <w:rFonts w:hint="eastAsia" w:ascii="方正黑体_GBK" w:hAnsi="方正黑体_GBK" w:eastAsia="方正黑体_GBK" w:cs="方正黑体_GBK"/>
          <w:b w:val="0"/>
          <w:bCs w:val="0"/>
          <w:caps w:val="0"/>
          <w:color w:val="auto"/>
          <w:spacing w:val="0"/>
          <w:sz w:val="32"/>
          <w:szCs w:val="32"/>
          <w:highlight w:val="none"/>
          <w:shd w:val="clear" w:color="auto" w:fill="auto"/>
          <w:lang w:val="en-US" w:eastAsia="zh-CN"/>
        </w:rPr>
        <w:t>一、项目基本概况</w:t>
      </w:r>
      <w:bookmarkEnd w:id="0"/>
    </w:p>
    <w:tbl>
      <w:tblPr>
        <w:tblStyle w:val="8"/>
        <w:tblW w:w="9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6416"/>
        <w:gridCol w:w="1284"/>
        <w:gridCol w:w="864"/>
      </w:tblGrid>
      <w:tr w14:paraId="4BAF8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9" w:type="dxa"/>
            <w:noWrap w:val="0"/>
            <w:vAlign w:val="center"/>
          </w:tcPr>
          <w:p w14:paraId="2C71DB73">
            <w:pPr>
              <w:jc w:val="center"/>
              <w:rPr>
                <w:rFonts w:hint="default" w:ascii="Times New Roman" w:hAnsi="Times New Roman" w:eastAsia="仿宋_GB2312" w:cs="Times New Roman"/>
                <w:b/>
                <w:caps w:val="0"/>
                <w:color w:val="auto"/>
                <w:spacing w:val="0"/>
                <w:sz w:val="32"/>
                <w:szCs w:val="32"/>
                <w:highlight w:val="none"/>
              </w:rPr>
            </w:pPr>
            <w:r>
              <w:rPr>
                <w:rFonts w:hint="default" w:ascii="Times New Roman" w:hAnsi="Times New Roman" w:eastAsia="仿宋_GB2312" w:cs="Times New Roman"/>
                <w:b/>
                <w:caps w:val="0"/>
                <w:color w:val="auto"/>
                <w:spacing w:val="0"/>
                <w:sz w:val="32"/>
                <w:szCs w:val="32"/>
                <w:highlight w:val="none"/>
              </w:rPr>
              <w:t>序号</w:t>
            </w:r>
          </w:p>
        </w:tc>
        <w:tc>
          <w:tcPr>
            <w:tcW w:w="6416" w:type="dxa"/>
            <w:noWrap w:val="0"/>
            <w:vAlign w:val="center"/>
          </w:tcPr>
          <w:p w14:paraId="5755F717">
            <w:pPr>
              <w:jc w:val="center"/>
              <w:rPr>
                <w:rFonts w:hint="default" w:ascii="Times New Roman" w:hAnsi="Times New Roman" w:eastAsia="仿宋_GB2312" w:cs="Times New Roman"/>
                <w:b/>
                <w:caps w:val="0"/>
                <w:color w:val="auto"/>
                <w:spacing w:val="0"/>
                <w:sz w:val="32"/>
                <w:szCs w:val="32"/>
                <w:highlight w:val="none"/>
              </w:rPr>
            </w:pPr>
            <w:r>
              <w:rPr>
                <w:rFonts w:hint="default" w:ascii="Times New Roman" w:hAnsi="Times New Roman" w:eastAsia="仿宋_GB2312" w:cs="Times New Roman"/>
                <w:b/>
                <w:caps w:val="0"/>
                <w:color w:val="auto"/>
                <w:spacing w:val="0"/>
                <w:sz w:val="32"/>
                <w:szCs w:val="32"/>
                <w:highlight w:val="none"/>
              </w:rPr>
              <w:t>服务名称</w:t>
            </w:r>
          </w:p>
        </w:tc>
        <w:tc>
          <w:tcPr>
            <w:tcW w:w="1284" w:type="dxa"/>
            <w:noWrap w:val="0"/>
            <w:vAlign w:val="center"/>
          </w:tcPr>
          <w:p w14:paraId="258736D8">
            <w:pPr>
              <w:jc w:val="center"/>
              <w:rPr>
                <w:rFonts w:hint="default" w:ascii="Times New Roman" w:hAnsi="Times New Roman" w:eastAsia="仿宋_GB2312" w:cs="Times New Roman"/>
                <w:b/>
                <w:caps w:val="0"/>
                <w:color w:val="auto"/>
                <w:spacing w:val="0"/>
                <w:sz w:val="32"/>
                <w:szCs w:val="32"/>
                <w:highlight w:val="none"/>
              </w:rPr>
            </w:pPr>
            <w:r>
              <w:rPr>
                <w:rFonts w:hint="default" w:ascii="Times New Roman" w:hAnsi="Times New Roman" w:eastAsia="仿宋_GB2312" w:cs="Times New Roman"/>
                <w:b/>
                <w:caps w:val="0"/>
                <w:color w:val="auto"/>
                <w:spacing w:val="0"/>
                <w:sz w:val="32"/>
                <w:szCs w:val="32"/>
                <w:highlight w:val="none"/>
              </w:rPr>
              <w:t>数量/单位</w:t>
            </w:r>
          </w:p>
        </w:tc>
        <w:tc>
          <w:tcPr>
            <w:tcW w:w="864" w:type="dxa"/>
            <w:noWrap w:val="0"/>
            <w:vAlign w:val="center"/>
          </w:tcPr>
          <w:p w14:paraId="3D56D841">
            <w:pPr>
              <w:jc w:val="center"/>
              <w:rPr>
                <w:rFonts w:hint="default" w:ascii="Times New Roman" w:hAnsi="Times New Roman" w:eastAsia="仿宋_GB2312" w:cs="Times New Roman"/>
                <w:b/>
                <w:caps w:val="0"/>
                <w:color w:val="auto"/>
                <w:spacing w:val="0"/>
                <w:sz w:val="32"/>
                <w:szCs w:val="32"/>
                <w:highlight w:val="none"/>
              </w:rPr>
            </w:pPr>
            <w:r>
              <w:rPr>
                <w:rFonts w:hint="default" w:ascii="Times New Roman" w:hAnsi="Times New Roman" w:eastAsia="仿宋_GB2312" w:cs="Times New Roman"/>
                <w:b/>
                <w:caps w:val="0"/>
                <w:color w:val="auto"/>
                <w:spacing w:val="0"/>
                <w:sz w:val="32"/>
                <w:szCs w:val="32"/>
                <w:highlight w:val="none"/>
              </w:rPr>
              <w:t>备注</w:t>
            </w:r>
          </w:p>
        </w:tc>
      </w:tr>
      <w:tr w14:paraId="00834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9" w:type="dxa"/>
            <w:noWrap w:val="0"/>
            <w:vAlign w:val="center"/>
          </w:tcPr>
          <w:p w14:paraId="537AE080">
            <w:pPr>
              <w:pStyle w:val="3"/>
              <w:spacing w:line="240" w:lineRule="auto"/>
              <w:ind w:left="0"/>
              <w:jc w:val="center"/>
              <w:outlineLvl w:val="0"/>
              <w:rPr>
                <w:rFonts w:hint="default" w:ascii="Times New Roman" w:hAnsi="Times New Roman" w:eastAsia="仿宋_GB2312" w:cs="Times New Roman"/>
                <w:caps w:val="0"/>
                <w:color w:val="auto"/>
                <w:spacing w:val="0"/>
                <w:kern w:val="0"/>
                <w:sz w:val="32"/>
                <w:szCs w:val="32"/>
                <w:highlight w:val="none"/>
                <w:lang w:val="en-US" w:eastAsia="zh-CN" w:bidi="ar-SA"/>
              </w:rPr>
            </w:pPr>
            <w:bookmarkStart w:id="1" w:name="_Toc7297"/>
            <w:bookmarkStart w:id="2" w:name="_Toc16937"/>
            <w:r>
              <w:rPr>
                <w:rFonts w:hint="default" w:ascii="Times New Roman" w:hAnsi="Times New Roman" w:eastAsia="仿宋_GB2312" w:cs="Times New Roman"/>
                <w:caps w:val="0"/>
                <w:color w:val="auto"/>
                <w:spacing w:val="0"/>
                <w:kern w:val="0"/>
                <w:sz w:val="32"/>
                <w:szCs w:val="32"/>
                <w:highlight w:val="none"/>
                <w:lang w:val="en-US" w:eastAsia="zh-CN" w:bidi="ar-SA"/>
              </w:rPr>
              <w:t>1</w:t>
            </w:r>
            <w:bookmarkEnd w:id="1"/>
            <w:bookmarkEnd w:id="2"/>
          </w:p>
        </w:tc>
        <w:tc>
          <w:tcPr>
            <w:tcW w:w="6416" w:type="dxa"/>
            <w:noWrap w:val="0"/>
            <w:vAlign w:val="center"/>
          </w:tcPr>
          <w:p w14:paraId="257EEDC8">
            <w:pPr>
              <w:jc w:val="left"/>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编制《重庆市巴南区教育事业发展第十五个五年规划基本思路》</w:t>
            </w:r>
          </w:p>
        </w:tc>
        <w:tc>
          <w:tcPr>
            <w:tcW w:w="1284" w:type="dxa"/>
            <w:noWrap w:val="0"/>
            <w:vAlign w:val="center"/>
          </w:tcPr>
          <w:p w14:paraId="48210955">
            <w:pPr>
              <w:jc w:val="center"/>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1/项</w:t>
            </w:r>
          </w:p>
        </w:tc>
        <w:tc>
          <w:tcPr>
            <w:tcW w:w="864" w:type="dxa"/>
            <w:noWrap w:val="0"/>
            <w:vAlign w:val="center"/>
          </w:tcPr>
          <w:p w14:paraId="727D33AA">
            <w:pPr>
              <w:jc w:val="center"/>
              <w:rPr>
                <w:rFonts w:hint="default" w:ascii="Times New Roman" w:hAnsi="Times New Roman" w:eastAsia="仿宋_GB2312" w:cs="Times New Roman"/>
                <w:caps w:val="0"/>
                <w:color w:val="auto"/>
                <w:spacing w:val="0"/>
                <w:sz w:val="32"/>
                <w:szCs w:val="32"/>
                <w:highlight w:val="none"/>
              </w:rPr>
            </w:pPr>
          </w:p>
        </w:tc>
      </w:tr>
      <w:tr w14:paraId="5085E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9" w:type="dxa"/>
            <w:noWrap w:val="0"/>
            <w:vAlign w:val="center"/>
          </w:tcPr>
          <w:p w14:paraId="4390206D">
            <w:pPr>
              <w:pStyle w:val="3"/>
              <w:spacing w:line="240" w:lineRule="auto"/>
              <w:ind w:left="0"/>
              <w:jc w:val="center"/>
              <w:outlineLvl w:val="0"/>
              <w:rPr>
                <w:rFonts w:hint="default" w:ascii="Times New Roman" w:hAnsi="Times New Roman" w:eastAsia="仿宋_GB2312" w:cs="Times New Roman"/>
                <w:caps w:val="0"/>
                <w:color w:val="auto"/>
                <w:spacing w:val="0"/>
                <w:kern w:val="0"/>
                <w:sz w:val="32"/>
                <w:szCs w:val="32"/>
                <w:highlight w:val="none"/>
                <w:lang w:val="en-US" w:eastAsia="zh-CN" w:bidi="ar-SA"/>
              </w:rPr>
            </w:pPr>
            <w:bookmarkStart w:id="3" w:name="_Toc8322"/>
            <w:bookmarkStart w:id="4" w:name="_Toc26825"/>
            <w:r>
              <w:rPr>
                <w:rFonts w:hint="default" w:ascii="Times New Roman" w:hAnsi="Times New Roman" w:eastAsia="仿宋_GB2312" w:cs="Times New Roman"/>
                <w:caps w:val="0"/>
                <w:color w:val="auto"/>
                <w:spacing w:val="0"/>
                <w:kern w:val="0"/>
                <w:sz w:val="32"/>
                <w:szCs w:val="32"/>
                <w:highlight w:val="none"/>
                <w:lang w:val="en-US" w:eastAsia="zh-CN" w:bidi="ar-SA"/>
              </w:rPr>
              <w:t>2</w:t>
            </w:r>
            <w:bookmarkEnd w:id="3"/>
            <w:bookmarkEnd w:id="4"/>
          </w:p>
        </w:tc>
        <w:tc>
          <w:tcPr>
            <w:tcW w:w="6416" w:type="dxa"/>
            <w:noWrap w:val="0"/>
            <w:vAlign w:val="center"/>
          </w:tcPr>
          <w:p w14:paraId="32B076F3">
            <w:pPr>
              <w:jc w:val="left"/>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编制《重庆市巴南区教育事业发展第十五个五年规划中期评估报告》</w:t>
            </w:r>
          </w:p>
        </w:tc>
        <w:tc>
          <w:tcPr>
            <w:tcW w:w="1284" w:type="dxa"/>
            <w:noWrap w:val="0"/>
            <w:vAlign w:val="center"/>
          </w:tcPr>
          <w:p w14:paraId="13CCE861">
            <w:pPr>
              <w:jc w:val="center"/>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1/项</w:t>
            </w:r>
          </w:p>
        </w:tc>
        <w:tc>
          <w:tcPr>
            <w:tcW w:w="864" w:type="dxa"/>
            <w:noWrap w:val="0"/>
            <w:vAlign w:val="center"/>
          </w:tcPr>
          <w:p w14:paraId="6695AA3B">
            <w:pPr>
              <w:jc w:val="center"/>
              <w:rPr>
                <w:rFonts w:hint="default" w:ascii="Times New Roman" w:hAnsi="Times New Roman" w:eastAsia="仿宋_GB2312" w:cs="Times New Roman"/>
                <w:caps w:val="0"/>
                <w:color w:val="auto"/>
                <w:spacing w:val="0"/>
                <w:sz w:val="32"/>
                <w:szCs w:val="32"/>
                <w:highlight w:val="none"/>
              </w:rPr>
            </w:pPr>
          </w:p>
        </w:tc>
      </w:tr>
      <w:tr w14:paraId="1B619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9" w:type="dxa"/>
            <w:noWrap w:val="0"/>
            <w:vAlign w:val="center"/>
          </w:tcPr>
          <w:p w14:paraId="427BB177">
            <w:pPr>
              <w:pStyle w:val="3"/>
              <w:spacing w:line="240" w:lineRule="auto"/>
              <w:ind w:left="0"/>
              <w:jc w:val="center"/>
              <w:outlineLvl w:val="0"/>
              <w:rPr>
                <w:rFonts w:hint="default" w:ascii="Times New Roman" w:hAnsi="Times New Roman" w:eastAsia="仿宋_GB2312" w:cs="Times New Roman"/>
                <w:caps w:val="0"/>
                <w:color w:val="auto"/>
                <w:spacing w:val="0"/>
                <w:kern w:val="0"/>
                <w:sz w:val="32"/>
                <w:szCs w:val="32"/>
                <w:highlight w:val="none"/>
                <w:lang w:val="en-US" w:eastAsia="zh-CN" w:bidi="ar-SA"/>
              </w:rPr>
            </w:pPr>
            <w:bookmarkStart w:id="5" w:name="_Toc6163"/>
            <w:bookmarkStart w:id="6" w:name="_Toc29427"/>
            <w:r>
              <w:rPr>
                <w:rFonts w:hint="default" w:ascii="Times New Roman" w:hAnsi="Times New Roman" w:eastAsia="仿宋_GB2312" w:cs="Times New Roman"/>
                <w:caps w:val="0"/>
                <w:color w:val="auto"/>
                <w:spacing w:val="0"/>
                <w:kern w:val="0"/>
                <w:sz w:val="32"/>
                <w:szCs w:val="32"/>
                <w:highlight w:val="none"/>
                <w:lang w:val="en-US" w:eastAsia="zh-CN" w:bidi="ar-SA"/>
              </w:rPr>
              <w:t>3</w:t>
            </w:r>
            <w:bookmarkEnd w:id="5"/>
            <w:bookmarkEnd w:id="6"/>
          </w:p>
        </w:tc>
        <w:tc>
          <w:tcPr>
            <w:tcW w:w="6416" w:type="dxa"/>
            <w:noWrap w:val="0"/>
            <w:vAlign w:val="center"/>
          </w:tcPr>
          <w:p w14:paraId="08A318AB">
            <w:pPr>
              <w:jc w:val="left"/>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编制《重庆市巴南区教育事业发展第十五个五年规划总结评估报告》</w:t>
            </w:r>
          </w:p>
        </w:tc>
        <w:tc>
          <w:tcPr>
            <w:tcW w:w="1284" w:type="dxa"/>
            <w:noWrap w:val="0"/>
            <w:vAlign w:val="center"/>
          </w:tcPr>
          <w:p w14:paraId="12199A9F">
            <w:pPr>
              <w:jc w:val="center"/>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1/项</w:t>
            </w:r>
          </w:p>
        </w:tc>
        <w:tc>
          <w:tcPr>
            <w:tcW w:w="864" w:type="dxa"/>
            <w:noWrap w:val="0"/>
            <w:vAlign w:val="center"/>
          </w:tcPr>
          <w:p w14:paraId="22D62A55">
            <w:pPr>
              <w:jc w:val="center"/>
              <w:rPr>
                <w:rFonts w:hint="default" w:ascii="Times New Roman" w:hAnsi="Times New Roman" w:eastAsia="仿宋_GB2312" w:cs="Times New Roman"/>
                <w:caps w:val="0"/>
                <w:color w:val="auto"/>
                <w:spacing w:val="0"/>
                <w:sz w:val="32"/>
                <w:szCs w:val="32"/>
                <w:highlight w:val="none"/>
              </w:rPr>
            </w:pPr>
          </w:p>
        </w:tc>
      </w:tr>
    </w:tbl>
    <w:p w14:paraId="68FF327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left"/>
        <w:textAlignment w:val="auto"/>
        <w:outlineLvl w:val="0"/>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pPr>
      <w:bookmarkStart w:id="7" w:name="_Toc17957"/>
      <w:r>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t>二、服务内容</w:t>
      </w:r>
      <w:bookmarkEnd w:id="7"/>
    </w:p>
    <w:p w14:paraId="3644294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以习近平新时代中国特色社会主义思想为指导，全面贯彻党的二十大和二十届二中、三中全会精神，深入落实习近平总书记视察重庆重要讲话重要指示精神，按照《重庆加快建设教育强市推进教育现代化规划（2024—2035年）》、《重庆市巴南区加快建设新时代教育强区实施方案（2024—2035年）》等文件精神以及巴南区委、区政府有关要求，编制完成《重庆市巴南区教育事业发展第十五个五年规划基本思路》、《重庆市巴南区教育事业发展第十五个五年规划中期评估报告》、《重庆市巴南区教育事业发展第十五个五年规划总结评估报告》等三个成果</w:t>
      </w:r>
      <w:r>
        <w:rPr>
          <w:rFonts w:hint="eastAsia" w:eastAsia="仿宋_GB2312" w:cs="Times New Roman"/>
          <w:caps w:val="0"/>
          <w:color w:val="auto"/>
          <w:spacing w:val="0"/>
          <w:kern w:val="0"/>
          <w:sz w:val="32"/>
          <w:szCs w:val="32"/>
          <w:highlight w:val="none"/>
          <w:lang w:val="en-US" w:eastAsia="zh-CN" w:bidi="ar-SA"/>
        </w:rPr>
        <w:t>，</w:t>
      </w:r>
      <w:r>
        <w:rPr>
          <w:rFonts w:hint="default" w:ascii="Times New Roman" w:hAnsi="Times New Roman" w:eastAsia="仿宋_GB2312" w:cs="Times New Roman"/>
          <w:caps w:val="0"/>
          <w:color w:val="auto"/>
          <w:spacing w:val="0"/>
          <w:kern w:val="0"/>
          <w:sz w:val="32"/>
          <w:szCs w:val="32"/>
          <w:highlight w:val="none"/>
          <w:lang w:val="en-US" w:eastAsia="zh-CN" w:bidi="ar-SA"/>
        </w:rPr>
        <w:t>全面总结“十四五”时期重庆市巴南区教育事业发展的主要成效和问题，客观分析“十五五”时期重庆市巴南区教育事业发展面临的机遇和挑战，科学编制重庆市巴南区教育事业发展第十五个五年规划基本思路、中期评估报告、总结评估报告。</w:t>
      </w:r>
    </w:p>
    <w:p w14:paraId="7415E6D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left"/>
        <w:textAlignment w:val="auto"/>
        <w:outlineLvl w:val="0"/>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pPr>
      <w:bookmarkStart w:id="8" w:name="_Toc22478"/>
      <w:r>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t>三、服务要求</w:t>
      </w:r>
      <w:bookmarkEnd w:id="8"/>
    </w:p>
    <w:p w14:paraId="28F9722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（一）供应商拟投入本项目的服务人员应熟悉与本项目有关的相关政策文件要求和标准规范。</w:t>
      </w:r>
    </w:p>
    <w:p w14:paraId="78E97C8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（二）编制成果须符合国家的法律法规、规范、规定、规程、标准等要求，满足采购人对文件内容、格式的有关要求和规定。</w:t>
      </w:r>
    </w:p>
    <w:p w14:paraId="6198F82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（三）供应商按采购人要求提供相关的成果资料和电子文档。</w:t>
      </w:r>
    </w:p>
    <w:p w14:paraId="562620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left"/>
        <w:textAlignment w:val="auto"/>
        <w:outlineLvl w:val="0"/>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pPr>
      <w:bookmarkStart w:id="9" w:name="_Toc7262"/>
      <w:r>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t>四、服务标准</w:t>
      </w:r>
      <w:bookmarkEnd w:id="9"/>
    </w:p>
    <w:p w14:paraId="4D268DA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（一）规划相关成果应符合国家、地方政府相关政策文件、标准规范要求；</w:t>
      </w:r>
    </w:p>
    <w:p w14:paraId="71FEE32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（二）</w:t>
      </w:r>
      <w:r>
        <w:rPr>
          <w:rFonts w:hint="default" w:ascii="Times New Roman" w:hAnsi="Times New Roman" w:eastAsia="仿宋_GB2312" w:cs="Times New Roman"/>
          <w:caps w:val="0"/>
          <w:color w:val="auto"/>
          <w:spacing w:val="0"/>
          <w:kern w:val="0"/>
          <w:sz w:val="32"/>
          <w:szCs w:val="32"/>
          <w:highlight w:val="yellow"/>
          <w:lang w:val="en-US" w:eastAsia="zh-CN" w:bidi="ar-SA"/>
        </w:rPr>
        <w:t>2026年2月28日</w:t>
      </w:r>
      <w:r>
        <w:rPr>
          <w:rFonts w:hint="default" w:ascii="Times New Roman" w:hAnsi="Times New Roman" w:eastAsia="仿宋_GB2312" w:cs="Times New Roman"/>
          <w:caps w:val="0"/>
          <w:color w:val="auto"/>
          <w:spacing w:val="0"/>
          <w:kern w:val="0"/>
          <w:sz w:val="32"/>
          <w:szCs w:val="32"/>
          <w:highlight w:val="none"/>
          <w:lang w:val="en-US" w:eastAsia="zh-CN" w:bidi="ar-SA"/>
        </w:rPr>
        <w:t>前完成成果编制。</w:t>
      </w:r>
    </w:p>
    <w:p w14:paraId="11854B4B">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left"/>
        <w:textAlignment w:val="auto"/>
        <w:outlineLvl w:val="0"/>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pPr>
      <w:bookmarkStart w:id="10" w:name="_Toc111"/>
      <w:r>
        <w:rPr>
          <w:rFonts w:hint="default" w:ascii="Times New Roman" w:hAnsi="Times New Roman" w:eastAsia="方正黑体_GBK" w:cs="Times New Roman"/>
          <w:b w:val="0"/>
          <w:bCs w:val="0"/>
          <w:caps w:val="0"/>
          <w:color w:val="auto"/>
          <w:spacing w:val="0"/>
          <w:sz w:val="32"/>
          <w:szCs w:val="32"/>
          <w:highlight w:val="none"/>
          <w:shd w:val="clear" w:color="auto" w:fill="auto"/>
          <w:lang w:val="en-US" w:eastAsia="zh-CN"/>
        </w:rPr>
        <w:t>五、成果要求</w:t>
      </w:r>
      <w:bookmarkEnd w:id="10"/>
    </w:p>
    <w:p w14:paraId="53791A8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aps w:val="0"/>
          <w:color w:val="auto"/>
          <w:spacing w:val="0"/>
          <w:kern w:val="0"/>
          <w:sz w:val="32"/>
          <w:szCs w:val="32"/>
          <w:highlight w:val="none"/>
          <w:lang w:val="en-US" w:eastAsia="zh-CN" w:bidi="ar-SA"/>
        </w:rPr>
      </w:pPr>
      <w:r>
        <w:rPr>
          <w:rFonts w:hint="default" w:ascii="Times New Roman" w:hAnsi="Times New Roman" w:eastAsia="仿宋_GB2312" w:cs="Times New Roman"/>
          <w:caps w:val="0"/>
          <w:color w:val="auto"/>
          <w:spacing w:val="0"/>
          <w:kern w:val="0"/>
          <w:sz w:val="32"/>
          <w:szCs w:val="32"/>
          <w:highlight w:val="none"/>
          <w:lang w:val="en-US" w:eastAsia="zh-CN" w:bidi="ar-SA"/>
        </w:rPr>
        <w:t>编制形成《重庆市巴南区教育事业发展第十五个五年规划基本思路》、《重庆市巴南区教育事业发展第十五个五年规划中期评估报告》、《重庆市巴南区教育事业发展第十五个五年规划总结评估报告》，成交供应商按采购人要求提交纸质件和电子档。</w:t>
      </w:r>
    </w:p>
    <w:p w14:paraId="08741A3E">
      <w:pPr>
        <w:adjustRightInd w:val="0"/>
        <w:snapToGrid w:val="0"/>
        <w:spacing w:line="560" w:lineRule="exact"/>
        <w:ind w:firstLine="640" w:firstLineChars="200"/>
        <w:jc w:val="center"/>
        <w:rPr>
          <w:rFonts w:eastAsia="方正仿宋_GBK"/>
          <w:sz w:val="32"/>
          <w:szCs w:val="32"/>
        </w:rPr>
      </w:pPr>
    </w:p>
    <w:p w14:paraId="3A5D85BD">
      <w:pPr>
        <w:adjustRightInd w:val="0"/>
        <w:snapToGrid w:val="0"/>
        <w:spacing w:line="560" w:lineRule="exact"/>
        <w:ind w:firstLine="640" w:firstLineChars="200"/>
        <w:jc w:val="center"/>
        <w:rPr>
          <w:rFonts w:eastAsia="方正仿宋_GBK"/>
          <w:sz w:val="32"/>
          <w:szCs w:val="32"/>
        </w:rPr>
      </w:pPr>
    </w:p>
    <w:p w14:paraId="2CA521F0">
      <w:pPr>
        <w:pStyle w:val="2"/>
      </w:pPr>
    </w:p>
    <w:p w14:paraId="6E233AAB">
      <w:pPr>
        <w:adjustRightInd w:val="0"/>
        <w:snapToGrid w:val="0"/>
        <w:spacing w:line="560" w:lineRule="exact"/>
        <w:ind w:firstLine="640" w:firstLineChars="200"/>
        <w:jc w:val="center"/>
        <w:rPr>
          <w:rFonts w:eastAsia="方正仿宋_GBK"/>
          <w:sz w:val="32"/>
          <w:szCs w:val="32"/>
        </w:rPr>
      </w:pPr>
      <w:r>
        <w:rPr>
          <w:rFonts w:eastAsia="方正仿宋_GBK"/>
          <w:sz w:val="32"/>
          <w:szCs w:val="32"/>
        </w:rPr>
        <w:t xml:space="preserve">              重庆市巴南区教育委员会</w:t>
      </w:r>
    </w:p>
    <w:p w14:paraId="4CA04A1A">
      <w:pPr>
        <w:wordWrap w:val="0"/>
        <w:adjustRightInd w:val="0"/>
        <w:snapToGrid w:val="0"/>
        <w:spacing w:line="560" w:lineRule="exact"/>
        <w:ind w:firstLine="640" w:firstLineChars="200"/>
        <w:jc w:val="right"/>
        <w:rPr>
          <w:rFonts w:eastAsia="方正仿宋_GBK"/>
          <w:sz w:val="32"/>
          <w:szCs w:val="32"/>
        </w:rPr>
      </w:pPr>
      <w:r>
        <w:rPr>
          <w:rFonts w:eastAsia="方正仿宋_GBK"/>
          <w:sz w:val="32"/>
          <w:szCs w:val="32"/>
        </w:rPr>
        <w:t>2025年</w:t>
      </w:r>
      <w:r>
        <w:rPr>
          <w:rFonts w:hint="eastAsia" w:eastAsia="方正仿宋_GBK"/>
          <w:sz w:val="32"/>
          <w:szCs w:val="32"/>
          <w:lang w:val="en-US" w:eastAsia="zh-CN"/>
        </w:rPr>
        <w:t>10</w:t>
      </w:r>
      <w:r>
        <w:rPr>
          <w:rFonts w:eastAsia="方正仿宋_GBK"/>
          <w:sz w:val="32"/>
          <w:szCs w:val="32"/>
        </w:rPr>
        <w:t>月</w:t>
      </w:r>
      <w:r>
        <w:rPr>
          <w:rFonts w:hint="eastAsia" w:eastAsia="方正仿宋_GBK"/>
          <w:sz w:val="32"/>
          <w:szCs w:val="32"/>
          <w:lang w:val="en-US" w:eastAsia="zh-CN"/>
        </w:rPr>
        <w:t>20</w:t>
      </w:r>
      <w:bookmarkStart w:id="11" w:name="_GoBack"/>
      <w:bookmarkEnd w:id="11"/>
      <w:r>
        <w:rPr>
          <w:rFonts w:eastAsia="方正仿宋_GBK"/>
          <w:sz w:val="32"/>
          <w:szCs w:val="32"/>
        </w:rPr>
        <w:t>日</w:t>
      </w:r>
      <w:r>
        <w:rPr>
          <w:rFonts w:hint="eastAsia" w:eastAsia="方正仿宋_GBK"/>
          <w:sz w:val="32"/>
          <w:szCs w:val="32"/>
        </w:rPr>
        <w:t xml:space="preserve">           </w:t>
      </w:r>
    </w:p>
    <w:sectPr>
      <w:footerReference r:id="rId3" w:type="default"/>
      <w:footerReference r:id="rId4" w:type="even"/>
      <w:pgSz w:w="11906" w:h="16838"/>
      <w:pgMar w:top="1985" w:right="1446" w:bottom="1644" w:left="1446" w:header="851" w:footer="1247" w:gutter="0"/>
      <w:pgNumType w:fmt="numberInDash"/>
      <w:cols w:space="720" w:num="1"/>
      <w:titlePg/>
      <w:docGrid w:linePitch="600" w:charSpace="229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6E5B8">
    <w:pPr>
      <w:pStyle w:val="6"/>
      <w:framePr w:wrap="around" w:vAnchor="text" w:hAnchor="margin" w:xAlign="outside" w:y="1"/>
      <w:rPr>
        <w:rStyle w:val="12"/>
        <w:rFonts w:ascii="宋体" w:hAns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- 3 -</w:t>
    </w:r>
    <w:r>
      <w:rPr>
        <w:rStyle w:val="12"/>
        <w:rFonts w:ascii="宋体" w:hAnsi="宋体"/>
        <w:sz w:val="28"/>
        <w:szCs w:val="28"/>
      </w:rPr>
      <w:fldChar w:fldCharType="end"/>
    </w:r>
  </w:p>
  <w:p w14:paraId="558801E3">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D6D82">
    <w:pPr>
      <w:pStyle w:val="6"/>
      <w:framePr w:wrap="around" w:vAnchor="text" w:hAnchor="margin" w:xAlign="outside" w:y="1"/>
      <w:rPr>
        <w:rStyle w:val="12"/>
        <w:rFonts w:ascii="宋体" w:hAns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- 2 -</w:t>
    </w:r>
    <w:r>
      <w:rPr>
        <w:rStyle w:val="12"/>
        <w:rFonts w:ascii="宋体" w:hAnsi="宋体"/>
        <w:sz w:val="28"/>
        <w:szCs w:val="28"/>
      </w:rPr>
      <w:fldChar w:fldCharType="end"/>
    </w:r>
  </w:p>
  <w:p w14:paraId="6A4EFE90">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hyphenationZone w:val="360"/>
  <w:evenAndOddHeaders w:val="1"/>
  <w:drawingGridHorizontalSpacing w:val="161"/>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24F"/>
    <w:rsid w:val="000228ED"/>
    <w:rsid w:val="00044798"/>
    <w:rsid w:val="00047382"/>
    <w:rsid w:val="00081A03"/>
    <w:rsid w:val="0008440D"/>
    <w:rsid w:val="000A0CC6"/>
    <w:rsid w:val="000A677E"/>
    <w:rsid w:val="000F3322"/>
    <w:rsid w:val="000F76EA"/>
    <w:rsid w:val="001021F3"/>
    <w:rsid w:val="00116824"/>
    <w:rsid w:val="0012235F"/>
    <w:rsid w:val="00185944"/>
    <w:rsid w:val="001A3539"/>
    <w:rsid w:val="001B06E2"/>
    <w:rsid w:val="001B2035"/>
    <w:rsid w:val="001B30FD"/>
    <w:rsid w:val="001B778F"/>
    <w:rsid w:val="001E195D"/>
    <w:rsid w:val="001F1F58"/>
    <w:rsid w:val="00200ECA"/>
    <w:rsid w:val="002024E5"/>
    <w:rsid w:val="002216B4"/>
    <w:rsid w:val="002354A9"/>
    <w:rsid w:val="00267E76"/>
    <w:rsid w:val="0029374E"/>
    <w:rsid w:val="002A3FF6"/>
    <w:rsid w:val="002A52F4"/>
    <w:rsid w:val="002B2679"/>
    <w:rsid w:val="002C397E"/>
    <w:rsid w:val="002D6B9D"/>
    <w:rsid w:val="002E0827"/>
    <w:rsid w:val="00300586"/>
    <w:rsid w:val="00383825"/>
    <w:rsid w:val="00386A2E"/>
    <w:rsid w:val="003B0F44"/>
    <w:rsid w:val="003B21DD"/>
    <w:rsid w:val="003B4ECF"/>
    <w:rsid w:val="003C4FAF"/>
    <w:rsid w:val="003C624F"/>
    <w:rsid w:val="003C7F90"/>
    <w:rsid w:val="003D64B4"/>
    <w:rsid w:val="003E657F"/>
    <w:rsid w:val="00443CB4"/>
    <w:rsid w:val="004641C8"/>
    <w:rsid w:val="00494015"/>
    <w:rsid w:val="004A21AE"/>
    <w:rsid w:val="004E25DC"/>
    <w:rsid w:val="005012AC"/>
    <w:rsid w:val="00502996"/>
    <w:rsid w:val="00512774"/>
    <w:rsid w:val="00513CD7"/>
    <w:rsid w:val="005259F2"/>
    <w:rsid w:val="00526388"/>
    <w:rsid w:val="00586569"/>
    <w:rsid w:val="005954A6"/>
    <w:rsid w:val="005C2E38"/>
    <w:rsid w:val="005C6190"/>
    <w:rsid w:val="005D7B43"/>
    <w:rsid w:val="005E0692"/>
    <w:rsid w:val="0060720D"/>
    <w:rsid w:val="00615EBC"/>
    <w:rsid w:val="00666A52"/>
    <w:rsid w:val="00672B2D"/>
    <w:rsid w:val="00675C90"/>
    <w:rsid w:val="006770DF"/>
    <w:rsid w:val="006A7E37"/>
    <w:rsid w:val="006B50EC"/>
    <w:rsid w:val="006B5E5A"/>
    <w:rsid w:val="006C2384"/>
    <w:rsid w:val="006D60A2"/>
    <w:rsid w:val="006D7F9C"/>
    <w:rsid w:val="006F4917"/>
    <w:rsid w:val="0070341A"/>
    <w:rsid w:val="0072436B"/>
    <w:rsid w:val="0074016B"/>
    <w:rsid w:val="00744F1C"/>
    <w:rsid w:val="007A0842"/>
    <w:rsid w:val="007A7D87"/>
    <w:rsid w:val="007C56F6"/>
    <w:rsid w:val="007E7267"/>
    <w:rsid w:val="008046AE"/>
    <w:rsid w:val="0083267E"/>
    <w:rsid w:val="00833A76"/>
    <w:rsid w:val="008348D9"/>
    <w:rsid w:val="0084087A"/>
    <w:rsid w:val="00841B94"/>
    <w:rsid w:val="008541D7"/>
    <w:rsid w:val="0088466D"/>
    <w:rsid w:val="0089135E"/>
    <w:rsid w:val="008945F7"/>
    <w:rsid w:val="008B1CE6"/>
    <w:rsid w:val="008B266C"/>
    <w:rsid w:val="008C7F9E"/>
    <w:rsid w:val="008D2CDC"/>
    <w:rsid w:val="008E4858"/>
    <w:rsid w:val="009068DF"/>
    <w:rsid w:val="00925191"/>
    <w:rsid w:val="00952A0C"/>
    <w:rsid w:val="00954127"/>
    <w:rsid w:val="00974D83"/>
    <w:rsid w:val="00991093"/>
    <w:rsid w:val="009A0FEC"/>
    <w:rsid w:val="009C6161"/>
    <w:rsid w:val="009D0D16"/>
    <w:rsid w:val="00A03489"/>
    <w:rsid w:val="00A430E7"/>
    <w:rsid w:val="00A50ED8"/>
    <w:rsid w:val="00A72787"/>
    <w:rsid w:val="00AA09B6"/>
    <w:rsid w:val="00AB4AEF"/>
    <w:rsid w:val="00AC1DA3"/>
    <w:rsid w:val="00AC26FD"/>
    <w:rsid w:val="00AE09C2"/>
    <w:rsid w:val="00AE227D"/>
    <w:rsid w:val="00AF1ADF"/>
    <w:rsid w:val="00AF6803"/>
    <w:rsid w:val="00B03F4B"/>
    <w:rsid w:val="00B25A4D"/>
    <w:rsid w:val="00B42E2D"/>
    <w:rsid w:val="00B73A19"/>
    <w:rsid w:val="00B83CB3"/>
    <w:rsid w:val="00B8588B"/>
    <w:rsid w:val="00B949E3"/>
    <w:rsid w:val="00BE2FB2"/>
    <w:rsid w:val="00BF1695"/>
    <w:rsid w:val="00C066C5"/>
    <w:rsid w:val="00C34346"/>
    <w:rsid w:val="00C47630"/>
    <w:rsid w:val="00CC1959"/>
    <w:rsid w:val="00D10242"/>
    <w:rsid w:val="00D22DF9"/>
    <w:rsid w:val="00D42580"/>
    <w:rsid w:val="00D426FA"/>
    <w:rsid w:val="00D530BA"/>
    <w:rsid w:val="00D84AFE"/>
    <w:rsid w:val="00D927DC"/>
    <w:rsid w:val="00D9444B"/>
    <w:rsid w:val="00D96EE9"/>
    <w:rsid w:val="00DB08E7"/>
    <w:rsid w:val="00DE3AAB"/>
    <w:rsid w:val="00E269B9"/>
    <w:rsid w:val="00E32903"/>
    <w:rsid w:val="00E32C57"/>
    <w:rsid w:val="00E67470"/>
    <w:rsid w:val="00E718E8"/>
    <w:rsid w:val="00EB0B35"/>
    <w:rsid w:val="00F17CDA"/>
    <w:rsid w:val="00F40861"/>
    <w:rsid w:val="00F4697A"/>
    <w:rsid w:val="00FA3686"/>
    <w:rsid w:val="00FB164B"/>
    <w:rsid w:val="00FC4BED"/>
    <w:rsid w:val="00FC5FFA"/>
    <w:rsid w:val="02E31F8A"/>
    <w:rsid w:val="03E75AD9"/>
    <w:rsid w:val="04EF700E"/>
    <w:rsid w:val="0805246C"/>
    <w:rsid w:val="0A26126C"/>
    <w:rsid w:val="133D2CCB"/>
    <w:rsid w:val="19D70ED1"/>
    <w:rsid w:val="1AC1246A"/>
    <w:rsid w:val="1D9D0049"/>
    <w:rsid w:val="2029147E"/>
    <w:rsid w:val="22843C44"/>
    <w:rsid w:val="230D6E02"/>
    <w:rsid w:val="239C665D"/>
    <w:rsid w:val="25686D78"/>
    <w:rsid w:val="28DC6D73"/>
    <w:rsid w:val="2EA25753"/>
    <w:rsid w:val="33103478"/>
    <w:rsid w:val="33202F5B"/>
    <w:rsid w:val="35B815DC"/>
    <w:rsid w:val="3A8402BF"/>
    <w:rsid w:val="3F997C5B"/>
    <w:rsid w:val="438C3AC2"/>
    <w:rsid w:val="45153819"/>
    <w:rsid w:val="4C87394F"/>
    <w:rsid w:val="4FCB0CDB"/>
    <w:rsid w:val="5DF8505B"/>
    <w:rsid w:val="5F9940F0"/>
    <w:rsid w:val="5FA773DB"/>
    <w:rsid w:val="65B15D09"/>
    <w:rsid w:val="6C4D0DAD"/>
    <w:rsid w:val="72BE21D5"/>
    <w:rsid w:val="73383F50"/>
    <w:rsid w:val="749C44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0" w:name="header"/>
    <w:lsdException w:unhideWhenUsed="0" w:uiPriority="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toc 1"/>
    <w:basedOn w:val="1"/>
    <w:next w:val="1"/>
    <w:qFormat/>
    <w:locked/>
    <w:uiPriority w:val="39"/>
    <w:pPr>
      <w:jc w:val="left"/>
    </w:pPr>
    <w:rPr>
      <w:b/>
      <w:bCs/>
      <w:caps/>
      <w:sz w:val="20"/>
    </w:rPr>
  </w:style>
  <w:style w:type="paragraph" w:styleId="3">
    <w:name w:val="Body Text Indent"/>
    <w:basedOn w:val="1"/>
    <w:qFormat/>
    <w:uiPriority w:val="0"/>
    <w:pPr>
      <w:spacing w:line="700" w:lineRule="exact"/>
      <w:ind w:left="960"/>
    </w:pPr>
    <w:rPr>
      <w:rFonts w:ascii="Calibri" w:hAnsi="Calibri"/>
      <w:sz w:val="44"/>
    </w:rPr>
  </w:style>
  <w:style w:type="paragraph" w:styleId="4">
    <w:name w:val="Date"/>
    <w:basedOn w:val="1"/>
    <w:next w:val="1"/>
    <w:link w:val="13"/>
    <w:qFormat/>
    <w:uiPriority w:val="0"/>
    <w:pPr>
      <w:ind w:left="100" w:leftChars="2500"/>
    </w:pPr>
  </w:style>
  <w:style w:type="paragraph" w:styleId="5">
    <w:name w:val="Balloon Text"/>
    <w:basedOn w:val="1"/>
    <w:link w:val="14"/>
    <w:qFormat/>
    <w:uiPriority w:val="0"/>
    <w:rPr>
      <w:sz w:val="18"/>
      <w:szCs w:val="18"/>
    </w:rPr>
  </w:style>
  <w:style w:type="paragraph" w:styleId="6">
    <w:name w:val="footer"/>
    <w:basedOn w:val="1"/>
    <w:link w:val="15"/>
    <w:semiHidden/>
    <w:uiPriority w:val="0"/>
    <w:pPr>
      <w:tabs>
        <w:tab w:val="center" w:pos="4153"/>
        <w:tab w:val="right" w:pos="8306"/>
      </w:tabs>
      <w:snapToGrid w:val="0"/>
      <w:jc w:val="left"/>
    </w:pPr>
    <w:rPr>
      <w:sz w:val="18"/>
      <w:szCs w:val="18"/>
    </w:rPr>
  </w:style>
  <w:style w:type="paragraph" w:styleId="7">
    <w:name w:val="header"/>
    <w:basedOn w:val="1"/>
    <w:link w:val="16"/>
    <w:semiHidden/>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rPr>
      <w:rFonts w:ascii="Times New Roman" w:hAnsi="Times New Roman"/>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0">
    <w:name w:val="Table Theme"/>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uiPriority w:val="0"/>
  </w:style>
  <w:style w:type="character" w:customStyle="1" w:styleId="13">
    <w:name w:val="日期 Char"/>
    <w:link w:val="4"/>
    <w:uiPriority w:val="0"/>
    <w:rPr>
      <w:kern w:val="2"/>
      <w:sz w:val="21"/>
      <w:szCs w:val="22"/>
    </w:rPr>
  </w:style>
  <w:style w:type="character" w:customStyle="1" w:styleId="14">
    <w:name w:val="批注框文本 Char"/>
    <w:link w:val="5"/>
    <w:qFormat/>
    <w:uiPriority w:val="0"/>
    <w:rPr>
      <w:kern w:val="2"/>
      <w:sz w:val="18"/>
      <w:szCs w:val="18"/>
    </w:rPr>
  </w:style>
  <w:style w:type="character" w:customStyle="1" w:styleId="15">
    <w:name w:val="页脚 Char"/>
    <w:link w:val="6"/>
    <w:semiHidden/>
    <w:qFormat/>
    <w:locked/>
    <w:uiPriority w:val="0"/>
    <w:rPr>
      <w:rFonts w:ascii="Calibri" w:hAnsi="Calibri" w:eastAsia="宋体" w:cs="Times New Roman"/>
      <w:sz w:val="18"/>
      <w:szCs w:val="18"/>
    </w:rPr>
  </w:style>
  <w:style w:type="character" w:customStyle="1" w:styleId="16">
    <w:name w:val="页眉 Char"/>
    <w:link w:val="7"/>
    <w:semiHidden/>
    <w:qFormat/>
    <w:locked/>
    <w:uiPriority w:val="0"/>
    <w:rPr>
      <w:rFonts w:ascii="Calibri" w:hAnsi="Calibri" w:eastAsia="宋体" w:cs="Times New Roman"/>
      <w:sz w:val="18"/>
      <w:szCs w:val="18"/>
    </w:rPr>
  </w:style>
  <w:style w:type="paragraph" w:customStyle="1" w:styleId="17">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828</Words>
  <Characters>856</Characters>
  <Lines>1</Lines>
  <Paragraphs>1</Paragraphs>
  <TotalTime>28</TotalTime>
  <ScaleCrop>false</ScaleCrop>
  <LinksUpToDate>false</LinksUpToDate>
  <CharactersWithSpaces>881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2023-08-02T06:20:00Z</dcterms:created>
  <dc:creator>NTKO</dc:creator>
  <cp:lastModifiedBy>王科</cp:lastModifiedBy>
  <cp:lastPrinted>2025-10-20T02:01:21Z</cp:lastPrinted>
  <dcterms:modified xsi:type="dcterms:W3CDTF">2025-10-20T02:25:17Z</dcterms:modified>
  <dc:title>重庆市教育委员会办公室</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8BB97F9B9FFC46BEA392C9CBE04B169B_13</vt:lpwstr>
  </property>
  <property fmtid="{D5CDD505-2E9C-101B-9397-08002B2CF9AE}" pid="4" name="KSOTemplateDocerSaveRecord">
    <vt:lpwstr>eyJoZGlkIjoiMDM0NDliZGFjYmNkMTI0MzQ3MjZmYzk4NTZkYWZlN2UiLCJ1c2VySWQiOiIxODI4NDA1OCJ9</vt:lpwstr>
  </property>
</Properties>
</file>