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D0F83F">
      <w:pPr>
        <w:pStyle w:val="4"/>
        <w:spacing w:before="240" w:after="120" w:line="360" w:lineRule="auto"/>
        <w:rPr>
          <w:rFonts w:ascii="宋体" w:hAnsi="宋体" w:eastAsia="宋体" w:cs="仿宋"/>
          <w:b/>
        </w:rPr>
      </w:pPr>
      <w:r>
        <w:rPr>
          <w:rFonts w:hint="eastAsia" w:ascii="宋体" w:hAnsi="宋体" w:eastAsia="宋体" w:cs="仿宋"/>
          <w:b/>
        </w:rPr>
        <w:t xml:space="preserve"> 比选申请邀请书</w:t>
      </w:r>
    </w:p>
    <w:p w14:paraId="C952EDE4">
      <w:pPr>
        <w:snapToGrid w:val="0"/>
        <w:spacing w:line="400" w:lineRule="exact"/>
        <w:ind w:firstLine="480" w:firstLineChars="200"/>
        <w:rPr>
          <w:rFonts w:ascii="宋体" w:hAnsi="宋体" w:cs="仿宋"/>
          <w:sz w:val="24"/>
          <w:szCs w:val="24"/>
        </w:rPr>
      </w:pPr>
      <w:r>
        <w:rPr>
          <w:rFonts w:hint="eastAsia" w:ascii="宋体" w:hAnsi="宋体" w:cs="仿宋"/>
          <w:sz w:val="24"/>
          <w:szCs w:val="24"/>
        </w:rPr>
        <w:t>重庆大正建设工程经济技术有限公司受重庆一中寄宿学校的委托，对</w:t>
      </w:r>
      <w:r>
        <w:rPr>
          <w:rFonts w:hint="eastAsia" w:ascii="宋体" w:hAnsi="宋体" w:cs="仿宋"/>
          <w:sz w:val="24"/>
          <w:szCs w:val="24"/>
          <w:lang w:eastAsia="zh-CN"/>
        </w:rPr>
        <w:t>重庆一中寄宿学校消防维保</w:t>
      </w:r>
      <w:r>
        <w:rPr>
          <w:rFonts w:hint="eastAsia" w:ascii="宋体" w:hAnsi="宋体" w:cs="仿宋"/>
          <w:sz w:val="24"/>
          <w:szCs w:val="24"/>
        </w:rPr>
        <w:t>进行竞争性比选，</w:t>
      </w:r>
      <w:r>
        <w:rPr>
          <w:rFonts w:hint="eastAsia" w:ascii="宋体" w:hAnsi="宋体" w:cs="宋体"/>
          <w:sz w:val="24"/>
          <w:szCs w:val="24"/>
        </w:rPr>
        <w:t>欢迎有资格的供应商前来参加</w:t>
      </w:r>
      <w:r>
        <w:rPr>
          <w:rFonts w:hint="eastAsia" w:ascii="宋体" w:hAnsi="宋体" w:cs="仿宋"/>
          <w:sz w:val="24"/>
          <w:szCs w:val="24"/>
        </w:rPr>
        <w:t>。</w:t>
      </w:r>
    </w:p>
    <w:p w14:paraId="AD6B3D7B">
      <w:pPr>
        <w:pStyle w:val="5"/>
        <w:spacing w:line="500" w:lineRule="exact"/>
        <w:ind w:firstLine="482" w:firstLineChars="200"/>
        <w:rPr>
          <w:rFonts w:cs="仿宋"/>
          <w:b/>
          <w:sz w:val="24"/>
          <w:szCs w:val="24"/>
        </w:rPr>
      </w:pPr>
      <w:bookmarkStart w:id="0" w:name="_Toc1259"/>
      <w:bookmarkStart w:id="1" w:name="_Toc43919238"/>
      <w:r>
        <w:rPr>
          <w:rFonts w:hint="eastAsia" w:cs="仿宋"/>
          <w:b/>
          <w:sz w:val="24"/>
          <w:szCs w:val="24"/>
        </w:rPr>
        <w:t>一、竞争性比选项目内容</w:t>
      </w:r>
      <w:bookmarkEnd w:id="0"/>
      <w:bookmarkEnd w:id="1"/>
    </w:p>
    <w:tbl>
      <w:tblPr>
        <w:tblStyle w:val="8"/>
        <w:tblpPr w:leftFromText="180" w:rightFromText="180" w:vertAnchor="text" w:horzAnchor="margin" w:tblpXSpec="left" w:tblpY="199"/>
        <w:tblW w:w="98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2092"/>
        <w:gridCol w:w="1914"/>
        <w:gridCol w:w="1908"/>
        <w:gridCol w:w="1593"/>
        <w:gridCol w:w="1593"/>
      </w:tblGrid>
      <w:tr w14:paraId="3C718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 w:hRule="atLeast"/>
        </w:trPr>
        <w:tc>
          <w:tcPr>
            <w:tcW w:w="796" w:type="dxa"/>
            <w:vAlign w:val="center"/>
          </w:tcPr>
          <w:p w14:paraId="C268A091">
            <w:pPr>
              <w:pStyle w:val="7"/>
              <w:spacing w:line="240" w:lineRule="atLeast"/>
              <w:ind w:left="0"/>
              <w:jc w:val="center"/>
              <w:outlineLvl w:val="0"/>
              <w:rPr>
                <w:rFonts w:ascii="宋体" w:hAnsi="宋体" w:cs="仿宋"/>
                <w:b/>
                <w:sz w:val="24"/>
                <w:szCs w:val="24"/>
              </w:rPr>
            </w:pPr>
            <w:r>
              <w:rPr>
                <w:rFonts w:hint="eastAsia" w:ascii="宋体" w:hAnsi="宋体" w:cs="仿宋"/>
                <w:b/>
                <w:sz w:val="24"/>
                <w:szCs w:val="24"/>
              </w:rPr>
              <w:t>分包号</w:t>
            </w:r>
          </w:p>
        </w:tc>
        <w:tc>
          <w:tcPr>
            <w:tcW w:w="2092" w:type="dxa"/>
            <w:vAlign w:val="center"/>
          </w:tcPr>
          <w:p w14:paraId="F99DC33B">
            <w:pPr>
              <w:pStyle w:val="7"/>
              <w:spacing w:line="240" w:lineRule="atLeast"/>
              <w:ind w:left="0"/>
              <w:jc w:val="center"/>
              <w:outlineLvl w:val="0"/>
              <w:rPr>
                <w:rFonts w:ascii="宋体" w:hAnsi="宋体" w:cs="仿宋"/>
                <w:b/>
                <w:sz w:val="24"/>
                <w:szCs w:val="24"/>
              </w:rPr>
            </w:pPr>
            <w:r>
              <w:rPr>
                <w:rFonts w:hint="eastAsia" w:ascii="宋体" w:hAnsi="宋体" w:cs="仿宋"/>
                <w:b/>
                <w:sz w:val="24"/>
                <w:szCs w:val="24"/>
              </w:rPr>
              <w:t>项目名称</w:t>
            </w:r>
          </w:p>
        </w:tc>
        <w:tc>
          <w:tcPr>
            <w:tcW w:w="1914" w:type="dxa"/>
            <w:vAlign w:val="center"/>
          </w:tcPr>
          <w:p w14:paraId="B70B5DB0">
            <w:pPr>
              <w:pStyle w:val="7"/>
              <w:spacing w:line="240" w:lineRule="atLeast"/>
              <w:ind w:left="0"/>
              <w:jc w:val="center"/>
              <w:outlineLvl w:val="0"/>
              <w:rPr>
                <w:rFonts w:ascii="宋体" w:hAnsi="宋体" w:cs="仿宋"/>
                <w:b/>
                <w:sz w:val="24"/>
                <w:szCs w:val="24"/>
              </w:rPr>
            </w:pPr>
            <w:r>
              <w:rPr>
                <w:rFonts w:hint="eastAsia" w:ascii="宋体" w:hAnsi="宋体" w:cs="仿宋"/>
                <w:b/>
                <w:sz w:val="24"/>
                <w:szCs w:val="24"/>
              </w:rPr>
              <w:t>最高限价（万元</w:t>
            </w:r>
            <w:r>
              <w:rPr>
                <w:rFonts w:hint="eastAsia" w:ascii="宋体" w:hAnsi="宋体" w:cs="仿宋"/>
                <w:b/>
                <w:sz w:val="24"/>
                <w:szCs w:val="24"/>
                <w:lang w:val="en-US" w:eastAsia="zh-CN"/>
              </w:rPr>
              <w:t>/年</w:t>
            </w:r>
            <w:r>
              <w:rPr>
                <w:rFonts w:hint="eastAsia" w:ascii="宋体" w:hAnsi="宋体" w:cs="仿宋"/>
                <w:b/>
                <w:sz w:val="24"/>
                <w:szCs w:val="24"/>
              </w:rPr>
              <w:t>）</w:t>
            </w:r>
          </w:p>
        </w:tc>
        <w:tc>
          <w:tcPr>
            <w:tcW w:w="1908" w:type="dxa"/>
            <w:vAlign w:val="center"/>
          </w:tcPr>
          <w:p w14:paraId="2A4CE445">
            <w:pPr>
              <w:pStyle w:val="7"/>
              <w:spacing w:line="240" w:lineRule="atLeast"/>
              <w:ind w:left="0"/>
              <w:jc w:val="center"/>
              <w:outlineLvl w:val="0"/>
              <w:rPr>
                <w:rFonts w:hint="eastAsia" w:ascii="宋体" w:hAnsi="宋体" w:eastAsia="宋体" w:cs="仿宋"/>
                <w:b/>
                <w:sz w:val="24"/>
                <w:szCs w:val="24"/>
                <w:lang w:val="en-US" w:eastAsia="zh-CN"/>
              </w:rPr>
            </w:pPr>
            <w:r>
              <w:rPr>
                <w:rFonts w:hint="eastAsia" w:ascii="宋体" w:hAnsi="宋体" w:cs="仿宋"/>
                <w:b/>
                <w:sz w:val="24"/>
                <w:szCs w:val="24"/>
                <w:lang w:val="en-US" w:eastAsia="zh-CN"/>
              </w:rPr>
              <w:t>服务期</w:t>
            </w:r>
          </w:p>
        </w:tc>
        <w:tc>
          <w:tcPr>
            <w:tcW w:w="1593" w:type="dxa"/>
            <w:vAlign w:val="center"/>
          </w:tcPr>
          <w:p w14:paraId="AC7FE269">
            <w:pPr>
              <w:pStyle w:val="7"/>
              <w:spacing w:line="240" w:lineRule="atLeast"/>
              <w:ind w:left="0"/>
              <w:jc w:val="center"/>
              <w:outlineLvl w:val="0"/>
              <w:rPr>
                <w:rFonts w:ascii="宋体" w:hAnsi="宋体" w:cs="仿宋"/>
                <w:b/>
                <w:sz w:val="24"/>
                <w:szCs w:val="24"/>
              </w:rPr>
            </w:pPr>
            <w:r>
              <w:rPr>
                <w:rFonts w:hint="eastAsia" w:ascii="宋体" w:hAnsi="宋体" w:cs="仿宋"/>
                <w:b/>
                <w:sz w:val="24"/>
                <w:szCs w:val="24"/>
              </w:rPr>
              <w:t>中选供应商数量</w:t>
            </w:r>
          </w:p>
        </w:tc>
        <w:tc>
          <w:tcPr>
            <w:tcW w:w="1593" w:type="dxa"/>
            <w:vAlign w:val="center"/>
          </w:tcPr>
          <w:p w14:paraId="B4168224">
            <w:pPr>
              <w:pStyle w:val="7"/>
              <w:spacing w:line="240" w:lineRule="atLeast"/>
              <w:ind w:left="0"/>
              <w:jc w:val="center"/>
              <w:outlineLvl w:val="0"/>
              <w:rPr>
                <w:rFonts w:ascii="宋体" w:hAnsi="宋体" w:cs="仿宋"/>
                <w:b/>
                <w:sz w:val="24"/>
                <w:szCs w:val="24"/>
              </w:rPr>
            </w:pPr>
            <w:r>
              <w:rPr>
                <w:rFonts w:hint="eastAsia" w:ascii="宋体" w:hAnsi="宋体" w:cs="仿宋"/>
                <w:b/>
                <w:sz w:val="24"/>
                <w:szCs w:val="24"/>
              </w:rPr>
              <w:t>采购标的对应的中小企业划分标准所属行业</w:t>
            </w:r>
          </w:p>
        </w:tc>
      </w:tr>
      <w:tr w14:paraId="9A0FC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796" w:type="dxa"/>
            <w:vAlign w:val="center"/>
          </w:tcPr>
          <w:p w14:paraId="5B4A5FCB">
            <w:pPr>
              <w:pStyle w:val="6"/>
              <w:spacing w:line="240" w:lineRule="atLeast"/>
              <w:ind w:firstLine="0"/>
              <w:jc w:val="center"/>
              <w:outlineLvl w:val="0"/>
              <w:rPr>
                <w:rFonts w:ascii="宋体" w:hAnsi="宋体" w:cs="仿宋"/>
                <w:szCs w:val="24"/>
              </w:rPr>
            </w:pPr>
            <w:r>
              <w:rPr>
                <w:rFonts w:hint="eastAsia" w:ascii="宋体" w:hAnsi="宋体" w:cs="仿宋"/>
                <w:szCs w:val="24"/>
              </w:rPr>
              <w:t>1</w:t>
            </w:r>
          </w:p>
        </w:tc>
        <w:tc>
          <w:tcPr>
            <w:tcW w:w="2092" w:type="dxa"/>
            <w:vAlign w:val="center"/>
          </w:tcPr>
          <w:p w14:paraId="D2A4766A">
            <w:pPr>
              <w:pStyle w:val="6"/>
              <w:spacing w:line="240" w:lineRule="atLeast"/>
              <w:ind w:firstLine="0"/>
              <w:jc w:val="center"/>
              <w:outlineLvl w:val="0"/>
              <w:rPr>
                <w:rFonts w:hint="eastAsia" w:ascii="宋体" w:hAnsi="宋体" w:eastAsia="宋体" w:cs="仿宋"/>
                <w:szCs w:val="24"/>
                <w:lang w:eastAsia="zh-CN"/>
              </w:rPr>
            </w:pPr>
            <w:r>
              <w:rPr>
                <w:rFonts w:hint="eastAsia" w:ascii="宋体" w:hAnsi="宋体" w:cs="仿宋"/>
                <w:szCs w:val="24"/>
              </w:rPr>
              <w:t xml:space="preserve"> </w:t>
            </w:r>
            <w:r>
              <w:rPr>
                <w:rFonts w:hint="eastAsia" w:ascii="宋体" w:hAnsi="宋体" w:cs="仿宋"/>
                <w:szCs w:val="24"/>
                <w:lang w:eastAsia="zh-CN"/>
              </w:rPr>
              <w:t>重庆一中寄宿学校消防维保</w:t>
            </w:r>
          </w:p>
        </w:tc>
        <w:tc>
          <w:tcPr>
            <w:tcW w:w="1914" w:type="dxa"/>
            <w:vAlign w:val="center"/>
          </w:tcPr>
          <w:p w14:paraId="E6F312CF">
            <w:pPr>
              <w:pStyle w:val="7"/>
              <w:spacing w:line="240" w:lineRule="atLeast"/>
              <w:ind w:left="0"/>
              <w:jc w:val="center"/>
              <w:rPr>
                <w:rFonts w:hint="default" w:ascii="宋体" w:hAnsi="宋体" w:eastAsia="宋体" w:cs="仿宋"/>
                <w:sz w:val="24"/>
                <w:szCs w:val="24"/>
                <w:lang w:val="en-US" w:eastAsia="zh-CN"/>
              </w:rPr>
            </w:pPr>
            <w:r>
              <w:rPr>
                <w:rFonts w:hint="eastAsia" w:ascii="宋体" w:hAnsi="宋体" w:cs="宋体"/>
                <w:color w:val="000000"/>
                <w:sz w:val="24"/>
                <w:szCs w:val="24"/>
                <w:lang w:val="en-US" w:eastAsia="zh-CN"/>
              </w:rPr>
              <w:t>2.5</w:t>
            </w:r>
          </w:p>
        </w:tc>
        <w:tc>
          <w:tcPr>
            <w:tcW w:w="1908" w:type="dxa"/>
            <w:vAlign w:val="center"/>
          </w:tcPr>
          <w:p w14:paraId="69156EAC">
            <w:pPr>
              <w:pStyle w:val="7"/>
              <w:spacing w:line="240" w:lineRule="atLeast"/>
              <w:ind w:left="0"/>
              <w:jc w:val="center"/>
              <w:outlineLvl w:val="0"/>
              <w:rPr>
                <w:rFonts w:hint="default" w:ascii="宋体" w:hAnsi="宋体" w:eastAsia="宋体" w:cs="仿宋"/>
                <w:sz w:val="24"/>
                <w:szCs w:val="24"/>
                <w:lang w:val="en-US" w:eastAsia="zh-CN"/>
              </w:rPr>
            </w:pPr>
            <w:r>
              <w:rPr>
                <w:rFonts w:hint="eastAsia" w:ascii="宋体" w:hAnsi="宋体" w:cs="仿宋"/>
                <w:sz w:val="24"/>
                <w:szCs w:val="24"/>
                <w:lang w:val="en-US" w:eastAsia="zh-CN"/>
              </w:rPr>
              <w:t>3年</w:t>
            </w:r>
          </w:p>
        </w:tc>
        <w:tc>
          <w:tcPr>
            <w:tcW w:w="1593" w:type="dxa"/>
            <w:vAlign w:val="center"/>
          </w:tcPr>
          <w:p w14:paraId="9EBA2F33">
            <w:pPr>
              <w:pStyle w:val="7"/>
              <w:spacing w:line="240" w:lineRule="atLeast"/>
              <w:ind w:left="0"/>
              <w:jc w:val="center"/>
              <w:outlineLvl w:val="0"/>
              <w:rPr>
                <w:rFonts w:ascii="宋体" w:hAnsi="宋体" w:cs="仿宋"/>
                <w:sz w:val="24"/>
                <w:szCs w:val="24"/>
              </w:rPr>
            </w:pPr>
            <w:r>
              <w:rPr>
                <w:rFonts w:hint="eastAsia" w:ascii="宋体" w:hAnsi="宋体" w:cs="仿宋"/>
                <w:sz w:val="24"/>
                <w:szCs w:val="24"/>
              </w:rPr>
              <w:t>1家</w:t>
            </w:r>
          </w:p>
        </w:tc>
        <w:tc>
          <w:tcPr>
            <w:tcW w:w="1593" w:type="dxa"/>
            <w:vAlign w:val="center"/>
          </w:tcPr>
          <w:p w14:paraId="792B03A4">
            <w:pPr>
              <w:jc w:val="center"/>
              <w:rPr>
                <w:rFonts w:ascii="宋体" w:hAnsi="宋体" w:cs="仿宋"/>
                <w:sz w:val="24"/>
                <w:szCs w:val="24"/>
              </w:rPr>
            </w:pPr>
            <w:r>
              <w:rPr>
                <w:rFonts w:hint="eastAsia" w:ascii="宋体" w:hAnsi="宋体" w:cs="仿宋"/>
                <w:sz w:val="24"/>
                <w:szCs w:val="24"/>
              </w:rPr>
              <w:t>其他未列明行业</w:t>
            </w:r>
          </w:p>
        </w:tc>
      </w:tr>
    </w:tbl>
    <w:p w14:paraId="63B5078A">
      <w:pPr>
        <w:pStyle w:val="5"/>
        <w:spacing w:line="500" w:lineRule="exact"/>
        <w:ind w:firstLine="482" w:firstLineChars="200"/>
        <w:rPr>
          <w:rFonts w:cs="仿宋"/>
          <w:b/>
          <w:sz w:val="24"/>
          <w:szCs w:val="24"/>
        </w:rPr>
      </w:pPr>
      <w:bookmarkStart w:id="2" w:name="_Toc43919239"/>
      <w:bookmarkStart w:id="3" w:name="_Toc26331"/>
      <w:r>
        <w:rPr>
          <w:rFonts w:hint="eastAsia" w:cs="仿宋"/>
          <w:b/>
          <w:sz w:val="24"/>
          <w:szCs w:val="24"/>
        </w:rPr>
        <w:t>二、资金来源</w:t>
      </w:r>
      <w:bookmarkEnd w:id="2"/>
      <w:bookmarkEnd w:id="3"/>
    </w:p>
    <w:p w14:paraId="68687F61">
      <w:pPr>
        <w:spacing w:line="400" w:lineRule="exact"/>
        <w:ind w:firstLine="480" w:firstLineChars="200"/>
        <w:rPr>
          <w:rFonts w:ascii="宋体" w:hAnsi="宋体" w:cs="仿宋"/>
          <w:sz w:val="24"/>
          <w:szCs w:val="24"/>
        </w:rPr>
      </w:pPr>
      <w:r>
        <w:rPr>
          <w:rFonts w:hint="eastAsia" w:ascii="宋体" w:hAnsi="宋体" w:cs="仿宋"/>
          <w:sz w:val="24"/>
          <w:szCs w:val="24"/>
        </w:rPr>
        <w:t>财政拨款。</w:t>
      </w:r>
    </w:p>
    <w:p w14:paraId="F28D11B8">
      <w:pPr>
        <w:pStyle w:val="5"/>
        <w:spacing w:line="500" w:lineRule="exact"/>
        <w:ind w:left="560" w:leftChars="200"/>
        <w:jc w:val="left"/>
        <w:rPr>
          <w:rFonts w:cs="仿宋"/>
          <w:b/>
          <w:sz w:val="24"/>
          <w:szCs w:val="24"/>
        </w:rPr>
      </w:pPr>
      <w:bookmarkStart w:id="4" w:name="_Toc43919240"/>
      <w:bookmarkStart w:id="5" w:name="_Toc6949"/>
      <w:r>
        <w:rPr>
          <w:rFonts w:hint="eastAsia" w:cs="仿宋"/>
          <w:b/>
          <w:sz w:val="24"/>
          <w:szCs w:val="24"/>
        </w:rPr>
        <w:t>三、供应商资格要求</w:t>
      </w:r>
      <w:bookmarkEnd w:id="4"/>
      <w:bookmarkEnd w:id="5"/>
    </w:p>
    <w:p w14:paraId="B4168B8F">
      <w:pPr>
        <w:spacing w:line="400" w:lineRule="exact"/>
        <w:ind w:firstLine="480" w:firstLineChars="200"/>
        <w:outlineLvl w:val="2"/>
        <w:rPr>
          <w:rFonts w:ascii="宋体" w:hAnsi="宋体" w:cs="仿宋"/>
          <w:sz w:val="24"/>
          <w:szCs w:val="24"/>
        </w:rPr>
      </w:pPr>
      <w:bookmarkStart w:id="6" w:name="_Toc43919241"/>
      <w:r>
        <w:rPr>
          <w:rFonts w:hint="eastAsia" w:ascii="宋体" w:hAnsi="宋体" w:cs="仿宋"/>
          <w:sz w:val="24"/>
          <w:szCs w:val="24"/>
        </w:rPr>
        <w:t>（一）基本资格条件：满足《中华人民共和国政府采购法》第二十二条规定；</w:t>
      </w:r>
    </w:p>
    <w:p w14:paraId="0940B5A4">
      <w:pPr>
        <w:pStyle w:val="5"/>
        <w:spacing w:line="500" w:lineRule="exact"/>
        <w:ind w:firstLine="480" w:firstLineChars="200"/>
        <w:rPr>
          <w:rFonts w:cs="仿宋"/>
          <w:sz w:val="24"/>
          <w:szCs w:val="24"/>
        </w:rPr>
      </w:pPr>
      <w:r>
        <w:rPr>
          <w:rFonts w:hint="eastAsia" w:cs="仿宋"/>
          <w:sz w:val="24"/>
          <w:szCs w:val="24"/>
        </w:rPr>
        <w:t>（二）特定资格条件:</w:t>
      </w:r>
      <w:bookmarkStart w:id="7" w:name="_Toc5157"/>
      <w:r>
        <w:rPr>
          <w:rFonts w:hint="eastAsia" w:cs="仿宋"/>
          <w:sz w:val="24"/>
          <w:szCs w:val="24"/>
        </w:rPr>
        <w:t>无。</w:t>
      </w:r>
    </w:p>
    <w:p w14:paraId="21128CBC">
      <w:pPr>
        <w:pStyle w:val="5"/>
        <w:spacing w:line="500" w:lineRule="exact"/>
        <w:ind w:firstLine="482" w:firstLineChars="200"/>
        <w:rPr>
          <w:rFonts w:cs="仿宋"/>
          <w:b/>
          <w:sz w:val="24"/>
          <w:szCs w:val="24"/>
        </w:rPr>
      </w:pPr>
      <w:r>
        <w:rPr>
          <w:rFonts w:hint="eastAsia" w:cs="仿宋"/>
          <w:b/>
          <w:sz w:val="24"/>
          <w:szCs w:val="24"/>
        </w:rPr>
        <w:t>四、比选申请、开标有关说明</w:t>
      </w:r>
      <w:bookmarkEnd w:id="6"/>
      <w:bookmarkEnd w:id="7"/>
    </w:p>
    <w:p w14:paraId="DC12773F">
      <w:pPr>
        <w:spacing w:line="400" w:lineRule="exact"/>
        <w:ind w:firstLine="480" w:firstLineChars="200"/>
        <w:outlineLvl w:val="2"/>
        <w:rPr>
          <w:rFonts w:ascii="宋体" w:hAnsi="宋体" w:cs="仿宋"/>
          <w:sz w:val="24"/>
          <w:szCs w:val="24"/>
        </w:rPr>
      </w:pPr>
      <w:bookmarkStart w:id="8" w:name="_Toc22180"/>
      <w:bookmarkStart w:id="9" w:name="_Toc43919243"/>
      <w:bookmarkStart w:id="10" w:name="_Toc20523"/>
      <w:r>
        <w:rPr>
          <w:rFonts w:hint="eastAsia" w:ascii="宋体" w:hAnsi="宋体" w:cs="仿宋"/>
          <w:sz w:val="24"/>
          <w:szCs w:val="24"/>
        </w:rPr>
        <w:t>（一）供应商应通过“行采家”平台（https://www.gec123.com）进行注册，成为行采家平台供应商。</w:t>
      </w:r>
    </w:p>
    <w:p w14:paraId="7EA247DD">
      <w:pPr>
        <w:spacing w:line="400" w:lineRule="exact"/>
        <w:ind w:firstLine="480" w:firstLineChars="200"/>
        <w:outlineLvl w:val="2"/>
        <w:rPr>
          <w:rFonts w:ascii="宋体" w:hAnsi="宋体" w:cs="仿宋"/>
          <w:sz w:val="24"/>
          <w:szCs w:val="24"/>
        </w:rPr>
      </w:pPr>
      <w:r>
        <w:rPr>
          <w:rFonts w:hint="eastAsia" w:ascii="宋体" w:hAnsi="宋体" w:cs="仿宋"/>
          <w:sz w:val="24"/>
          <w:szCs w:val="24"/>
        </w:rPr>
        <w:t>（二）凡有意参加比选的供应商，请在“行采家”平台（http://www.gec123.com）上下载本项目竞争性比选公告以及澄清等比选前公布的所有项目资料，并在比选代理机构处领取本项目竞争性比选文件，无论供应商下载或领取与否，均视为已知晓所有比选实质性要求内容。</w:t>
      </w:r>
    </w:p>
    <w:p w14:paraId="20FD4DE4">
      <w:pPr>
        <w:spacing w:line="400" w:lineRule="exact"/>
        <w:ind w:firstLine="480" w:firstLineChars="200"/>
        <w:outlineLvl w:val="2"/>
        <w:rPr>
          <w:rFonts w:ascii="宋体" w:hAnsi="宋体" w:cs="仿宋"/>
          <w:sz w:val="24"/>
          <w:szCs w:val="24"/>
        </w:rPr>
      </w:pPr>
      <w:r>
        <w:rPr>
          <w:rFonts w:hint="eastAsia" w:ascii="宋体" w:hAnsi="宋体" w:cs="仿宋"/>
          <w:sz w:val="24"/>
          <w:szCs w:val="24"/>
        </w:rPr>
        <w:t>（三）获取竞争性比选文件期限：</w:t>
      </w:r>
    </w:p>
    <w:p w14:paraId="0953E80E">
      <w:pPr>
        <w:spacing w:line="400" w:lineRule="exact"/>
        <w:ind w:firstLine="480" w:firstLineChars="200"/>
        <w:outlineLvl w:val="2"/>
        <w:rPr>
          <w:rFonts w:ascii="宋体" w:hAnsi="宋体" w:cs="仿宋"/>
          <w:sz w:val="24"/>
          <w:szCs w:val="24"/>
        </w:rPr>
      </w:pPr>
      <w:r>
        <w:rPr>
          <w:rFonts w:hint="eastAsia" w:ascii="宋体" w:hAnsi="宋体" w:cs="仿宋"/>
          <w:sz w:val="24"/>
          <w:szCs w:val="24"/>
        </w:rPr>
        <w:t>1.竞争性比选文件提供期限：2025年</w:t>
      </w:r>
      <w:r>
        <w:rPr>
          <w:rFonts w:hint="eastAsia" w:ascii="宋体" w:hAnsi="宋体" w:cs="仿宋"/>
          <w:sz w:val="24"/>
          <w:szCs w:val="24"/>
          <w:lang w:val="en-US" w:eastAsia="zh-CN"/>
        </w:rPr>
        <w:t>4</w:t>
      </w:r>
      <w:r>
        <w:rPr>
          <w:rFonts w:hint="eastAsia" w:ascii="宋体" w:hAnsi="宋体" w:cs="仿宋"/>
          <w:sz w:val="24"/>
          <w:szCs w:val="24"/>
        </w:rPr>
        <w:t>月</w:t>
      </w:r>
      <w:r>
        <w:rPr>
          <w:rFonts w:hint="eastAsia" w:ascii="宋体" w:hAnsi="宋体" w:cs="仿宋"/>
          <w:sz w:val="24"/>
          <w:szCs w:val="24"/>
          <w:lang w:val="en-US" w:eastAsia="zh-CN"/>
        </w:rPr>
        <w:t>23</w:t>
      </w:r>
      <w:r>
        <w:rPr>
          <w:rFonts w:hint="eastAsia" w:ascii="宋体" w:hAnsi="宋体" w:cs="仿宋"/>
          <w:sz w:val="24"/>
          <w:szCs w:val="24"/>
        </w:rPr>
        <w:t>日至2025年</w:t>
      </w:r>
      <w:r>
        <w:rPr>
          <w:rFonts w:hint="eastAsia" w:ascii="宋体" w:hAnsi="宋体" w:cs="仿宋"/>
          <w:sz w:val="24"/>
          <w:szCs w:val="24"/>
          <w:lang w:val="en-US" w:eastAsia="zh-CN"/>
        </w:rPr>
        <w:t>4</w:t>
      </w:r>
      <w:r>
        <w:rPr>
          <w:rFonts w:hint="eastAsia" w:ascii="宋体" w:hAnsi="宋体" w:cs="仿宋"/>
          <w:sz w:val="24"/>
          <w:szCs w:val="24"/>
        </w:rPr>
        <w:t>月</w:t>
      </w:r>
      <w:r>
        <w:rPr>
          <w:rFonts w:hint="eastAsia" w:ascii="宋体" w:hAnsi="宋体" w:cs="仿宋"/>
          <w:sz w:val="24"/>
          <w:szCs w:val="24"/>
          <w:lang w:val="en-US" w:eastAsia="zh-CN"/>
        </w:rPr>
        <w:t>28</w:t>
      </w:r>
      <w:r>
        <w:rPr>
          <w:rFonts w:hint="eastAsia" w:ascii="宋体" w:hAnsi="宋体" w:cs="仿宋"/>
          <w:sz w:val="24"/>
          <w:szCs w:val="24"/>
        </w:rPr>
        <w:t>日17:00时。</w:t>
      </w:r>
    </w:p>
    <w:p w14:paraId="33E3794C">
      <w:pPr>
        <w:spacing w:line="400" w:lineRule="exact"/>
        <w:ind w:firstLine="480" w:firstLineChars="200"/>
        <w:outlineLvl w:val="2"/>
        <w:rPr>
          <w:rFonts w:ascii="宋体" w:hAnsi="宋体" w:cs="仿宋"/>
          <w:sz w:val="24"/>
          <w:szCs w:val="24"/>
        </w:rPr>
      </w:pPr>
      <w:r>
        <w:rPr>
          <w:rFonts w:hint="eastAsia" w:ascii="宋体" w:hAnsi="宋体" w:cs="仿宋"/>
          <w:sz w:val="24"/>
          <w:szCs w:val="24"/>
        </w:rPr>
        <w:t>2.报名方式：在竞争性比选文件发售期（2025年</w:t>
      </w:r>
      <w:r>
        <w:rPr>
          <w:rFonts w:hint="eastAsia" w:ascii="宋体" w:hAnsi="宋体" w:cs="仿宋"/>
          <w:sz w:val="24"/>
          <w:szCs w:val="24"/>
          <w:lang w:val="en-US" w:eastAsia="zh-CN"/>
        </w:rPr>
        <w:t>4</w:t>
      </w:r>
      <w:r>
        <w:rPr>
          <w:rFonts w:hint="eastAsia" w:ascii="宋体" w:hAnsi="宋体" w:cs="仿宋"/>
          <w:sz w:val="24"/>
          <w:szCs w:val="24"/>
        </w:rPr>
        <w:t>月</w:t>
      </w:r>
      <w:r>
        <w:rPr>
          <w:rFonts w:hint="eastAsia" w:ascii="宋体" w:hAnsi="宋体" w:cs="仿宋"/>
          <w:sz w:val="24"/>
          <w:szCs w:val="24"/>
          <w:lang w:val="en-US" w:eastAsia="zh-CN"/>
        </w:rPr>
        <w:t>23</w:t>
      </w:r>
      <w:r>
        <w:rPr>
          <w:rFonts w:hint="eastAsia" w:ascii="宋体" w:hAnsi="宋体" w:cs="仿宋"/>
          <w:sz w:val="24"/>
          <w:szCs w:val="24"/>
        </w:rPr>
        <w:t>日至2025年</w:t>
      </w:r>
      <w:r>
        <w:rPr>
          <w:rFonts w:hint="eastAsia" w:ascii="宋体" w:hAnsi="宋体" w:cs="仿宋"/>
          <w:sz w:val="24"/>
          <w:szCs w:val="24"/>
          <w:lang w:val="en-US" w:eastAsia="zh-CN"/>
        </w:rPr>
        <w:t>4</w:t>
      </w:r>
      <w:r>
        <w:rPr>
          <w:rFonts w:hint="eastAsia" w:ascii="宋体" w:hAnsi="宋体" w:cs="仿宋"/>
          <w:sz w:val="24"/>
          <w:szCs w:val="24"/>
        </w:rPr>
        <w:t>月</w:t>
      </w:r>
      <w:r>
        <w:rPr>
          <w:rFonts w:hint="eastAsia" w:ascii="宋体" w:hAnsi="宋体" w:cs="仿宋"/>
          <w:sz w:val="24"/>
          <w:szCs w:val="24"/>
          <w:lang w:val="en-US" w:eastAsia="zh-CN"/>
        </w:rPr>
        <w:t>28</w:t>
      </w:r>
      <w:r>
        <w:rPr>
          <w:rFonts w:hint="eastAsia" w:ascii="宋体" w:hAnsi="宋体" w:cs="仿宋"/>
          <w:sz w:val="24"/>
          <w:szCs w:val="24"/>
        </w:rPr>
        <w:t>日17:00时）内，供应商可以采取线下购买方式：到重庆大正建设工程经济技术有限公司（重庆市渝中区邹容路131号（临江门地铁站3号出口）世贸大厦41楼4101室），递交法人授权委托书（须包含联系人电话）、被授权人身份证复印件、营业执照复印件（加盖供应商公章），缴纳竞争性比选文件购买费并领取竞争性比选文件；也可以采取线上购买方式：发送法人授权委托书、被授权人身份证复印件、营业执照复印件（加盖供应商公章）电子档到购买邮箱：497987199@qq.com，缴纳竞争性比选文件购买费并购买竞争性比选文件。</w:t>
      </w:r>
    </w:p>
    <w:p w14:paraId="379DA424">
      <w:pPr>
        <w:spacing w:line="400" w:lineRule="exact"/>
        <w:ind w:firstLine="480" w:firstLineChars="200"/>
        <w:outlineLvl w:val="2"/>
        <w:rPr>
          <w:rFonts w:ascii="宋体" w:hAnsi="宋体" w:cs="仿宋"/>
          <w:sz w:val="24"/>
          <w:szCs w:val="24"/>
        </w:rPr>
      </w:pPr>
      <w:r>
        <w:rPr>
          <w:rFonts w:hint="eastAsia" w:ascii="宋体" w:hAnsi="宋体" w:cs="仿宋"/>
          <w:sz w:val="24"/>
          <w:szCs w:val="24"/>
        </w:rPr>
        <w:drawing>
          <wp:anchor distT="0" distB="0" distL="114300" distR="114300" simplePos="0" relativeHeight="251659264" behindDoc="1" locked="0" layoutInCell="1" allowOverlap="1">
            <wp:simplePos x="0" y="0"/>
            <wp:positionH relativeFrom="column">
              <wp:posOffset>376555</wp:posOffset>
            </wp:positionH>
            <wp:positionV relativeFrom="paragraph">
              <wp:posOffset>95885</wp:posOffset>
            </wp:positionV>
            <wp:extent cx="687705" cy="920750"/>
            <wp:effectExtent l="0" t="0" r="10795" b="6350"/>
            <wp:wrapTight wrapText="bothSides">
              <wp:wrapPolygon>
                <wp:start x="0" y="0"/>
                <wp:lineTo x="0" y="21451"/>
                <wp:lineTo x="21141" y="21451"/>
                <wp:lineTo x="21141" y="0"/>
                <wp:lineTo x="0" y="0"/>
              </wp:wrapPolygon>
            </wp:wrapTight>
            <wp:docPr id="1026" name="图片 1" descr="_cgi-bin_mmwebwx-bin_webwxgetmsgimg__&amp;MsgID=6570538779609511178&amp;skey=@crypt_e65e73a1_c3eff6f78f7774829b609404437d9a63&amp;mmweb_appid=wx_webfilehelper"/>
            <wp:cNvGraphicFramePr/>
            <a:graphic xmlns:a="http://schemas.openxmlformats.org/drawingml/2006/main">
              <a:graphicData uri="http://schemas.openxmlformats.org/drawingml/2006/picture">
                <pic:pic xmlns:pic="http://schemas.openxmlformats.org/drawingml/2006/picture">
                  <pic:nvPicPr>
                    <pic:cNvPr id="1026" name="图片 1" descr="_cgi-bin_mmwebwx-bin_webwxgetmsgimg__&amp;MsgID=6570538779609511178&amp;skey=@crypt_e65e73a1_c3eff6f78f7774829b609404437d9a63&amp;mmweb_appid=wx_webfilehelper"/>
                    <pic:cNvPicPr/>
                  </pic:nvPicPr>
                  <pic:blipFill>
                    <a:blip r:embed="rId4" cstate="print"/>
                    <a:srcRect/>
                    <a:stretch>
                      <a:fillRect/>
                    </a:stretch>
                  </pic:blipFill>
                  <pic:spPr>
                    <a:xfrm>
                      <a:off x="0" y="0"/>
                      <a:ext cx="687705" cy="920750"/>
                    </a:xfrm>
                    <a:prstGeom prst="rect">
                      <a:avLst/>
                    </a:prstGeom>
                    <a:ln>
                      <a:noFill/>
                    </a:ln>
                  </pic:spPr>
                </pic:pic>
              </a:graphicData>
            </a:graphic>
          </wp:anchor>
        </w:drawing>
      </w:r>
    </w:p>
    <w:p w14:paraId="417093C5">
      <w:pPr>
        <w:spacing w:line="400" w:lineRule="exact"/>
        <w:ind w:firstLine="480" w:firstLineChars="200"/>
        <w:outlineLvl w:val="2"/>
        <w:rPr>
          <w:rFonts w:hint="eastAsia" w:ascii="宋体" w:hAnsi="宋体" w:cs="仿宋"/>
          <w:sz w:val="24"/>
          <w:szCs w:val="24"/>
        </w:rPr>
      </w:pPr>
    </w:p>
    <w:p w14:paraId="3E27E7F5">
      <w:pPr>
        <w:spacing w:line="400" w:lineRule="exact"/>
        <w:ind w:firstLine="480" w:firstLineChars="200"/>
        <w:outlineLvl w:val="2"/>
        <w:rPr>
          <w:rFonts w:hint="eastAsia" w:ascii="宋体" w:hAnsi="宋体" w:cs="仿宋"/>
          <w:sz w:val="24"/>
          <w:szCs w:val="24"/>
        </w:rPr>
      </w:pPr>
    </w:p>
    <w:p w14:paraId="45B4A343">
      <w:pPr>
        <w:spacing w:line="400" w:lineRule="exact"/>
        <w:ind w:firstLine="480" w:firstLineChars="200"/>
        <w:outlineLvl w:val="2"/>
        <w:rPr>
          <w:rFonts w:hint="eastAsia" w:ascii="宋体" w:hAnsi="宋体" w:cs="仿宋"/>
          <w:sz w:val="24"/>
          <w:szCs w:val="24"/>
        </w:rPr>
      </w:pPr>
    </w:p>
    <w:p w14:paraId="7FCC8842">
      <w:pPr>
        <w:spacing w:line="400" w:lineRule="exact"/>
        <w:ind w:firstLine="480" w:firstLineChars="200"/>
        <w:outlineLvl w:val="2"/>
        <w:rPr>
          <w:rFonts w:ascii="宋体" w:hAnsi="宋体" w:cs="仿宋"/>
          <w:sz w:val="24"/>
          <w:szCs w:val="24"/>
        </w:rPr>
      </w:pPr>
      <w:r>
        <w:rPr>
          <w:rFonts w:hint="eastAsia" w:ascii="宋体" w:hAnsi="宋体" w:cs="仿宋"/>
          <w:sz w:val="24"/>
          <w:szCs w:val="24"/>
        </w:rPr>
        <w:t>3.竞争性比选文件售价：人民币500元。</w:t>
      </w:r>
    </w:p>
    <w:p w14:paraId="649D59C5">
      <w:pPr>
        <w:spacing w:line="400" w:lineRule="exact"/>
        <w:ind w:firstLine="480" w:firstLineChars="200"/>
        <w:outlineLvl w:val="2"/>
        <w:rPr>
          <w:rFonts w:ascii="宋体" w:hAnsi="宋体" w:cs="仿宋"/>
          <w:sz w:val="24"/>
          <w:szCs w:val="24"/>
        </w:rPr>
      </w:pPr>
      <w:r>
        <w:rPr>
          <w:rFonts w:hint="eastAsia" w:ascii="宋体" w:hAnsi="宋体" w:cs="仿宋"/>
          <w:sz w:val="24"/>
          <w:szCs w:val="24"/>
        </w:rPr>
        <w:t>（四）比选地点：重庆大正建设工程经济技术有限公司（重庆市渝中区邹容路131号（临江门地铁站3号出口）世贸大厦41楼4101室）</w:t>
      </w:r>
    </w:p>
    <w:p w14:paraId="03ADB6DA">
      <w:pPr>
        <w:spacing w:line="400" w:lineRule="exact"/>
        <w:ind w:firstLine="480" w:firstLineChars="200"/>
        <w:outlineLvl w:val="2"/>
        <w:rPr>
          <w:rFonts w:ascii="宋体" w:hAnsi="宋体" w:cs="仿宋"/>
          <w:sz w:val="24"/>
          <w:szCs w:val="24"/>
        </w:rPr>
      </w:pPr>
      <w:r>
        <w:rPr>
          <w:rFonts w:hint="eastAsia" w:ascii="宋体" w:hAnsi="宋体" w:cs="仿宋"/>
          <w:sz w:val="24"/>
          <w:szCs w:val="24"/>
        </w:rPr>
        <w:t>（五）线上提交响应文件截止时间：2025年</w:t>
      </w:r>
      <w:r>
        <w:rPr>
          <w:rFonts w:hint="eastAsia" w:ascii="宋体" w:hAnsi="宋体" w:cs="仿宋"/>
          <w:sz w:val="24"/>
          <w:szCs w:val="24"/>
          <w:lang w:val="en-US" w:eastAsia="zh-CN"/>
        </w:rPr>
        <w:t>4</w:t>
      </w:r>
      <w:r>
        <w:rPr>
          <w:rFonts w:hint="eastAsia" w:ascii="宋体" w:hAnsi="宋体" w:cs="仿宋"/>
          <w:sz w:val="24"/>
          <w:szCs w:val="24"/>
        </w:rPr>
        <w:t>月</w:t>
      </w:r>
      <w:r>
        <w:rPr>
          <w:rFonts w:hint="eastAsia" w:ascii="宋体" w:hAnsi="宋体" w:cs="仿宋"/>
          <w:sz w:val="24"/>
          <w:szCs w:val="24"/>
          <w:lang w:val="en-US" w:eastAsia="zh-CN"/>
        </w:rPr>
        <w:t>29</w:t>
      </w:r>
      <w:r>
        <w:rPr>
          <w:rFonts w:hint="eastAsia" w:ascii="宋体" w:hAnsi="宋体" w:cs="仿宋"/>
          <w:sz w:val="24"/>
          <w:szCs w:val="24"/>
        </w:rPr>
        <w:t>日北京时间15:00</w:t>
      </w:r>
    </w:p>
    <w:p w14:paraId="830879A5">
      <w:pPr>
        <w:spacing w:line="400" w:lineRule="exact"/>
        <w:ind w:firstLine="480" w:firstLineChars="200"/>
        <w:outlineLvl w:val="2"/>
        <w:rPr>
          <w:rFonts w:ascii="宋体" w:hAnsi="宋体" w:cs="仿宋"/>
          <w:sz w:val="24"/>
          <w:szCs w:val="24"/>
        </w:rPr>
      </w:pPr>
      <w:r>
        <w:rPr>
          <w:rFonts w:hint="eastAsia" w:ascii="宋体" w:hAnsi="宋体" w:cs="仿宋"/>
          <w:sz w:val="24"/>
          <w:szCs w:val="24"/>
        </w:rPr>
        <w:t>（六）线下提交响应文件截止时间：2025年</w:t>
      </w:r>
      <w:r>
        <w:rPr>
          <w:rFonts w:hint="eastAsia" w:ascii="宋体" w:hAnsi="宋体" w:cs="仿宋"/>
          <w:sz w:val="24"/>
          <w:szCs w:val="24"/>
          <w:lang w:val="en-US" w:eastAsia="zh-CN"/>
        </w:rPr>
        <w:t>4</w:t>
      </w:r>
      <w:r>
        <w:rPr>
          <w:rFonts w:hint="eastAsia" w:ascii="宋体" w:hAnsi="宋体" w:cs="仿宋"/>
          <w:sz w:val="24"/>
          <w:szCs w:val="24"/>
        </w:rPr>
        <w:t>月</w:t>
      </w:r>
      <w:r>
        <w:rPr>
          <w:rFonts w:hint="eastAsia" w:ascii="宋体" w:hAnsi="宋体" w:cs="仿宋"/>
          <w:sz w:val="24"/>
          <w:szCs w:val="24"/>
          <w:lang w:val="en-US" w:eastAsia="zh-CN"/>
        </w:rPr>
        <w:t>29</w:t>
      </w:r>
      <w:r>
        <w:rPr>
          <w:rFonts w:hint="eastAsia" w:ascii="宋体" w:hAnsi="宋体" w:cs="仿宋"/>
          <w:sz w:val="24"/>
          <w:szCs w:val="24"/>
        </w:rPr>
        <w:t>日北京时间15:00</w:t>
      </w:r>
    </w:p>
    <w:p w14:paraId="BD112C9C">
      <w:pPr>
        <w:spacing w:line="400" w:lineRule="exact"/>
        <w:ind w:firstLine="480" w:firstLineChars="200"/>
        <w:outlineLvl w:val="2"/>
        <w:rPr>
          <w:rFonts w:ascii="宋体" w:hAnsi="宋体" w:cs="仿宋"/>
          <w:sz w:val="24"/>
          <w:szCs w:val="24"/>
        </w:rPr>
      </w:pPr>
      <w:r>
        <w:rPr>
          <w:rFonts w:hint="eastAsia" w:ascii="宋体" w:hAnsi="宋体" w:cs="仿宋"/>
          <w:sz w:val="24"/>
          <w:szCs w:val="24"/>
        </w:rPr>
        <w:t>（七）比选开始时间：2025年</w:t>
      </w:r>
      <w:r>
        <w:rPr>
          <w:rFonts w:hint="eastAsia" w:ascii="宋体" w:hAnsi="宋体" w:cs="仿宋"/>
          <w:sz w:val="24"/>
          <w:szCs w:val="24"/>
          <w:lang w:val="en-US" w:eastAsia="zh-CN"/>
        </w:rPr>
        <w:t>4</w:t>
      </w:r>
      <w:r>
        <w:rPr>
          <w:rFonts w:hint="eastAsia" w:ascii="宋体" w:hAnsi="宋体" w:cs="仿宋"/>
          <w:sz w:val="24"/>
          <w:szCs w:val="24"/>
        </w:rPr>
        <w:t>月</w:t>
      </w:r>
      <w:r>
        <w:rPr>
          <w:rFonts w:hint="eastAsia" w:ascii="宋体" w:hAnsi="宋体" w:cs="仿宋"/>
          <w:sz w:val="24"/>
          <w:szCs w:val="24"/>
          <w:lang w:val="en-US" w:eastAsia="zh-CN"/>
        </w:rPr>
        <w:t>29</w:t>
      </w:r>
      <w:r>
        <w:rPr>
          <w:rFonts w:hint="eastAsia" w:ascii="宋体" w:hAnsi="宋体" w:cs="仿宋"/>
          <w:sz w:val="24"/>
          <w:szCs w:val="24"/>
        </w:rPr>
        <w:t>日北京时间15:00</w:t>
      </w:r>
    </w:p>
    <w:p w14:paraId="0A3944EA">
      <w:pPr>
        <w:spacing w:line="400" w:lineRule="exact"/>
        <w:ind w:firstLine="480" w:firstLineChars="200"/>
        <w:outlineLvl w:val="2"/>
        <w:rPr>
          <w:rFonts w:ascii="宋体" w:hAnsi="宋体" w:cs="仿宋"/>
          <w:sz w:val="24"/>
          <w:szCs w:val="24"/>
        </w:rPr>
      </w:pPr>
      <w:r>
        <w:rPr>
          <w:rFonts w:hint="eastAsia" w:ascii="宋体" w:hAnsi="宋体" w:cs="仿宋"/>
          <w:sz w:val="24"/>
          <w:szCs w:val="24"/>
        </w:rPr>
        <w:t>（八）在报名和竞争性比选文件发售期内购买了竞争性比选文件的供应商，其响应文件才会被接收,</w:t>
      </w:r>
      <w:r>
        <w:rPr>
          <w:rFonts w:hint="eastAsia" w:hAnsi="宋体" w:cs="仿宋"/>
          <w:sz w:val="24"/>
          <w:szCs w:val="24"/>
        </w:rPr>
        <w:t>否则其响应文件将会被拒收。</w:t>
      </w:r>
    </w:p>
    <w:p w14:paraId="B4BBA7BF">
      <w:pPr>
        <w:spacing w:line="400" w:lineRule="exact"/>
        <w:ind w:firstLine="482" w:firstLineChars="200"/>
        <w:outlineLvl w:val="2"/>
        <w:rPr>
          <w:rFonts w:ascii="宋体" w:hAnsi="宋体" w:cs="仿宋"/>
          <w:b/>
          <w:sz w:val="24"/>
          <w:szCs w:val="24"/>
        </w:rPr>
      </w:pPr>
      <w:bookmarkStart w:id="11" w:name="_Toc4355"/>
      <w:bookmarkStart w:id="12" w:name="_Toc479668114"/>
      <w:bookmarkStart w:id="13" w:name="_Toc2945"/>
      <w:bookmarkStart w:id="14" w:name="_Toc65660335"/>
      <w:bookmarkStart w:id="15" w:name="_Toc106034626"/>
      <w:bookmarkStart w:id="16" w:name="_Toc525047162"/>
      <w:bookmarkStart w:id="17" w:name="_Toc521053054"/>
      <w:r>
        <w:rPr>
          <w:rFonts w:hint="eastAsia" w:ascii="宋体" w:hAnsi="宋体" w:cs="仿宋"/>
          <w:b/>
          <w:sz w:val="24"/>
          <w:szCs w:val="24"/>
        </w:rPr>
        <w:t>五、采购项目需落实的政府采购政策</w:t>
      </w:r>
      <w:bookmarkEnd w:id="11"/>
      <w:bookmarkEnd w:id="12"/>
      <w:bookmarkEnd w:id="13"/>
      <w:bookmarkEnd w:id="14"/>
      <w:bookmarkEnd w:id="15"/>
      <w:bookmarkEnd w:id="16"/>
      <w:bookmarkEnd w:id="17"/>
    </w:p>
    <w:p w14:paraId="BD32DB1D">
      <w:pPr>
        <w:spacing w:line="400" w:lineRule="exact"/>
        <w:ind w:firstLine="480" w:firstLineChars="200"/>
        <w:outlineLvl w:val="2"/>
        <w:rPr>
          <w:rFonts w:ascii="宋体" w:hAnsi="宋体" w:cs="仿宋"/>
          <w:sz w:val="24"/>
          <w:szCs w:val="24"/>
        </w:rPr>
      </w:pPr>
      <w:r>
        <w:rPr>
          <w:rFonts w:hint="eastAsia" w:ascii="宋体" w:hAnsi="宋体" w:cs="仿宋"/>
          <w:sz w:val="24"/>
          <w:szCs w:val="24"/>
        </w:rPr>
        <w:t>（一）按照《财政部 生态环境部关于印发环境标志产品政府采购品目清单的通知》（财库〔2019〕18号）和《财政部 发展改革委关于</w:t>
      </w:r>
      <w:bookmarkStart w:id="21" w:name="_GoBack"/>
      <w:bookmarkEnd w:id="21"/>
      <w:r>
        <w:rPr>
          <w:rFonts w:hint="eastAsia" w:ascii="宋体" w:hAnsi="宋体" w:cs="仿宋"/>
          <w:sz w:val="24"/>
          <w:szCs w:val="24"/>
        </w:rPr>
        <w:t>印发节能产品政府采购品目清单的通知》（财库〔2019〕19号）的规定，落实国家节能环保政策。</w:t>
      </w:r>
    </w:p>
    <w:p w14:paraId="79BA5518">
      <w:pPr>
        <w:spacing w:line="400" w:lineRule="exact"/>
        <w:ind w:firstLine="480" w:firstLineChars="200"/>
        <w:outlineLvl w:val="2"/>
        <w:rPr>
          <w:rFonts w:ascii="宋体" w:hAnsi="宋体" w:cs="仿宋"/>
          <w:sz w:val="24"/>
          <w:szCs w:val="24"/>
        </w:rPr>
      </w:pPr>
      <w:r>
        <w:rPr>
          <w:rFonts w:hint="eastAsia" w:ascii="宋体" w:hAnsi="宋体" w:cs="仿宋"/>
          <w:sz w:val="24"/>
          <w:szCs w:val="24"/>
        </w:rPr>
        <w:t>（二）按照财政部、工业和信息化部关于印发《政府采购促进中小企业发展管理办法》的通知（财库〔2020〕46号），落实促进中小企业发展政策。</w:t>
      </w:r>
    </w:p>
    <w:p w14:paraId="1E665318">
      <w:pPr>
        <w:spacing w:line="400" w:lineRule="exact"/>
        <w:ind w:firstLine="480" w:firstLineChars="200"/>
        <w:outlineLvl w:val="2"/>
        <w:rPr>
          <w:rFonts w:ascii="宋体" w:hAnsi="宋体" w:cs="仿宋"/>
          <w:sz w:val="24"/>
          <w:szCs w:val="24"/>
        </w:rPr>
      </w:pPr>
      <w:r>
        <w:rPr>
          <w:rFonts w:hint="eastAsia" w:ascii="宋体" w:hAnsi="宋体" w:cs="仿宋"/>
          <w:sz w:val="24"/>
          <w:szCs w:val="24"/>
        </w:rPr>
        <w:t>（三）按照《财政部、司法部关于政府采购支持监狱企业发展有关问题的通知》（财库〔2014〕68号）的规定，落实支持监狱企业发展政策。</w:t>
      </w:r>
    </w:p>
    <w:p w14:paraId="7B295962">
      <w:pPr>
        <w:spacing w:line="400" w:lineRule="exact"/>
        <w:ind w:firstLine="480" w:firstLineChars="200"/>
        <w:outlineLvl w:val="2"/>
        <w:rPr>
          <w:rFonts w:ascii="宋体" w:hAnsi="宋体" w:cs="仿宋"/>
          <w:sz w:val="24"/>
          <w:szCs w:val="24"/>
        </w:rPr>
      </w:pPr>
      <w:r>
        <w:rPr>
          <w:rFonts w:hint="eastAsia" w:ascii="宋体" w:hAnsi="宋体" w:cs="仿宋"/>
          <w:sz w:val="24"/>
          <w:szCs w:val="24"/>
        </w:rPr>
        <w:t>（四）按照《三部门联合发布关于促进残疾人就业政府采购政策的通知》（财库〔2017〕 141号）的规定，落实支持残疾人福利性单位发展政策。</w:t>
      </w:r>
    </w:p>
    <w:p w14:paraId="A07CFA72">
      <w:pPr>
        <w:pStyle w:val="5"/>
        <w:spacing w:line="500" w:lineRule="exact"/>
        <w:ind w:firstLine="482" w:firstLineChars="200"/>
        <w:rPr>
          <w:rFonts w:cs="仿宋"/>
          <w:b/>
          <w:sz w:val="24"/>
          <w:szCs w:val="24"/>
        </w:rPr>
      </w:pPr>
      <w:r>
        <w:rPr>
          <w:rFonts w:hint="eastAsia" w:cs="仿宋"/>
          <w:b/>
          <w:sz w:val="24"/>
          <w:szCs w:val="24"/>
        </w:rPr>
        <w:t>六、比选申请有关规定</w:t>
      </w:r>
      <w:bookmarkEnd w:id="8"/>
      <w:bookmarkEnd w:id="9"/>
      <w:bookmarkEnd w:id="10"/>
    </w:p>
    <w:p w14:paraId="13C2D906">
      <w:pPr>
        <w:snapToGrid w:val="0"/>
        <w:spacing w:line="400" w:lineRule="exact"/>
        <w:ind w:firstLine="480" w:firstLineChars="200"/>
        <w:rPr>
          <w:rFonts w:ascii="宋体" w:hAnsi="宋体" w:cs="仿宋"/>
          <w:sz w:val="24"/>
          <w:szCs w:val="24"/>
        </w:rPr>
      </w:pPr>
      <w:r>
        <w:rPr>
          <w:rFonts w:hint="eastAsia" w:ascii="宋体" w:hAnsi="宋体" w:cs="仿宋"/>
          <w:sz w:val="24"/>
          <w:szCs w:val="24"/>
        </w:rPr>
        <w:t>（一）单位负责人为同一人或者存在直接控股、管理关系的不同供应商，不得参加同一合同项（分包）下的竞争性比选活动。</w:t>
      </w:r>
    </w:p>
    <w:p w14:paraId="005DFFF9">
      <w:pPr>
        <w:snapToGrid w:val="0"/>
        <w:spacing w:line="400" w:lineRule="exact"/>
        <w:ind w:firstLine="480" w:firstLineChars="200"/>
        <w:rPr>
          <w:rFonts w:ascii="宋体" w:hAnsi="宋体" w:cs="仿宋"/>
          <w:sz w:val="24"/>
          <w:szCs w:val="24"/>
        </w:rPr>
      </w:pPr>
      <w:r>
        <w:rPr>
          <w:rFonts w:hint="eastAsia" w:ascii="宋体" w:hAnsi="宋体" w:cs="仿宋"/>
          <w:sz w:val="24"/>
          <w:szCs w:val="24"/>
        </w:rPr>
        <w:t>（二）本项目若有补遗文件一律以书面形式通知各供应商，请各供应商注意查收邮件或到比选代理机构领取；无论供应商下载或领取与否，均视同供应商已知晓本项目补遗文件的内容。</w:t>
      </w:r>
    </w:p>
    <w:p w14:paraId="B7786A2C">
      <w:pPr>
        <w:snapToGrid w:val="0"/>
        <w:spacing w:line="400" w:lineRule="exact"/>
        <w:ind w:firstLine="480" w:firstLineChars="200"/>
        <w:rPr>
          <w:rFonts w:ascii="宋体" w:hAnsi="宋体" w:cs="仿宋"/>
          <w:sz w:val="24"/>
          <w:szCs w:val="24"/>
        </w:rPr>
      </w:pPr>
      <w:r>
        <w:rPr>
          <w:rFonts w:hint="eastAsia" w:ascii="宋体" w:hAnsi="宋体" w:cs="仿宋"/>
          <w:sz w:val="24"/>
          <w:szCs w:val="24"/>
        </w:rPr>
        <w:t>（三）超过比选申请截止时间递交的响应文件或未按照竞争性比选文件要求密封和标记的响应文件，恕不接收。</w:t>
      </w:r>
    </w:p>
    <w:p w14:paraId="86604DDA">
      <w:pPr>
        <w:snapToGrid w:val="0"/>
        <w:spacing w:line="400" w:lineRule="exact"/>
        <w:ind w:firstLine="480" w:firstLineChars="200"/>
        <w:rPr>
          <w:rFonts w:ascii="宋体" w:hAnsi="宋体" w:cs="仿宋"/>
          <w:sz w:val="24"/>
          <w:szCs w:val="24"/>
        </w:rPr>
      </w:pPr>
      <w:r>
        <w:rPr>
          <w:rFonts w:hint="eastAsia" w:ascii="宋体" w:hAnsi="宋体" w:cs="仿宋"/>
          <w:sz w:val="24"/>
          <w:szCs w:val="24"/>
        </w:rPr>
        <w:t>（四）比选申请费用：无论比选申请结果如何，供应商参与本项目比选申请的所有费用均应由供应商自行承担。</w:t>
      </w:r>
    </w:p>
    <w:p w14:paraId="AE353070">
      <w:pPr>
        <w:snapToGrid w:val="0"/>
        <w:spacing w:line="400" w:lineRule="exact"/>
        <w:ind w:firstLine="480" w:firstLineChars="200"/>
        <w:rPr>
          <w:rFonts w:ascii="宋体" w:hAnsi="宋体" w:cs="仿宋"/>
          <w:sz w:val="24"/>
          <w:szCs w:val="24"/>
        </w:rPr>
      </w:pPr>
      <w:r>
        <w:rPr>
          <w:rFonts w:hint="eastAsia" w:ascii="宋体" w:hAnsi="宋体" w:cs="仿宋"/>
          <w:sz w:val="24"/>
          <w:szCs w:val="24"/>
        </w:rPr>
        <w:t>（五）本项目不接受联合体参与比选申请。</w:t>
      </w:r>
    </w:p>
    <w:p w14:paraId="798BD8AD">
      <w:pPr>
        <w:snapToGrid w:val="0"/>
        <w:spacing w:line="400" w:lineRule="exact"/>
        <w:ind w:firstLine="480" w:firstLineChars="200"/>
        <w:rPr>
          <w:rFonts w:ascii="宋体" w:hAnsi="宋体" w:cs="仿宋"/>
          <w:sz w:val="24"/>
          <w:szCs w:val="24"/>
        </w:rPr>
      </w:pPr>
      <w:r>
        <w:rPr>
          <w:rFonts w:hint="eastAsia" w:ascii="宋体" w:hAnsi="宋体" w:cs="仿宋"/>
          <w:sz w:val="24"/>
          <w:szCs w:val="24"/>
        </w:rPr>
        <w:t>（六）竞争性比选文件的解释权归比选人所有。</w:t>
      </w:r>
    </w:p>
    <w:p w14:paraId="4B0EE515">
      <w:pPr>
        <w:pStyle w:val="2"/>
        <w:ind w:firstLine="241" w:firstLineChars="100"/>
        <w:outlineLvl w:val="1"/>
        <w:rPr>
          <w:rFonts w:ascii="宋体" w:hAnsi="宋体" w:eastAsia="宋体" w:cs="仿宋"/>
          <w:b/>
          <w:sz w:val="24"/>
          <w:szCs w:val="24"/>
        </w:rPr>
      </w:pPr>
      <w:r>
        <w:rPr>
          <w:rFonts w:hint="eastAsia" w:ascii="宋体" w:hAnsi="宋体" w:eastAsia="宋体" w:cs="仿宋"/>
          <w:b/>
          <w:sz w:val="24"/>
          <w:szCs w:val="24"/>
        </w:rPr>
        <w:t>七、</w:t>
      </w:r>
      <w:bookmarkStart w:id="18" w:name="_Toc32314625"/>
      <w:r>
        <w:rPr>
          <w:rFonts w:hint="eastAsia" w:ascii="宋体" w:hAnsi="宋体" w:eastAsia="宋体" w:cs="仿宋"/>
          <w:b/>
          <w:sz w:val="24"/>
          <w:szCs w:val="24"/>
        </w:rPr>
        <w:t>发布公告的媒介</w:t>
      </w:r>
      <w:bookmarkEnd w:id="18"/>
    </w:p>
    <w:p w14:paraId="D4DA6C7F">
      <w:pPr>
        <w:pStyle w:val="2"/>
        <w:ind w:firstLine="480" w:firstLineChars="200"/>
        <w:rPr>
          <w:sz w:val="24"/>
          <w:szCs w:val="24"/>
        </w:rPr>
      </w:pPr>
      <w:r>
        <w:rPr>
          <w:rFonts w:hint="eastAsia" w:ascii="宋体" w:hAnsi="宋体" w:eastAsia="宋体" w:cs="仿宋"/>
          <w:sz w:val="24"/>
          <w:szCs w:val="24"/>
        </w:rPr>
        <w:t>本次比选公告在“行采家”平台（https://www.gec123.com）上发布。</w:t>
      </w:r>
    </w:p>
    <w:p w14:paraId="8976E051">
      <w:pPr>
        <w:pStyle w:val="5"/>
        <w:spacing w:line="500" w:lineRule="exact"/>
        <w:ind w:firstLine="482" w:firstLineChars="200"/>
        <w:rPr>
          <w:rFonts w:cs="仿宋"/>
          <w:b/>
          <w:sz w:val="24"/>
          <w:szCs w:val="24"/>
        </w:rPr>
      </w:pPr>
      <w:bookmarkStart w:id="19" w:name="_Toc16913"/>
      <w:bookmarkStart w:id="20" w:name="_Toc43919244"/>
      <w:r>
        <w:rPr>
          <w:rFonts w:hint="eastAsia" w:cs="仿宋"/>
          <w:b/>
          <w:sz w:val="24"/>
          <w:szCs w:val="24"/>
        </w:rPr>
        <w:t>八、联系方式</w:t>
      </w:r>
      <w:bookmarkEnd w:id="19"/>
      <w:bookmarkEnd w:id="20"/>
    </w:p>
    <w:p w14:paraId="4CFFECE8">
      <w:pPr>
        <w:snapToGrid w:val="0"/>
        <w:spacing w:line="400" w:lineRule="exact"/>
        <w:ind w:firstLine="480" w:firstLineChars="200"/>
        <w:outlineLvl w:val="2"/>
        <w:rPr>
          <w:rFonts w:ascii="宋体" w:hAnsi="宋体" w:cs="仿宋"/>
          <w:sz w:val="24"/>
          <w:szCs w:val="24"/>
        </w:rPr>
      </w:pPr>
      <w:r>
        <w:rPr>
          <w:rFonts w:hint="eastAsia" w:ascii="宋体" w:hAnsi="宋体" w:cs="仿宋"/>
          <w:sz w:val="24"/>
          <w:szCs w:val="24"/>
        </w:rPr>
        <w:t>（一）比选人：重庆一中寄宿学校</w:t>
      </w:r>
    </w:p>
    <w:p w14:paraId="952973A6">
      <w:pPr>
        <w:snapToGrid w:val="0"/>
        <w:spacing w:line="400" w:lineRule="exact"/>
        <w:ind w:firstLine="480" w:firstLineChars="200"/>
        <w:rPr>
          <w:rFonts w:ascii="宋体" w:hAnsi="宋体" w:cs="仿宋"/>
          <w:sz w:val="24"/>
          <w:szCs w:val="24"/>
        </w:rPr>
      </w:pPr>
      <w:r>
        <w:rPr>
          <w:rFonts w:hint="eastAsia" w:ascii="宋体" w:hAnsi="宋体" w:cs="仿宋"/>
          <w:sz w:val="24"/>
          <w:szCs w:val="24"/>
        </w:rPr>
        <w:t>联系人：刘老师</w:t>
      </w:r>
    </w:p>
    <w:p w14:paraId="2CB11584">
      <w:pPr>
        <w:snapToGrid w:val="0"/>
        <w:spacing w:line="400" w:lineRule="exact"/>
        <w:ind w:firstLine="480" w:firstLineChars="200"/>
        <w:rPr>
          <w:rFonts w:ascii="宋体" w:hAnsi="宋体" w:cs="仿宋"/>
          <w:sz w:val="24"/>
          <w:szCs w:val="24"/>
        </w:rPr>
      </w:pPr>
      <w:r>
        <w:rPr>
          <w:rFonts w:hint="eastAsia" w:ascii="宋体" w:hAnsi="宋体" w:cs="仿宋"/>
          <w:sz w:val="24"/>
          <w:szCs w:val="24"/>
        </w:rPr>
        <w:t>电  话</w:t>
      </w:r>
      <w:r>
        <w:rPr>
          <w:rFonts w:ascii="宋体" w:hAnsi="宋体" w:cs="仿宋"/>
          <w:sz w:val="24"/>
          <w:szCs w:val="24"/>
        </w:rPr>
        <w:t>：</w:t>
      </w:r>
      <w:r>
        <w:rPr>
          <w:rFonts w:hint="eastAsia" w:ascii="宋体" w:hAnsi="宋体" w:cs="仿宋"/>
          <w:sz w:val="24"/>
          <w:szCs w:val="24"/>
        </w:rPr>
        <w:t>023-81925058</w:t>
      </w:r>
    </w:p>
    <w:p w14:paraId="4CC3CCCC">
      <w:pPr>
        <w:snapToGrid w:val="0"/>
        <w:spacing w:line="400" w:lineRule="exact"/>
        <w:ind w:firstLine="480" w:firstLineChars="200"/>
        <w:rPr>
          <w:rFonts w:ascii="宋体" w:hAnsi="宋体" w:cs="仿宋"/>
          <w:sz w:val="24"/>
          <w:szCs w:val="24"/>
        </w:rPr>
      </w:pPr>
      <w:r>
        <w:rPr>
          <w:rFonts w:hint="eastAsia" w:ascii="宋体" w:hAnsi="宋体" w:cs="仿宋"/>
          <w:sz w:val="24"/>
          <w:szCs w:val="24"/>
        </w:rPr>
        <w:t>地  址：重庆市渝北区双湖路266号</w:t>
      </w:r>
    </w:p>
    <w:p w14:paraId="6AD377EC">
      <w:pPr>
        <w:snapToGrid w:val="0"/>
        <w:spacing w:line="400" w:lineRule="exact"/>
        <w:ind w:firstLine="480" w:firstLineChars="200"/>
        <w:rPr>
          <w:rFonts w:ascii="宋体" w:hAnsi="宋体" w:cs="仿宋"/>
          <w:sz w:val="24"/>
          <w:szCs w:val="24"/>
        </w:rPr>
      </w:pPr>
      <w:r>
        <w:rPr>
          <w:rFonts w:hint="eastAsia" w:ascii="宋体" w:hAnsi="宋体" w:cs="仿宋"/>
          <w:sz w:val="24"/>
          <w:szCs w:val="24"/>
        </w:rPr>
        <w:t>（二）比选代理机构：重庆大正建设工程经济技术有限公司</w:t>
      </w:r>
    </w:p>
    <w:p w14:paraId="C2889775">
      <w:pPr>
        <w:snapToGrid w:val="0"/>
        <w:spacing w:line="400" w:lineRule="exact"/>
        <w:ind w:firstLine="480" w:firstLineChars="200"/>
        <w:rPr>
          <w:rFonts w:ascii="宋体" w:hAnsi="宋体" w:cs="仿宋"/>
          <w:sz w:val="24"/>
          <w:szCs w:val="24"/>
        </w:rPr>
      </w:pPr>
      <w:r>
        <w:rPr>
          <w:rFonts w:hint="eastAsia" w:ascii="宋体" w:hAnsi="宋体" w:cs="仿宋"/>
          <w:sz w:val="24"/>
          <w:szCs w:val="24"/>
        </w:rPr>
        <w:t>联系人：吴老师</w:t>
      </w:r>
    </w:p>
    <w:p w14:paraId="0665CC24">
      <w:pPr>
        <w:snapToGrid w:val="0"/>
        <w:spacing w:line="400" w:lineRule="exact"/>
        <w:ind w:firstLine="480" w:firstLineChars="200"/>
        <w:rPr>
          <w:rFonts w:ascii="宋体" w:hAnsi="宋体" w:cs="仿宋"/>
          <w:sz w:val="24"/>
          <w:szCs w:val="24"/>
        </w:rPr>
      </w:pPr>
      <w:r>
        <w:rPr>
          <w:rFonts w:hint="eastAsia" w:ascii="宋体" w:hAnsi="宋体" w:cs="仿宋"/>
          <w:sz w:val="24"/>
          <w:szCs w:val="24"/>
        </w:rPr>
        <w:t>电  话：13308356622</w:t>
      </w:r>
    </w:p>
    <w:p w14:paraId="85FE7ED9">
      <w:pPr>
        <w:snapToGrid w:val="0"/>
        <w:spacing w:line="400" w:lineRule="exact"/>
        <w:ind w:firstLine="480" w:firstLineChars="200"/>
        <w:rPr>
          <w:rFonts w:ascii="宋体" w:hAnsi="宋体" w:cs="仿宋"/>
          <w:sz w:val="24"/>
          <w:szCs w:val="24"/>
        </w:rPr>
      </w:pPr>
      <w:r>
        <w:rPr>
          <w:rFonts w:hint="eastAsia" w:ascii="宋体" w:hAnsi="宋体" w:cs="仿宋"/>
          <w:sz w:val="24"/>
          <w:szCs w:val="24"/>
        </w:rPr>
        <w:t>地  址：重庆市渝中区邹容路131号（临江门地铁站3号出口）世贸大厦41楼4101室</w:t>
      </w:r>
    </w:p>
    <w:p w14:paraId="23F9A8D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2C4301"/>
    <w:rsid w:val="272C4301"/>
    <w:rsid w:val="4E5959D6"/>
    <w:rsid w:val="62487C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8"/>
      <w:lang w:val="en-US" w:eastAsia="zh-CN" w:bidi="ar-SA"/>
    </w:rPr>
  </w:style>
  <w:style w:type="paragraph" w:styleId="4">
    <w:name w:val="heading 1"/>
    <w:basedOn w:val="1"/>
    <w:next w:val="1"/>
    <w:qFormat/>
    <w:uiPriority w:val="0"/>
    <w:pPr>
      <w:keepNext/>
      <w:tabs>
        <w:tab w:val="left" w:pos="3360"/>
      </w:tabs>
      <w:snapToGrid w:val="0"/>
      <w:spacing w:beforeLines="100" w:afterLines="50" w:line="800" w:lineRule="atLeast"/>
      <w:jc w:val="center"/>
      <w:outlineLvl w:val="0"/>
    </w:pPr>
    <w:rPr>
      <w:rFonts w:eastAsia="黑体"/>
      <w:kern w:val="0"/>
      <w:sz w:val="44"/>
    </w:rPr>
  </w:style>
  <w:style w:type="paragraph" w:styleId="5">
    <w:name w:val="heading 2"/>
    <w:basedOn w:val="1"/>
    <w:next w:val="1"/>
    <w:qFormat/>
    <w:uiPriority w:val="0"/>
    <w:pPr>
      <w:keepNext/>
      <w:keepLines/>
      <w:adjustRightInd w:val="0"/>
      <w:snapToGrid w:val="0"/>
      <w:spacing w:line="360" w:lineRule="auto"/>
      <w:outlineLvl w:val="1"/>
    </w:pPr>
    <w:rPr>
      <w:rFonts w:ascii="宋体" w:hAnsi="宋体"/>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rPr>
      <w:rFonts w:ascii="仿宋_GB2312" w:eastAsia="仿宋_GB2312"/>
      <w:sz w:val="32"/>
    </w:rPr>
  </w:style>
  <w:style w:type="paragraph" w:styleId="3">
    <w:name w:val="Quote"/>
    <w:basedOn w:val="1"/>
    <w:next w:val="1"/>
    <w:qFormat/>
    <w:uiPriority w:val="99"/>
    <w:pPr>
      <w:widowControl/>
      <w:spacing w:before="100" w:after="200" w:line="276" w:lineRule="auto"/>
      <w:jc w:val="left"/>
    </w:pPr>
    <w:rPr>
      <w:i/>
      <w:iCs/>
      <w:kern w:val="0"/>
      <w:sz w:val="24"/>
    </w:rPr>
  </w:style>
  <w:style w:type="paragraph" w:styleId="6">
    <w:name w:val="Normal Indent"/>
    <w:basedOn w:val="1"/>
    <w:qFormat/>
    <w:uiPriority w:val="0"/>
    <w:pPr>
      <w:adjustRightInd w:val="0"/>
      <w:snapToGrid w:val="0"/>
      <w:spacing w:line="360" w:lineRule="auto"/>
      <w:ind w:firstLine="420"/>
    </w:pPr>
    <w:rPr>
      <w:sz w:val="24"/>
    </w:rPr>
  </w:style>
  <w:style w:type="paragraph" w:styleId="7">
    <w:name w:val="Body Text Indent"/>
    <w:basedOn w:val="1"/>
    <w:qFormat/>
    <w:uiPriority w:val="0"/>
    <w:pPr>
      <w:spacing w:line="700" w:lineRule="exact"/>
      <w:ind w:left="960"/>
    </w:pPr>
    <w:rPr>
      <w:sz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3</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2025-04-23T11:39:00Z</dcterms:created>
  <dc:creator>木子李</dc:creator>
  <cp:lastModifiedBy>木子李</cp:lastModifiedBy>
  <dcterms:modified xsi:type="dcterms:W3CDTF">2025-04-23T11:46:05Z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C8E60765588049C28A07D69D2D81570A_11</vt:lpwstr>
  </property>
  <property fmtid="{D5CDD505-2E9C-101B-9397-08002B2CF9AE}" pid="4" name="KSOTemplateDocerSaveRecord">
    <vt:lpwstr>eyJoZGlkIjoiYjAwNzNlMjM2ZGFmOGE3YzE0ODMyYmIyNzVjNjM2NWYiLCJ1c2VySWQiOiIxMTUyNDQyNjA1In0=</vt:lpwstr>
  </property>
</Properties>
</file>