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F035E">
      <w:pPr>
        <w:spacing w:after="120"/>
        <w:jc w:val="center"/>
        <w:rPr>
          <w:rFonts w:hint="eastAsia" w:ascii="宋体" w:hAnsi="宋体" w:eastAsia="宋体" w:cs="宋体"/>
          <w:b/>
          <w:szCs w:val="21"/>
        </w:rPr>
      </w:pPr>
      <w:r>
        <w:rPr>
          <w:rFonts w:hint="eastAsia" w:ascii="宋体" w:hAnsi="宋体" w:eastAsia="宋体" w:cs="宋体"/>
          <w:b/>
          <w:szCs w:val="21"/>
        </w:rPr>
        <w:t>重庆实验中学云桌面服务器资源扩容方案</w:t>
      </w:r>
    </w:p>
    <w:tbl>
      <w:tblPr>
        <w:tblStyle w:val="2"/>
        <w:tblW w:w="56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24"/>
        <w:gridCol w:w="5274"/>
        <w:gridCol w:w="897"/>
        <w:gridCol w:w="1154"/>
        <w:gridCol w:w="1263"/>
      </w:tblGrid>
      <w:tr w14:paraId="7D17F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579" w:type="pct"/>
            <w:tcBorders>
              <w:top w:val="single" w:color="000000" w:sz="4" w:space="0"/>
              <w:left w:val="single" w:color="000000" w:sz="4" w:space="0"/>
              <w:bottom w:val="single" w:color="000000" w:sz="4" w:space="0"/>
              <w:right w:val="single" w:color="000000" w:sz="4" w:space="0"/>
            </w:tcBorders>
            <w:vAlign w:val="center"/>
          </w:tcPr>
          <w:p w14:paraId="32C4D16D">
            <w:pPr>
              <w:spacing w:after="120"/>
              <w:jc w:val="center"/>
              <w:rPr>
                <w:rFonts w:hint="eastAsia" w:ascii="宋体" w:hAnsi="宋体" w:eastAsia="宋体"/>
                <w:b/>
                <w:szCs w:val="21"/>
                <w:lang w:val="en-AU" w:eastAsia="en-US"/>
              </w:rPr>
            </w:pPr>
            <w:r>
              <w:rPr>
                <w:rFonts w:hint="eastAsia" w:ascii="宋体" w:hAnsi="宋体" w:eastAsia="宋体" w:cs="宋体"/>
                <w:b/>
                <w:szCs w:val="21"/>
              </w:rPr>
              <w:t>产</w:t>
            </w:r>
            <w:r>
              <w:rPr>
                <w:rFonts w:hint="eastAsia" w:ascii="宋体" w:hAnsi="宋体" w:eastAsia="宋体" w:cs="MS Mincho"/>
                <w:b/>
                <w:szCs w:val="21"/>
              </w:rPr>
              <w:t>品名</w:t>
            </w:r>
            <w:r>
              <w:rPr>
                <w:rFonts w:hint="eastAsia" w:ascii="宋体" w:hAnsi="宋体" w:eastAsia="宋体"/>
                <w:b/>
                <w:szCs w:val="21"/>
              </w:rPr>
              <w:t>称</w:t>
            </w:r>
          </w:p>
        </w:tc>
        <w:tc>
          <w:tcPr>
            <w:tcW w:w="2715" w:type="pct"/>
            <w:tcBorders>
              <w:top w:val="single" w:color="000000" w:sz="4" w:space="0"/>
              <w:left w:val="single" w:color="000000" w:sz="4" w:space="0"/>
              <w:bottom w:val="single" w:color="000000" w:sz="4" w:space="0"/>
              <w:right w:val="single" w:color="000000" w:sz="4" w:space="0"/>
            </w:tcBorders>
            <w:vAlign w:val="center"/>
          </w:tcPr>
          <w:p w14:paraId="43A32009">
            <w:pPr>
              <w:spacing w:after="120"/>
              <w:jc w:val="center"/>
              <w:rPr>
                <w:rFonts w:hint="eastAsia" w:ascii="宋体" w:hAnsi="宋体" w:eastAsia="宋体"/>
                <w:b/>
                <w:szCs w:val="21"/>
                <w:lang w:val="en-AU" w:eastAsia="en-US"/>
              </w:rPr>
            </w:pPr>
            <w:r>
              <w:rPr>
                <w:rFonts w:hint="eastAsia" w:ascii="宋体" w:hAnsi="宋体" w:eastAsia="宋体"/>
                <w:b/>
                <w:szCs w:val="21"/>
              </w:rPr>
              <w:t>配置</w:t>
            </w:r>
          </w:p>
        </w:tc>
        <w:tc>
          <w:tcPr>
            <w:tcW w:w="462" w:type="pct"/>
            <w:tcBorders>
              <w:top w:val="single" w:color="000000" w:sz="4" w:space="0"/>
              <w:left w:val="single" w:color="000000" w:sz="4" w:space="0"/>
              <w:bottom w:val="single" w:color="000000" w:sz="4" w:space="0"/>
              <w:right w:val="single" w:color="000000" w:sz="4" w:space="0"/>
            </w:tcBorders>
            <w:vAlign w:val="center"/>
          </w:tcPr>
          <w:p w14:paraId="6410C026">
            <w:pPr>
              <w:spacing w:after="120"/>
              <w:jc w:val="center"/>
              <w:rPr>
                <w:rFonts w:hint="eastAsia" w:ascii="宋体" w:hAnsi="宋体" w:eastAsia="宋体"/>
                <w:b/>
                <w:szCs w:val="21"/>
                <w:lang w:val="en-AU" w:eastAsia="en-US"/>
              </w:rPr>
            </w:pPr>
            <w:r>
              <w:rPr>
                <w:rFonts w:hint="eastAsia" w:ascii="宋体" w:hAnsi="宋体" w:eastAsia="宋体"/>
                <w:b/>
                <w:szCs w:val="21"/>
              </w:rPr>
              <w:t>数量</w:t>
            </w:r>
          </w:p>
        </w:tc>
        <w:tc>
          <w:tcPr>
            <w:tcW w:w="594" w:type="pct"/>
            <w:tcBorders>
              <w:top w:val="single" w:color="000000" w:sz="4" w:space="0"/>
              <w:left w:val="single" w:color="000000" w:sz="4" w:space="0"/>
              <w:bottom w:val="single" w:color="000000" w:sz="4" w:space="0"/>
              <w:right w:val="single" w:color="000000" w:sz="4" w:space="0"/>
            </w:tcBorders>
            <w:vAlign w:val="center"/>
          </w:tcPr>
          <w:p w14:paraId="71A86B8F">
            <w:pPr>
              <w:spacing w:after="120"/>
              <w:jc w:val="center"/>
              <w:rPr>
                <w:rFonts w:hint="eastAsia" w:ascii="宋体" w:hAnsi="宋体" w:eastAsia="宋体"/>
                <w:b/>
                <w:szCs w:val="21"/>
              </w:rPr>
            </w:pPr>
            <w:r>
              <w:rPr>
                <w:rFonts w:hint="eastAsia" w:ascii="宋体" w:hAnsi="宋体" w:eastAsia="宋体"/>
                <w:b/>
                <w:szCs w:val="21"/>
              </w:rPr>
              <w:t>单</w:t>
            </w:r>
            <w:r>
              <w:rPr>
                <w:rFonts w:ascii="宋体" w:hAnsi="宋体" w:eastAsia="宋体"/>
                <w:b/>
                <w:szCs w:val="21"/>
              </w:rPr>
              <w:t>价</w:t>
            </w:r>
          </w:p>
        </w:tc>
        <w:tc>
          <w:tcPr>
            <w:tcW w:w="650" w:type="pct"/>
            <w:tcBorders>
              <w:top w:val="single" w:color="000000" w:sz="4" w:space="0"/>
              <w:left w:val="single" w:color="000000" w:sz="4" w:space="0"/>
              <w:bottom w:val="single" w:color="000000" w:sz="4" w:space="0"/>
              <w:right w:val="single" w:color="000000" w:sz="4" w:space="0"/>
            </w:tcBorders>
            <w:vAlign w:val="center"/>
          </w:tcPr>
          <w:p w14:paraId="65335385">
            <w:pPr>
              <w:spacing w:after="120"/>
              <w:jc w:val="center"/>
              <w:rPr>
                <w:rFonts w:hint="eastAsia" w:ascii="宋体" w:hAnsi="宋体" w:eastAsia="宋体"/>
                <w:b/>
                <w:szCs w:val="21"/>
              </w:rPr>
            </w:pPr>
            <w:r>
              <w:rPr>
                <w:rFonts w:hint="eastAsia" w:ascii="宋体" w:hAnsi="宋体" w:eastAsia="宋体"/>
                <w:b/>
                <w:szCs w:val="21"/>
              </w:rPr>
              <w:t>小</w:t>
            </w:r>
            <w:r>
              <w:rPr>
                <w:rFonts w:ascii="宋体" w:hAnsi="宋体" w:eastAsia="宋体"/>
                <w:b/>
                <w:szCs w:val="21"/>
              </w:rPr>
              <w:t>计</w:t>
            </w:r>
          </w:p>
        </w:tc>
      </w:tr>
      <w:tr w14:paraId="06740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3" w:hRule="atLeast"/>
          <w:jc w:val="center"/>
        </w:trPr>
        <w:tc>
          <w:tcPr>
            <w:tcW w:w="579" w:type="pct"/>
            <w:tcBorders>
              <w:top w:val="single" w:color="000000" w:sz="4" w:space="0"/>
              <w:left w:val="single" w:color="000000" w:sz="4" w:space="0"/>
              <w:bottom w:val="single" w:color="000000" w:sz="4" w:space="0"/>
              <w:right w:val="single" w:color="000000" w:sz="4" w:space="0"/>
            </w:tcBorders>
            <w:vAlign w:val="center"/>
          </w:tcPr>
          <w:p w14:paraId="1B8C1434">
            <w:pPr>
              <w:spacing w:after="120"/>
              <w:jc w:val="center"/>
              <w:rPr>
                <w:rFonts w:hint="eastAsia" w:ascii="宋体" w:hAnsi="宋体" w:eastAsia="宋体"/>
                <w:szCs w:val="21"/>
              </w:rPr>
            </w:pPr>
            <w:r>
              <w:rPr>
                <w:rFonts w:hint="eastAsia" w:ascii="宋体" w:hAnsi="宋体" w:eastAsia="宋体"/>
                <w:szCs w:val="21"/>
              </w:rPr>
              <w:t>云桌面系统服务器资源扩容</w:t>
            </w:r>
          </w:p>
        </w:tc>
        <w:tc>
          <w:tcPr>
            <w:tcW w:w="2715" w:type="pct"/>
            <w:tcBorders>
              <w:top w:val="single" w:color="000000" w:sz="4" w:space="0"/>
              <w:left w:val="single" w:color="000000" w:sz="4" w:space="0"/>
              <w:bottom w:val="single" w:color="000000" w:sz="4" w:space="0"/>
              <w:right w:val="single" w:color="000000" w:sz="4" w:space="0"/>
            </w:tcBorders>
            <w:vAlign w:val="center"/>
          </w:tcPr>
          <w:p w14:paraId="67EFD6BF">
            <w:pPr>
              <w:jc w:val="left"/>
              <w:rPr>
                <w:rFonts w:hint="eastAsia" w:ascii="宋体" w:hAnsi="宋体" w:eastAsia="宋体"/>
                <w:szCs w:val="21"/>
              </w:rPr>
            </w:pPr>
            <w:r>
              <w:rPr>
                <w:rFonts w:hint="eastAsia" w:ascii="宋体" w:hAnsi="宋体" w:eastAsia="宋体"/>
                <w:szCs w:val="21"/>
              </w:rPr>
              <w:t>1.架构：2U机架式服务器。</w:t>
            </w:r>
          </w:p>
          <w:p w14:paraId="770E3EA4">
            <w:pPr>
              <w:jc w:val="left"/>
              <w:rPr>
                <w:rFonts w:hint="eastAsia" w:ascii="宋体" w:hAnsi="宋体" w:eastAsia="宋体"/>
                <w:szCs w:val="21"/>
              </w:rPr>
            </w:pPr>
            <w:r>
              <w:rPr>
                <w:rFonts w:hint="eastAsia" w:ascii="宋体" w:hAnsi="宋体" w:eastAsia="宋体"/>
                <w:szCs w:val="21"/>
              </w:rPr>
              <w:t>2.处理器：配置2颗Intel至强铂金系列处理器，每处理器主频≥2.7GHz，单颗处理器核数≥24核。</w:t>
            </w:r>
          </w:p>
          <w:p w14:paraId="788610F0">
            <w:pPr>
              <w:jc w:val="left"/>
              <w:rPr>
                <w:rFonts w:hint="eastAsia" w:ascii="宋体" w:hAnsi="宋体" w:eastAsia="宋体"/>
                <w:szCs w:val="21"/>
              </w:rPr>
            </w:pPr>
            <w:r>
              <w:rPr>
                <w:rFonts w:hint="eastAsia" w:ascii="宋体" w:hAnsi="宋体" w:eastAsia="宋体"/>
                <w:szCs w:val="21"/>
              </w:rPr>
              <w:t>3.内存：</w:t>
            </w:r>
            <w:r>
              <w:rPr>
                <w:rFonts w:hint="eastAsia" w:ascii="宋体" w:hAnsi="宋体" w:eastAsia="宋体"/>
                <w:szCs w:val="21"/>
                <w:lang w:val="zh-CN" w:eastAsia="zh-TW"/>
              </w:rPr>
              <w:t>≥</w:t>
            </w:r>
            <w:r>
              <w:rPr>
                <w:rFonts w:hint="eastAsia" w:ascii="宋体" w:hAnsi="宋体" w:eastAsia="宋体"/>
                <w:szCs w:val="21"/>
              </w:rPr>
              <w:t>512GB DDR4内存。</w:t>
            </w:r>
          </w:p>
          <w:p w14:paraId="4A44AEAA">
            <w:pPr>
              <w:jc w:val="left"/>
              <w:rPr>
                <w:rFonts w:hint="eastAsia" w:ascii="宋体" w:hAnsi="宋体" w:eastAsia="宋体"/>
                <w:szCs w:val="21"/>
              </w:rPr>
            </w:pPr>
            <w:r>
              <w:rPr>
                <w:rFonts w:hint="eastAsia" w:ascii="宋体" w:hAnsi="宋体" w:eastAsia="宋体"/>
                <w:szCs w:val="21"/>
              </w:rPr>
              <w:t>4.硬盘：</w:t>
            </w:r>
            <w:r>
              <w:rPr>
                <w:rFonts w:hint="eastAsia" w:ascii="宋体" w:hAnsi="宋体" w:eastAsia="宋体"/>
                <w:szCs w:val="21"/>
                <w:lang w:val="zh-CN" w:eastAsia="zh-TW"/>
              </w:rPr>
              <w:t>≥</w:t>
            </w:r>
            <w:r>
              <w:rPr>
                <w:rFonts w:hint="eastAsia" w:ascii="宋体" w:hAnsi="宋体" w:eastAsia="宋体"/>
                <w:color w:val="000000" w:themeColor="text1"/>
                <w:szCs w:val="21"/>
                <w14:textFill>
                  <w14:solidFill>
                    <w14:schemeClr w14:val="tx1"/>
                  </w14:solidFill>
                </w14:textFill>
              </w:rPr>
              <w:t>7</w:t>
            </w:r>
            <w:r>
              <w:rPr>
                <w:rFonts w:hint="eastAsia" w:ascii="宋体" w:hAnsi="宋体" w:eastAsia="宋体"/>
                <w:szCs w:val="21"/>
              </w:rPr>
              <w:t>块1.92TB SSD硬盘</w:t>
            </w:r>
            <w:r>
              <w:rPr>
                <w:rFonts w:hint="eastAsia" w:ascii="宋体" w:hAnsi="宋体" w:eastAsia="宋体"/>
                <w:szCs w:val="21"/>
                <w:lang w:eastAsia="zh-CN"/>
              </w:rPr>
              <w:t>，</w:t>
            </w:r>
            <w:r>
              <w:rPr>
                <w:rFonts w:hint="eastAsia" w:ascii="宋体" w:hAnsi="宋体" w:eastAsia="宋体"/>
                <w:szCs w:val="21"/>
                <w:lang w:val="en-US" w:eastAsia="zh-CN"/>
              </w:rPr>
              <w:t>支持</w:t>
            </w:r>
            <w:r>
              <w:rPr>
                <w:rFonts w:hint="eastAsia" w:ascii="宋体" w:hAnsi="宋体" w:eastAsia="宋体"/>
                <w:szCs w:val="21"/>
                <w:lang w:val="zh-CN" w:eastAsia="zh-TW"/>
              </w:rPr>
              <w:t>≥</w:t>
            </w:r>
            <w:r>
              <w:rPr>
                <w:rFonts w:hint="eastAsia" w:ascii="宋体" w:hAnsi="宋体" w:eastAsia="宋体"/>
                <w:szCs w:val="21"/>
                <w:lang w:val="en-US" w:eastAsia="zh-CN"/>
              </w:rPr>
              <w:t>10块热拔插硬盘</w:t>
            </w:r>
            <w:r>
              <w:rPr>
                <w:rFonts w:hint="eastAsia" w:ascii="宋体" w:hAnsi="宋体" w:eastAsia="宋体"/>
                <w:szCs w:val="21"/>
              </w:rPr>
              <w:t>。</w:t>
            </w:r>
          </w:p>
          <w:p w14:paraId="47ED83C1">
            <w:pPr>
              <w:jc w:val="left"/>
              <w:rPr>
                <w:rFonts w:hint="eastAsia" w:ascii="宋体" w:hAnsi="宋体" w:eastAsia="宋体"/>
                <w:szCs w:val="21"/>
              </w:rPr>
            </w:pPr>
            <w:r>
              <w:rPr>
                <w:rFonts w:hint="eastAsia" w:ascii="宋体" w:hAnsi="宋体" w:eastAsia="宋体"/>
                <w:szCs w:val="21"/>
              </w:rPr>
              <w:t>5.RAID：配置独立RAID卡，RAID0,1，10，5，6；缓存</w:t>
            </w:r>
            <w:r>
              <w:rPr>
                <w:rFonts w:hint="eastAsia" w:ascii="宋体" w:hAnsi="宋体" w:eastAsia="宋体"/>
                <w:szCs w:val="21"/>
                <w:lang w:eastAsia="zh-TW"/>
              </w:rPr>
              <w:t>≥</w:t>
            </w:r>
            <w:r>
              <w:rPr>
                <w:rFonts w:hint="eastAsia" w:ascii="宋体" w:hAnsi="宋体" w:eastAsia="宋体"/>
                <w:szCs w:val="21"/>
              </w:rPr>
              <w:t>2G。</w:t>
            </w:r>
          </w:p>
          <w:p w14:paraId="7DE44E56">
            <w:pPr>
              <w:jc w:val="left"/>
              <w:rPr>
                <w:rFonts w:hint="eastAsia" w:ascii="宋体" w:hAnsi="宋体" w:eastAsia="宋体"/>
                <w:szCs w:val="21"/>
              </w:rPr>
            </w:pPr>
            <w:r>
              <w:rPr>
                <w:rFonts w:hint="eastAsia" w:ascii="宋体" w:hAnsi="宋体" w:eastAsia="宋体"/>
                <w:szCs w:val="21"/>
              </w:rPr>
              <w:t>6.网卡：配置4个千兆以太网电口。</w:t>
            </w:r>
          </w:p>
          <w:p w14:paraId="652B03D8">
            <w:pPr>
              <w:jc w:val="left"/>
              <w:rPr>
                <w:rFonts w:hint="eastAsia" w:ascii="宋体" w:hAnsi="宋体" w:eastAsia="宋体"/>
                <w:szCs w:val="21"/>
              </w:rPr>
            </w:pPr>
            <w:r>
              <w:rPr>
                <w:rFonts w:hint="eastAsia" w:ascii="宋体" w:hAnsi="宋体" w:eastAsia="宋体"/>
                <w:szCs w:val="21"/>
              </w:rPr>
              <w:t>7.电源：配置2个</w:t>
            </w:r>
            <w:r>
              <w:rPr>
                <w:rFonts w:hint="eastAsia" w:ascii="宋体" w:hAnsi="宋体" w:eastAsia="宋体"/>
                <w:szCs w:val="21"/>
                <w:lang w:val="zh-CN" w:eastAsia="zh-TW"/>
              </w:rPr>
              <w:t>≥</w:t>
            </w:r>
            <w:r>
              <w:rPr>
                <w:rFonts w:hint="eastAsia" w:ascii="宋体" w:hAnsi="宋体" w:eastAsia="宋体"/>
                <w:szCs w:val="21"/>
              </w:rPr>
              <w:t>900W交流电源模块，支持1+1冗余。</w:t>
            </w:r>
          </w:p>
          <w:p w14:paraId="3E3F74B3">
            <w:pPr>
              <w:jc w:val="left"/>
              <w:rPr>
                <w:rFonts w:hint="eastAsia" w:ascii="宋体" w:hAnsi="宋体" w:eastAsia="宋体"/>
                <w:szCs w:val="21"/>
              </w:rPr>
            </w:pPr>
            <w:r>
              <w:rPr>
                <w:rFonts w:hint="eastAsia" w:ascii="宋体" w:hAnsi="宋体" w:eastAsia="宋体"/>
                <w:szCs w:val="21"/>
              </w:rPr>
              <w:t>9.系统：集成维畅云服务器虚拟化软件，维畅云云管平台软件。</w:t>
            </w:r>
          </w:p>
          <w:p w14:paraId="236CBAD7">
            <w:pPr>
              <w:jc w:val="left"/>
              <w:rPr>
                <w:rFonts w:hint="eastAsia" w:ascii="宋体" w:hAnsi="宋体" w:eastAsia="宋体"/>
                <w:szCs w:val="21"/>
              </w:rPr>
            </w:pPr>
            <w:r>
              <w:rPr>
                <w:rFonts w:hint="eastAsia" w:ascii="宋体" w:hAnsi="宋体" w:eastAsia="宋体"/>
                <w:szCs w:val="21"/>
              </w:rPr>
              <w:t>10.安装服务：</w:t>
            </w:r>
          </w:p>
          <w:p w14:paraId="1D488C58">
            <w:pPr>
              <w:jc w:val="left"/>
              <w:rPr>
                <w:rFonts w:hint="eastAsia" w:ascii="宋体" w:hAnsi="宋体" w:eastAsia="宋体"/>
                <w:szCs w:val="21"/>
              </w:rPr>
            </w:pPr>
            <w:r>
              <w:rPr>
                <w:rFonts w:hint="eastAsia" w:ascii="宋体" w:hAnsi="宋体" w:eastAsia="宋体"/>
                <w:szCs w:val="21"/>
              </w:rPr>
              <w:t>将服务器资源无缝扩容到现有的云桌面资源池里，通过云桌面平台可管理本次升级的硬件资源；</w:t>
            </w:r>
          </w:p>
          <w:p w14:paraId="033CD554">
            <w:pPr>
              <w:jc w:val="left"/>
              <w:rPr>
                <w:rFonts w:hint="eastAsia" w:ascii="宋体" w:hAnsi="宋体" w:eastAsia="宋体"/>
                <w:szCs w:val="21"/>
              </w:rPr>
            </w:pPr>
            <w:r>
              <w:rPr>
                <w:rFonts w:hint="eastAsia" w:ascii="宋体" w:hAnsi="宋体" w:eastAsia="宋体"/>
                <w:szCs w:val="21"/>
              </w:rPr>
              <w:t>在对硬件资源升级前先对所有的云桌面数据进行备份，并确认备份数据的有效性，可快速恢复；</w:t>
            </w:r>
          </w:p>
          <w:p w14:paraId="4FD0A452">
            <w:pPr>
              <w:jc w:val="left"/>
              <w:rPr>
                <w:rFonts w:hint="eastAsia" w:ascii="宋体" w:hAnsi="宋体" w:eastAsia="宋体"/>
                <w:szCs w:val="21"/>
              </w:rPr>
            </w:pPr>
            <w:r>
              <w:rPr>
                <w:rFonts w:hint="eastAsia" w:ascii="宋体" w:hAnsi="宋体" w:eastAsia="宋体"/>
                <w:szCs w:val="21"/>
              </w:rPr>
              <w:t>支持将现有云桌面的数据平滑迁移到新增的硬件资源上，实现云桌面平台的硬件资源负载平衡；</w:t>
            </w:r>
          </w:p>
          <w:p w14:paraId="123CCF76">
            <w:pPr>
              <w:jc w:val="left"/>
              <w:rPr>
                <w:rFonts w:hint="eastAsia" w:ascii="宋体" w:hAnsi="宋体" w:eastAsia="宋体"/>
                <w:szCs w:val="21"/>
              </w:rPr>
            </w:pPr>
            <w:r>
              <w:rPr>
                <w:rFonts w:hint="eastAsia" w:ascii="宋体" w:hAnsi="宋体" w:eastAsia="宋体"/>
                <w:szCs w:val="21"/>
              </w:rPr>
              <w:t>提供对云桌面平台优化服务，提升云桌面运行流畅度，让老师的使用体验更好；</w:t>
            </w:r>
          </w:p>
          <w:p w14:paraId="41EF9B0A">
            <w:pPr>
              <w:jc w:val="left"/>
              <w:rPr>
                <w:rFonts w:hint="eastAsia" w:ascii="宋体" w:hAnsi="宋体" w:eastAsia="宋体"/>
                <w:szCs w:val="21"/>
              </w:rPr>
            </w:pPr>
            <w:r>
              <w:rPr>
                <w:rFonts w:hint="eastAsia" w:ascii="宋体" w:hAnsi="宋体" w:eastAsia="宋体"/>
                <w:szCs w:val="21"/>
              </w:rPr>
              <w:t>对服务器及该服务器上运行的云桌面平台提供3年技术支持服务，对每一项售后运维服务必须安排持有云桌面认证证书的工程师提供上门维护服务；</w:t>
            </w:r>
          </w:p>
          <w:p w14:paraId="201B98D0">
            <w:pPr>
              <w:jc w:val="left"/>
              <w:rPr>
                <w:rFonts w:hint="eastAsia" w:ascii="宋体" w:hAnsi="宋体" w:eastAsia="宋体"/>
                <w:szCs w:val="21"/>
              </w:rPr>
            </w:pPr>
            <w:r>
              <w:rPr>
                <w:rFonts w:hint="eastAsia" w:ascii="宋体" w:hAnsi="宋体" w:eastAsia="宋体"/>
                <w:szCs w:val="21"/>
              </w:rPr>
              <w:t>提供7×24小时实时电话技术支持，根据故障实际情况提供实时远程技术支持或2小时内到达现场提供技术支持；</w:t>
            </w:r>
          </w:p>
          <w:p w14:paraId="5DC236A8">
            <w:pPr>
              <w:jc w:val="left"/>
              <w:rPr>
                <w:rFonts w:hint="eastAsia" w:ascii="宋体" w:hAnsi="宋体" w:eastAsia="宋体"/>
                <w:szCs w:val="21"/>
              </w:rPr>
            </w:pPr>
            <w:r>
              <w:rPr>
                <w:rFonts w:hint="eastAsia" w:ascii="宋体" w:hAnsi="宋体" w:eastAsia="宋体"/>
                <w:szCs w:val="21"/>
              </w:rPr>
              <w:t>提供对桌面管理人员的培训服务，使其具备处理云桌面常见故障的能力。</w:t>
            </w:r>
          </w:p>
        </w:tc>
        <w:tc>
          <w:tcPr>
            <w:tcW w:w="462" w:type="pct"/>
            <w:tcBorders>
              <w:top w:val="single" w:color="000000" w:sz="4" w:space="0"/>
              <w:left w:val="single" w:color="000000" w:sz="4" w:space="0"/>
              <w:bottom w:val="single" w:color="000000" w:sz="4" w:space="0"/>
              <w:right w:val="single" w:color="000000" w:sz="4" w:space="0"/>
            </w:tcBorders>
            <w:vAlign w:val="center"/>
          </w:tcPr>
          <w:p w14:paraId="7EB7B5BA">
            <w:pPr>
              <w:spacing w:after="120"/>
              <w:jc w:val="center"/>
              <w:rPr>
                <w:rFonts w:hint="eastAsia" w:ascii="宋体" w:hAnsi="宋体" w:eastAsia="宋体"/>
                <w:szCs w:val="21"/>
              </w:rPr>
            </w:pPr>
            <w:r>
              <w:rPr>
                <w:rFonts w:hint="eastAsia" w:ascii="宋体" w:hAnsi="宋体" w:eastAsia="宋体"/>
                <w:szCs w:val="21"/>
              </w:rPr>
              <w:t>2台</w:t>
            </w:r>
          </w:p>
        </w:tc>
        <w:tc>
          <w:tcPr>
            <w:tcW w:w="594" w:type="pct"/>
            <w:tcBorders>
              <w:top w:val="single" w:color="000000" w:sz="4" w:space="0"/>
              <w:left w:val="single" w:color="000000" w:sz="4" w:space="0"/>
              <w:bottom w:val="single" w:color="000000" w:sz="4" w:space="0"/>
              <w:right w:val="single" w:color="000000" w:sz="4" w:space="0"/>
            </w:tcBorders>
            <w:vAlign w:val="center"/>
          </w:tcPr>
          <w:p w14:paraId="68C39395">
            <w:pPr>
              <w:spacing w:after="120"/>
              <w:jc w:val="center"/>
              <w:rPr>
                <w:rFonts w:hint="eastAsia" w:ascii="宋体" w:hAnsi="宋体" w:eastAsia="宋体"/>
                <w:szCs w:val="21"/>
              </w:rPr>
            </w:pPr>
          </w:p>
        </w:tc>
        <w:tc>
          <w:tcPr>
            <w:tcW w:w="650" w:type="pct"/>
            <w:tcBorders>
              <w:top w:val="single" w:color="000000" w:sz="4" w:space="0"/>
              <w:left w:val="single" w:color="000000" w:sz="4" w:space="0"/>
              <w:bottom w:val="single" w:color="000000" w:sz="4" w:space="0"/>
              <w:right w:val="single" w:color="000000" w:sz="4" w:space="0"/>
            </w:tcBorders>
            <w:vAlign w:val="center"/>
          </w:tcPr>
          <w:p w14:paraId="3201B470">
            <w:pPr>
              <w:spacing w:after="120"/>
              <w:jc w:val="center"/>
              <w:rPr>
                <w:rFonts w:hint="eastAsia" w:ascii="宋体" w:hAnsi="宋体" w:eastAsia="宋体"/>
                <w:szCs w:val="21"/>
              </w:rPr>
            </w:pPr>
          </w:p>
        </w:tc>
      </w:tr>
      <w:tr w14:paraId="4AC1A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579" w:type="pct"/>
            <w:vMerge w:val="restart"/>
            <w:tcBorders>
              <w:top w:val="single" w:color="000000" w:sz="4" w:space="0"/>
              <w:left w:val="single" w:color="000000" w:sz="4" w:space="0"/>
              <w:right w:val="single" w:color="000000" w:sz="4" w:space="0"/>
            </w:tcBorders>
            <w:vAlign w:val="center"/>
          </w:tcPr>
          <w:p w14:paraId="2C9B55AC">
            <w:pPr>
              <w:spacing w:after="120"/>
              <w:jc w:val="center"/>
              <w:rPr>
                <w:rFonts w:hint="eastAsia" w:ascii="宋体" w:hAnsi="宋体" w:eastAsia="宋体"/>
                <w:szCs w:val="21"/>
              </w:rPr>
            </w:pPr>
            <w:r>
              <w:rPr>
                <w:rFonts w:hint="eastAsia" w:ascii="宋体" w:hAnsi="宋体" w:eastAsia="宋体"/>
                <w:szCs w:val="21"/>
              </w:rPr>
              <w:t>联想服务器硬件扩容</w:t>
            </w:r>
          </w:p>
        </w:tc>
        <w:tc>
          <w:tcPr>
            <w:tcW w:w="2715" w:type="pct"/>
            <w:tcBorders>
              <w:top w:val="single" w:color="000000" w:sz="4" w:space="0"/>
              <w:left w:val="single" w:color="000000" w:sz="4" w:space="0"/>
              <w:bottom w:val="single" w:color="000000" w:sz="4" w:space="0"/>
              <w:right w:val="single" w:color="000000" w:sz="4" w:space="0"/>
            </w:tcBorders>
            <w:vAlign w:val="center"/>
          </w:tcPr>
          <w:p w14:paraId="5E32799B">
            <w:pPr>
              <w:spacing w:after="12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zh-CN" w:eastAsia="zh-TW"/>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3.84TB SSD硬盘。</w:t>
            </w:r>
          </w:p>
        </w:tc>
        <w:tc>
          <w:tcPr>
            <w:tcW w:w="462" w:type="pct"/>
            <w:tcBorders>
              <w:top w:val="single" w:color="000000" w:sz="4" w:space="0"/>
              <w:left w:val="single" w:color="000000" w:sz="4" w:space="0"/>
              <w:bottom w:val="single" w:color="000000" w:sz="4" w:space="0"/>
              <w:right w:val="single" w:color="000000" w:sz="4" w:space="0"/>
            </w:tcBorders>
            <w:vAlign w:val="center"/>
          </w:tcPr>
          <w:p w14:paraId="51700C25">
            <w:pPr>
              <w:spacing w:after="120"/>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6块</w:t>
            </w:r>
          </w:p>
        </w:tc>
        <w:tc>
          <w:tcPr>
            <w:tcW w:w="594" w:type="pct"/>
            <w:tcBorders>
              <w:top w:val="single" w:color="000000" w:sz="4" w:space="0"/>
              <w:left w:val="single" w:color="000000" w:sz="4" w:space="0"/>
              <w:bottom w:val="single" w:color="000000" w:sz="4" w:space="0"/>
              <w:right w:val="single" w:color="000000" w:sz="4" w:space="0"/>
            </w:tcBorders>
            <w:vAlign w:val="center"/>
          </w:tcPr>
          <w:p w14:paraId="528EC34D">
            <w:pPr>
              <w:spacing w:after="120"/>
              <w:jc w:val="center"/>
              <w:rPr>
                <w:rFonts w:hint="eastAsia" w:ascii="宋体" w:hAnsi="宋体" w:eastAsia="宋体"/>
                <w:szCs w:val="21"/>
              </w:rPr>
            </w:pPr>
          </w:p>
        </w:tc>
        <w:tc>
          <w:tcPr>
            <w:tcW w:w="650" w:type="pct"/>
            <w:tcBorders>
              <w:top w:val="single" w:color="000000" w:sz="4" w:space="0"/>
              <w:left w:val="single" w:color="000000" w:sz="4" w:space="0"/>
              <w:bottom w:val="single" w:color="000000" w:sz="4" w:space="0"/>
              <w:right w:val="single" w:color="000000" w:sz="4" w:space="0"/>
            </w:tcBorders>
            <w:vAlign w:val="center"/>
          </w:tcPr>
          <w:p w14:paraId="49E75556">
            <w:pPr>
              <w:spacing w:after="120"/>
              <w:jc w:val="center"/>
              <w:rPr>
                <w:rFonts w:hint="eastAsia" w:ascii="宋体" w:hAnsi="宋体" w:eastAsia="宋体"/>
                <w:szCs w:val="21"/>
              </w:rPr>
            </w:pPr>
          </w:p>
        </w:tc>
      </w:tr>
      <w:tr w14:paraId="3BBB4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579" w:type="pct"/>
            <w:vMerge w:val="continue"/>
            <w:tcBorders>
              <w:left w:val="single" w:color="000000" w:sz="4" w:space="0"/>
              <w:right w:val="single" w:color="000000" w:sz="4" w:space="0"/>
            </w:tcBorders>
            <w:vAlign w:val="center"/>
          </w:tcPr>
          <w:p w14:paraId="720F112E">
            <w:pPr>
              <w:spacing w:after="120"/>
              <w:jc w:val="center"/>
              <w:rPr>
                <w:rFonts w:hint="eastAsia" w:ascii="宋体" w:hAnsi="宋体" w:eastAsia="宋体"/>
                <w:szCs w:val="21"/>
              </w:rPr>
            </w:pPr>
          </w:p>
        </w:tc>
        <w:tc>
          <w:tcPr>
            <w:tcW w:w="2715" w:type="pct"/>
            <w:tcBorders>
              <w:top w:val="single" w:color="000000" w:sz="4" w:space="0"/>
              <w:left w:val="single" w:color="000000" w:sz="4" w:space="0"/>
              <w:bottom w:val="single" w:color="000000" w:sz="4" w:space="0"/>
              <w:right w:val="single" w:color="000000" w:sz="4" w:space="0"/>
            </w:tcBorders>
            <w:vAlign w:val="center"/>
          </w:tcPr>
          <w:p w14:paraId="47130FBD">
            <w:pPr>
              <w:spacing w:after="120"/>
              <w:jc w:val="left"/>
              <w:rPr>
                <w:rFonts w:hint="eastAsia" w:ascii="宋体" w:hAnsi="宋体" w:eastAsia="宋体"/>
                <w:color w:val="000000" w:themeColor="text1"/>
                <w:szCs w:val="21"/>
                <w:lang w:val="zh-CN" w:eastAsia="zh-TW"/>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2.5寸联想SR588托架。</w:t>
            </w:r>
          </w:p>
        </w:tc>
        <w:tc>
          <w:tcPr>
            <w:tcW w:w="462" w:type="pct"/>
            <w:tcBorders>
              <w:top w:val="single" w:color="000000" w:sz="4" w:space="0"/>
              <w:left w:val="single" w:color="000000" w:sz="4" w:space="0"/>
              <w:bottom w:val="single" w:color="000000" w:sz="4" w:space="0"/>
              <w:right w:val="single" w:color="000000" w:sz="4" w:space="0"/>
            </w:tcBorders>
            <w:vAlign w:val="center"/>
          </w:tcPr>
          <w:p w14:paraId="414FB395">
            <w:pPr>
              <w:spacing w:after="120"/>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2个</w:t>
            </w:r>
          </w:p>
        </w:tc>
        <w:tc>
          <w:tcPr>
            <w:tcW w:w="594" w:type="pct"/>
            <w:tcBorders>
              <w:top w:val="single" w:color="000000" w:sz="4" w:space="0"/>
              <w:left w:val="single" w:color="000000" w:sz="4" w:space="0"/>
              <w:bottom w:val="single" w:color="000000" w:sz="4" w:space="0"/>
              <w:right w:val="single" w:color="000000" w:sz="4" w:space="0"/>
            </w:tcBorders>
            <w:vAlign w:val="center"/>
          </w:tcPr>
          <w:p w14:paraId="29A92084">
            <w:pPr>
              <w:spacing w:after="120"/>
              <w:jc w:val="center"/>
              <w:rPr>
                <w:rFonts w:hint="default" w:ascii="宋体" w:hAnsi="宋体" w:eastAsia="宋体"/>
                <w:szCs w:val="21"/>
                <w:lang w:val="en-US" w:eastAsia="zh-CN"/>
              </w:rPr>
            </w:pPr>
          </w:p>
        </w:tc>
        <w:tc>
          <w:tcPr>
            <w:tcW w:w="650" w:type="pct"/>
            <w:tcBorders>
              <w:top w:val="single" w:color="000000" w:sz="4" w:space="0"/>
              <w:left w:val="single" w:color="000000" w:sz="4" w:space="0"/>
              <w:bottom w:val="single" w:color="000000" w:sz="4" w:space="0"/>
              <w:right w:val="single" w:color="000000" w:sz="4" w:space="0"/>
            </w:tcBorders>
            <w:vAlign w:val="center"/>
          </w:tcPr>
          <w:p w14:paraId="58512312">
            <w:pPr>
              <w:spacing w:after="120"/>
              <w:jc w:val="center"/>
              <w:rPr>
                <w:rFonts w:hint="default" w:ascii="宋体" w:hAnsi="宋体" w:eastAsia="宋体"/>
                <w:szCs w:val="21"/>
                <w:lang w:val="en-US" w:eastAsia="zh-CN"/>
              </w:rPr>
            </w:pPr>
          </w:p>
        </w:tc>
      </w:tr>
      <w:tr w14:paraId="6FDEF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579" w:type="pct"/>
            <w:vMerge w:val="restart"/>
            <w:tcBorders>
              <w:top w:val="single" w:color="000000" w:sz="4" w:space="0"/>
              <w:left w:val="single" w:color="000000" w:sz="4" w:space="0"/>
              <w:right w:val="single" w:color="000000" w:sz="4" w:space="0"/>
            </w:tcBorders>
            <w:vAlign w:val="center"/>
          </w:tcPr>
          <w:p w14:paraId="198A64B9">
            <w:pPr>
              <w:spacing w:after="120"/>
              <w:jc w:val="center"/>
              <w:rPr>
                <w:rFonts w:hint="eastAsia" w:ascii="宋体" w:hAnsi="宋体" w:eastAsia="宋体"/>
                <w:szCs w:val="21"/>
              </w:rPr>
            </w:pPr>
            <w:r>
              <w:rPr>
                <w:rFonts w:hint="eastAsia" w:ascii="宋体" w:hAnsi="宋体" w:eastAsia="宋体"/>
                <w:szCs w:val="21"/>
              </w:rPr>
              <w:t>联想服务器硬件扩容</w:t>
            </w:r>
          </w:p>
        </w:tc>
        <w:tc>
          <w:tcPr>
            <w:tcW w:w="2715" w:type="pct"/>
            <w:tcBorders>
              <w:top w:val="single" w:color="000000" w:sz="4" w:space="0"/>
              <w:left w:val="single" w:color="000000" w:sz="4" w:space="0"/>
              <w:bottom w:val="single" w:color="000000" w:sz="4" w:space="0"/>
              <w:right w:val="single" w:color="000000" w:sz="4" w:space="0"/>
            </w:tcBorders>
            <w:vAlign w:val="center"/>
          </w:tcPr>
          <w:p w14:paraId="362BF145">
            <w:pPr>
              <w:spacing w:after="120"/>
              <w:jc w:val="left"/>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zh-CN" w:eastAsia="zh-TW"/>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3.84TB SSD硬盘，3.5寸联想SR650托架。</w:t>
            </w:r>
          </w:p>
        </w:tc>
        <w:tc>
          <w:tcPr>
            <w:tcW w:w="462" w:type="pct"/>
            <w:tcBorders>
              <w:top w:val="single" w:color="000000" w:sz="4" w:space="0"/>
              <w:left w:val="single" w:color="000000" w:sz="4" w:space="0"/>
              <w:bottom w:val="single" w:color="000000" w:sz="4" w:space="0"/>
              <w:right w:val="single" w:color="000000" w:sz="4" w:space="0"/>
            </w:tcBorders>
            <w:vAlign w:val="center"/>
          </w:tcPr>
          <w:p w14:paraId="7F4187C7">
            <w:pPr>
              <w:spacing w:after="120"/>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3块</w:t>
            </w:r>
          </w:p>
        </w:tc>
        <w:tc>
          <w:tcPr>
            <w:tcW w:w="594" w:type="pct"/>
            <w:tcBorders>
              <w:top w:val="single" w:color="000000" w:sz="4" w:space="0"/>
              <w:left w:val="single" w:color="000000" w:sz="4" w:space="0"/>
              <w:bottom w:val="single" w:color="000000" w:sz="4" w:space="0"/>
              <w:right w:val="single" w:color="000000" w:sz="4" w:space="0"/>
            </w:tcBorders>
            <w:vAlign w:val="center"/>
          </w:tcPr>
          <w:p w14:paraId="38FC1FB0">
            <w:pPr>
              <w:spacing w:after="120"/>
              <w:jc w:val="center"/>
              <w:rPr>
                <w:rFonts w:hint="eastAsia" w:ascii="宋体" w:hAnsi="宋体" w:eastAsia="宋体"/>
                <w:szCs w:val="21"/>
              </w:rPr>
            </w:pPr>
          </w:p>
        </w:tc>
        <w:tc>
          <w:tcPr>
            <w:tcW w:w="650" w:type="pct"/>
            <w:tcBorders>
              <w:top w:val="single" w:color="000000" w:sz="4" w:space="0"/>
              <w:left w:val="single" w:color="000000" w:sz="4" w:space="0"/>
              <w:bottom w:val="single" w:color="000000" w:sz="4" w:space="0"/>
              <w:right w:val="single" w:color="000000" w:sz="4" w:space="0"/>
            </w:tcBorders>
            <w:vAlign w:val="center"/>
          </w:tcPr>
          <w:p w14:paraId="43A4FD09">
            <w:pPr>
              <w:spacing w:after="120"/>
              <w:jc w:val="center"/>
              <w:rPr>
                <w:rFonts w:hint="eastAsia" w:ascii="宋体" w:hAnsi="宋体" w:eastAsia="宋体"/>
                <w:szCs w:val="21"/>
              </w:rPr>
            </w:pPr>
          </w:p>
        </w:tc>
      </w:tr>
      <w:tr w14:paraId="6C7C9D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579" w:type="pct"/>
            <w:vMerge w:val="continue"/>
            <w:tcBorders>
              <w:left w:val="single" w:color="000000" w:sz="4" w:space="0"/>
              <w:right w:val="single" w:color="000000" w:sz="4" w:space="0"/>
            </w:tcBorders>
            <w:vAlign w:val="center"/>
          </w:tcPr>
          <w:p w14:paraId="07CB8B3E">
            <w:pPr>
              <w:spacing w:after="120"/>
              <w:jc w:val="center"/>
              <w:rPr>
                <w:rFonts w:hint="eastAsia" w:ascii="宋体" w:hAnsi="宋体" w:eastAsia="宋体"/>
                <w:szCs w:val="21"/>
              </w:rPr>
            </w:pPr>
          </w:p>
        </w:tc>
        <w:tc>
          <w:tcPr>
            <w:tcW w:w="2715" w:type="pct"/>
            <w:tcBorders>
              <w:top w:val="single" w:color="000000" w:sz="4" w:space="0"/>
              <w:left w:val="single" w:color="000000" w:sz="4" w:space="0"/>
              <w:bottom w:val="single" w:color="000000" w:sz="4" w:space="0"/>
              <w:right w:val="single" w:color="000000" w:sz="4" w:space="0"/>
            </w:tcBorders>
            <w:vAlign w:val="center"/>
          </w:tcPr>
          <w:p w14:paraId="26A9828C">
            <w:pPr>
              <w:spacing w:after="120"/>
              <w:jc w:val="left"/>
              <w:rPr>
                <w:rFonts w:hint="eastAsia" w:ascii="宋体" w:hAnsi="宋体" w:eastAsia="宋体"/>
                <w:szCs w:val="21"/>
                <w:lang w:val="zh-CN" w:eastAsia="zh-TW"/>
              </w:rPr>
            </w:pPr>
            <w:r>
              <w:rPr>
                <w:rFonts w:hint="eastAsia" w:ascii="宋体" w:hAnsi="宋体" w:eastAsia="宋体"/>
                <w:szCs w:val="21"/>
              </w:rPr>
              <w:t>3.5寸联想SR650托架。</w:t>
            </w:r>
          </w:p>
        </w:tc>
        <w:tc>
          <w:tcPr>
            <w:tcW w:w="462" w:type="pct"/>
            <w:tcBorders>
              <w:top w:val="single" w:color="000000" w:sz="4" w:space="0"/>
              <w:left w:val="single" w:color="000000" w:sz="4" w:space="0"/>
              <w:bottom w:val="single" w:color="000000" w:sz="4" w:space="0"/>
              <w:right w:val="single" w:color="000000" w:sz="4" w:space="0"/>
            </w:tcBorders>
            <w:vAlign w:val="center"/>
          </w:tcPr>
          <w:p w14:paraId="5001F11A">
            <w:pPr>
              <w:spacing w:after="120"/>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1个</w:t>
            </w:r>
          </w:p>
        </w:tc>
        <w:tc>
          <w:tcPr>
            <w:tcW w:w="594" w:type="pct"/>
            <w:tcBorders>
              <w:top w:val="single" w:color="000000" w:sz="4" w:space="0"/>
              <w:left w:val="single" w:color="000000" w:sz="4" w:space="0"/>
              <w:bottom w:val="single" w:color="000000" w:sz="4" w:space="0"/>
              <w:right w:val="single" w:color="000000" w:sz="4" w:space="0"/>
            </w:tcBorders>
            <w:vAlign w:val="center"/>
          </w:tcPr>
          <w:p w14:paraId="758B4DC8">
            <w:pPr>
              <w:spacing w:after="120"/>
              <w:jc w:val="center"/>
              <w:rPr>
                <w:rFonts w:hint="default" w:ascii="宋体" w:hAnsi="宋体" w:eastAsia="宋体"/>
                <w:szCs w:val="21"/>
                <w:lang w:val="en-US" w:eastAsia="zh-CN"/>
              </w:rPr>
            </w:pPr>
          </w:p>
        </w:tc>
        <w:tc>
          <w:tcPr>
            <w:tcW w:w="650" w:type="pct"/>
            <w:tcBorders>
              <w:top w:val="single" w:color="000000" w:sz="4" w:space="0"/>
              <w:left w:val="single" w:color="000000" w:sz="4" w:space="0"/>
              <w:bottom w:val="single" w:color="000000" w:sz="4" w:space="0"/>
              <w:right w:val="single" w:color="000000" w:sz="4" w:space="0"/>
            </w:tcBorders>
            <w:vAlign w:val="center"/>
          </w:tcPr>
          <w:p w14:paraId="7C33DB9A">
            <w:pPr>
              <w:spacing w:after="120"/>
              <w:jc w:val="center"/>
              <w:rPr>
                <w:rFonts w:hint="default" w:ascii="宋体" w:hAnsi="宋体" w:eastAsia="宋体"/>
                <w:szCs w:val="21"/>
                <w:lang w:val="en-US" w:eastAsia="zh-CN"/>
              </w:rPr>
            </w:pPr>
          </w:p>
        </w:tc>
      </w:tr>
      <w:tr w14:paraId="2B757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579" w:type="pct"/>
            <w:tcBorders>
              <w:top w:val="single" w:color="000000" w:sz="4" w:space="0"/>
              <w:left w:val="single" w:color="000000" w:sz="4" w:space="0"/>
              <w:right w:val="single" w:color="000000" w:sz="4" w:space="0"/>
            </w:tcBorders>
            <w:vAlign w:val="center"/>
          </w:tcPr>
          <w:p w14:paraId="5566C319">
            <w:pPr>
              <w:spacing w:after="120"/>
              <w:jc w:val="center"/>
              <w:rPr>
                <w:rFonts w:hint="eastAsia" w:ascii="宋体" w:hAnsi="宋体" w:eastAsia="宋体"/>
                <w:szCs w:val="21"/>
              </w:rPr>
            </w:pPr>
            <w:r>
              <w:rPr>
                <w:rFonts w:hint="eastAsia" w:ascii="宋体" w:hAnsi="宋体" w:eastAsia="宋体"/>
                <w:szCs w:val="21"/>
              </w:rPr>
              <w:t>电脑硬盘</w:t>
            </w:r>
          </w:p>
        </w:tc>
        <w:tc>
          <w:tcPr>
            <w:tcW w:w="2715" w:type="pct"/>
            <w:tcBorders>
              <w:top w:val="single" w:color="000000" w:sz="4" w:space="0"/>
              <w:left w:val="single" w:color="000000" w:sz="4" w:space="0"/>
              <w:bottom w:val="single" w:color="000000" w:sz="4" w:space="0"/>
              <w:right w:val="single" w:color="000000" w:sz="4" w:space="0"/>
            </w:tcBorders>
            <w:vAlign w:val="center"/>
          </w:tcPr>
          <w:p w14:paraId="5CFCC7CB">
            <w:pPr>
              <w:spacing w:after="120"/>
              <w:jc w:val="left"/>
              <w:rPr>
                <w:rFonts w:hint="eastAsia" w:ascii="宋体" w:hAnsi="宋体" w:eastAsia="宋体"/>
                <w:szCs w:val="21"/>
              </w:rPr>
            </w:pPr>
            <w:r>
              <w:rPr>
                <w:rFonts w:hint="eastAsia" w:ascii="宋体" w:hAnsi="宋体" w:eastAsia="宋体"/>
                <w:szCs w:val="21"/>
                <w:lang w:val="zh-CN" w:eastAsia="zh-TW"/>
              </w:rPr>
              <w:t>≥</w:t>
            </w:r>
            <w:r>
              <w:rPr>
                <w:rFonts w:hint="eastAsia" w:ascii="宋体" w:hAnsi="宋体" w:eastAsia="宋体"/>
                <w:szCs w:val="21"/>
              </w:rPr>
              <w:t>128G SSD硬盘，包含电脑硬盘更换和系统安装。</w:t>
            </w:r>
          </w:p>
        </w:tc>
        <w:tc>
          <w:tcPr>
            <w:tcW w:w="462" w:type="pct"/>
            <w:tcBorders>
              <w:top w:val="single" w:color="000000" w:sz="4" w:space="0"/>
              <w:left w:val="single" w:color="000000" w:sz="4" w:space="0"/>
              <w:bottom w:val="single" w:color="000000" w:sz="4" w:space="0"/>
              <w:right w:val="single" w:color="000000" w:sz="4" w:space="0"/>
            </w:tcBorders>
            <w:vAlign w:val="center"/>
          </w:tcPr>
          <w:p w14:paraId="4D44C1C5">
            <w:pPr>
              <w:spacing w:after="120"/>
              <w:jc w:val="center"/>
              <w:rPr>
                <w:rFonts w:hint="eastAsia" w:ascii="宋体" w:hAnsi="宋体" w:eastAsia="宋体"/>
                <w:szCs w:val="21"/>
              </w:rPr>
            </w:pPr>
            <w:r>
              <w:rPr>
                <w:rFonts w:hint="eastAsia" w:ascii="宋体" w:hAnsi="宋体" w:eastAsia="宋体"/>
                <w:szCs w:val="21"/>
              </w:rPr>
              <w:t>60块</w:t>
            </w:r>
          </w:p>
        </w:tc>
        <w:tc>
          <w:tcPr>
            <w:tcW w:w="594" w:type="pct"/>
            <w:tcBorders>
              <w:top w:val="single" w:color="000000" w:sz="4" w:space="0"/>
              <w:left w:val="single" w:color="000000" w:sz="4" w:space="0"/>
              <w:bottom w:val="single" w:color="000000" w:sz="4" w:space="0"/>
              <w:right w:val="single" w:color="000000" w:sz="4" w:space="0"/>
            </w:tcBorders>
            <w:vAlign w:val="center"/>
          </w:tcPr>
          <w:p w14:paraId="269C3288">
            <w:pPr>
              <w:spacing w:after="120"/>
              <w:jc w:val="center"/>
              <w:rPr>
                <w:rFonts w:hint="eastAsia" w:ascii="宋体" w:hAnsi="宋体" w:eastAsia="宋体"/>
                <w:szCs w:val="21"/>
              </w:rPr>
            </w:pPr>
          </w:p>
        </w:tc>
        <w:tc>
          <w:tcPr>
            <w:tcW w:w="650" w:type="pct"/>
            <w:tcBorders>
              <w:top w:val="single" w:color="000000" w:sz="4" w:space="0"/>
              <w:left w:val="single" w:color="000000" w:sz="4" w:space="0"/>
              <w:bottom w:val="single" w:color="000000" w:sz="4" w:space="0"/>
              <w:right w:val="single" w:color="000000" w:sz="4" w:space="0"/>
            </w:tcBorders>
            <w:vAlign w:val="center"/>
          </w:tcPr>
          <w:p w14:paraId="7C369DD5">
            <w:pPr>
              <w:spacing w:after="120"/>
              <w:jc w:val="center"/>
              <w:rPr>
                <w:rFonts w:hint="eastAsia" w:ascii="宋体" w:hAnsi="宋体" w:eastAsia="宋体"/>
                <w:szCs w:val="21"/>
              </w:rPr>
            </w:pPr>
          </w:p>
        </w:tc>
      </w:tr>
      <w:tr w14:paraId="76BDD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 w:hRule="atLeast"/>
          <w:jc w:val="center"/>
        </w:trPr>
        <w:tc>
          <w:tcPr>
            <w:tcW w:w="3756" w:type="pct"/>
            <w:gridSpan w:val="3"/>
            <w:tcBorders>
              <w:left w:val="single" w:color="000000" w:sz="4" w:space="0"/>
              <w:bottom w:val="single" w:color="000000" w:sz="4" w:space="0"/>
              <w:right w:val="single" w:color="000000" w:sz="4" w:space="0"/>
            </w:tcBorders>
            <w:vAlign w:val="center"/>
          </w:tcPr>
          <w:p w14:paraId="15C727D6">
            <w:pPr>
              <w:spacing w:after="120"/>
              <w:jc w:val="center"/>
              <w:rPr>
                <w:rFonts w:hint="eastAsia" w:ascii="宋体" w:hAnsi="宋体" w:eastAsia="宋体"/>
                <w:szCs w:val="21"/>
              </w:rPr>
            </w:pPr>
            <w:r>
              <w:rPr>
                <w:rFonts w:hint="eastAsia" w:ascii="宋体" w:hAnsi="宋体" w:eastAsia="宋体"/>
                <w:szCs w:val="21"/>
              </w:rPr>
              <w:t>合计</w:t>
            </w:r>
          </w:p>
        </w:tc>
        <w:tc>
          <w:tcPr>
            <w:tcW w:w="1244" w:type="pct"/>
            <w:gridSpan w:val="2"/>
            <w:tcBorders>
              <w:top w:val="single" w:color="000000" w:sz="4" w:space="0"/>
              <w:left w:val="single" w:color="000000" w:sz="4" w:space="0"/>
              <w:bottom w:val="single" w:color="000000" w:sz="4" w:space="0"/>
              <w:right w:val="single" w:color="000000" w:sz="4" w:space="0"/>
            </w:tcBorders>
            <w:vAlign w:val="center"/>
          </w:tcPr>
          <w:p w14:paraId="5D573CA1">
            <w:pPr>
              <w:spacing w:after="120"/>
              <w:jc w:val="center"/>
              <w:rPr>
                <w:rFonts w:hint="eastAsia" w:ascii="宋体" w:hAnsi="宋体" w:eastAsia="宋体"/>
                <w:szCs w:val="21"/>
              </w:rPr>
            </w:pPr>
          </w:p>
        </w:tc>
      </w:tr>
    </w:tbl>
    <w:p w14:paraId="17B13651">
      <w:pPr>
        <w:rPr>
          <w:rFonts w:hint="eastAsia"/>
          <w:lang w:val="en-US" w:eastAsia="zh-CN"/>
        </w:rPr>
      </w:pPr>
      <w:r>
        <w:rPr>
          <w:rFonts w:hint="eastAsia"/>
          <w:lang w:val="en-US" w:eastAsia="zh-CN"/>
        </w:rPr>
        <w:t>报价单位（盖章）：</w:t>
      </w:r>
    </w:p>
    <w:p w14:paraId="52D67593">
      <w:pPr>
        <w:rPr>
          <w:rFonts w:hint="eastAsia"/>
          <w:lang w:val="en-US" w:eastAsia="zh-CN"/>
        </w:rPr>
      </w:pPr>
      <w:r>
        <w:rPr>
          <w:rFonts w:hint="eastAsia"/>
          <w:lang w:val="en-US" w:eastAsia="zh-CN"/>
        </w:rPr>
        <w:t>联系人：</w:t>
      </w:r>
    </w:p>
    <w:p w14:paraId="43C679AA">
      <w:pPr>
        <w:rPr>
          <w:rFonts w:hint="eastAsia"/>
          <w:lang w:val="en-US" w:eastAsia="zh-CN"/>
        </w:rPr>
      </w:pPr>
      <w:r>
        <w:rPr>
          <w:rFonts w:hint="eastAsia"/>
          <w:lang w:val="en-US" w:eastAsia="zh-CN"/>
        </w:rPr>
        <w:t>联系电话：</w:t>
      </w:r>
    </w:p>
    <w:p w14:paraId="209A5669">
      <w:pPr>
        <w:rPr>
          <w:rFonts w:hint="eastAsia"/>
          <w:lang w:val="en-US" w:eastAsia="zh-CN"/>
        </w:rPr>
      </w:pPr>
    </w:p>
    <w:p w14:paraId="16335574">
      <w:pPr>
        <w:rPr>
          <w:rFonts w:hint="default"/>
          <w:lang w:val="en-US" w:eastAsia="zh-CN"/>
        </w:rPr>
      </w:pPr>
      <w:bookmarkStart w:id="0" w:name="_GoBack"/>
      <w:bookmarkEnd w:id="0"/>
    </w:p>
    <w:p w14:paraId="039E8494">
      <w:r>
        <w:rPr>
          <w:rFonts w:hint="eastAsia"/>
        </w:rPr>
        <w:t>说明：对现有3台服务器新增固态硬盘，每台增加3块3.84TB固态硬盘，升级后现有3台服务器上的每个云桌面配置为：4vCPU、8GB内存、200GB系统盘。并新购2台全新服务器，新服务器上每个云桌面配置为：4vCPU、8GB内存、200GB系统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C4014F"/>
    <w:rsid w:val="00084DE8"/>
    <w:rsid w:val="002120F1"/>
    <w:rsid w:val="003F4B2D"/>
    <w:rsid w:val="004B5296"/>
    <w:rsid w:val="00594866"/>
    <w:rsid w:val="005C4C18"/>
    <w:rsid w:val="007B01F2"/>
    <w:rsid w:val="009F3C93"/>
    <w:rsid w:val="0C4D1CEF"/>
    <w:rsid w:val="0F800183"/>
    <w:rsid w:val="34C9364E"/>
    <w:rsid w:val="38C4014F"/>
    <w:rsid w:val="627D6057"/>
    <w:rsid w:val="78791C56"/>
    <w:rsid w:val="794E6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720</Words>
  <Characters>840</Characters>
  <Lines>6</Lines>
  <Paragraphs>1</Paragraphs>
  <TotalTime>13</TotalTime>
  <ScaleCrop>false</ScaleCrop>
  <LinksUpToDate>false</LinksUpToDate>
  <CharactersWithSpaces>845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2025-05-13T00:26:00Z</dcterms:created>
  <dc:creator>勇</dc:creator>
  <cp:lastModifiedBy>满斗</cp:lastModifiedBy>
  <dcterms:modified xsi:type="dcterms:W3CDTF">2025-10-14T12:44:28Z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E3747B7F7CD046318B15F01DE18D2E6B_13</vt:lpwstr>
  </property>
  <property fmtid="{D5CDD505-2E9C-101B-9397-08002B2CF9AE}" pid="4" name="KSOTemplateDocerSaveRecord">
    <vt:lpwstr>eyJoZGlkIjoiOTcwYzM1MDU2MDMwOGMzMmU1YTU4YjU5MmYyNDFiYTgiLCJ1c2VySWQiOiI0Mjg2OTA5NjYifQ==</vt:lpwstr>
  </property>
</Properties>
</file>