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ACE493">
      <w:pPr>
        <w:spacing w:line="1600" w:lineRule="exact"/>
        <w:jc w:val="center"/>
        <w:outlineLvl w:val="0"/>
        <w:rPr>
          <w:rFonts w:hint="eastAsia" w:ascii="方正黑体_GBK" w:hAnsi="宋体" w:eastAsia="方正黑体_GBK"/>
          <w:sz w:val="130"/>
          <w:szCs w:val="130"/>
        </w:rPr>
      </w:pPr>
      <w:r>
        <w:rPr>
          <w:rFonts w:hint="eastAsia" w:ascii="方正黑体_GBK" w:hAnsi="宋体" w:eastAsia="方正黑体_GBK"/>
          <w:sz w:val="130"/>
          <w:szCs w:val="130"/>
        </w:rPr>
        <w:t>询价通知书</w:t>
      </w:r>
    </w:p>
    <w:p w14:paraId="2AEE7FD9">
      <w:pPr>
        <w:spacing w:line="700" w:lineRule="exact"/>
        <w:jc w:val="center"/>
        <w:rPr>
          <w:rFonts w:hint="eastAsia" w:ascii="黑体" w:eastAsia="黑体"/>
          <w:sz w:val="32"/>
        </w:rPr>
      </w:pPr>
    </w:p>
    <w:p w14:paraId="6D9FD961">
      <w:pPr>
        <w:spacing w:line="700" w:lineRule="exact"/>
        <w:jc w:val="center"/>
        <w:rPr>
          <w:rFonts w:hint="eastAsia" w:ascii="黑体" w:eastAsia="黑体"/>
          <w:sz w:val="32"/>
        </w:rPr>
      </w:pPr>
    </w:p>
    <w:p w14:paraId="4451F13D">
      <w:pPr>
        <w:pStyle w:val="9"/>
        <w:rPr>
          <w:rFonts w:hint="eastAsia" w:ascii="黑体" w:eastAsia="黑体"/>
          <w:sz w:val="32"/>
        </w:rPr>
      </w:pPr>
    </w:p>
    <w:p w14:paraId="438ABD59">
      <w:pPr>
        <w:pStyle w:val="9"/>
        <w:rPr>
          <w:rFonts w:hint="eastAsia" w:ascii="黑体" w:eastAsia="黑体"/>
          <w:sz w:val="32"/>
        </w:rPr>
      </w:pPr>
    </w:p>
    <w:p w14:paraId="2EDF33FE">
      <w:pPr>
        <w:spacing w:line="500" w:lineRule="exact"/>
        <w:jc w:val="center"/>
        <w:outlineLvl w:val="0"/>
        <w:rPr>
          <w:rFonts w:hint="eastAsia" w:ascii="方正小标宋_GBK" w:hAnsi="宋体" w:eastAsia="方正小标宋_GBK"/>
          <w:sz w:val="36"/>
          <w:szCs w:val="36"/>
        </w:rPr>
      </w:pPr>
    </w:p>
    <w:p w14:paraId="070D32B1">
      <w:pPr>
        <w:spacing w:line="500" w:lineRule="exact"/>
        <w:jc w:val="center"/>
        <w:outlineLvl w:val="0"/>
        <w:rPr>
          <w:rFonts w:hint="eastAsia" w:ascii="方正小标宋_GBK" w:hAnsi="宋体" w:eastAsia="方正小标宋_GBK"/>
          <w:sz w:val="36"/>
          <w:szCs w:val="36"/>
        </w:rPr>
      </w:pPr>
    </w:p>
    <w:p w14:paraId="366A5952">
      <w:pPr>
        <w:spacing w:line="500" w:lineRule="exact"/>
        <w:jc w:val="center"/>
        <w:outlineLvl w:val="0"/>
        <w:rPr>
          <w:rFonts w:hint="default" w:ascii="方正小标宋_GBK" w:hAnsi="宋体" w:eastAsia="方正小标宋_GBK"/>
          <w:sz w:val="36"/>
          <w:szCs w:val="36"/>
          <w:lang w:val="en-US" w:eastAsia="zh-CN"/>
        </w:rPr>
      </w:pPr>
      <w:r>
        <w:rPr>
          <w:rFonts w:hint="eastAsia" w:ascii="方正小标宋_GBK" w:hAnsi="宋体" w:eastAsia="方正小标宋_GBK"/>
          <w:sz w:val="36"/>
          <w:szCs w:val="36"/>
        </w:rPr>
        <w:t>询价项目名称：</w:t>
      </w:r>
      <w:r>
        <w:rPr>
          <w:rFonts w:hint="eastAsia" w:ascii="方正小标宋_GBK" w:hAnsi="宋体" w:eastAsia="方正小标宋_GBK"/>
          <w:sz w:val="36"/>
          <w:szCs w:val="36"/>
          <w:lang w:val="en-US" w:eastAsia="zh-CN"/>
        </w:rPr>
        <w:t>可复用医疗器械消毒灭菌服务</w:t>
      </w:r>
    </w:p>
    <w:p w14:paraId="1B9E6277">
      <w:pPr>
        <w:spacing w:line="700" w:lineRule="exact"/>
        <w:jc w:val="center"/>
        <w:rPr>
          <w:rFonts w:hint="eastAsia" w:ascii="方正小标宋_GBK" w:hAnsi="宋体" w:eastAsia="方正小标宋_GBK"/>
          <w:b/>
          <w:sz w:val="36"/>
          <w:szCs w:val="36"/>
        </w:rPr>
      </w:pPr>
    </w:p>
    <w:p w14:paraId="0CDD727D">
      <w:pPr>
        <w:spacing w:line="700" w:lineRule="exact"/>
        <w:jc w:val="center"/>
        <w:rPr>
          <w:rFonts w:hint="eastAsia" w:ascii="方正小标宋_GBK" w:hAnsi="宋体" w:eastAsia="方正小标宋_GBK"/>
          <w:b/>
          <w:sz w:val="36"/>
          <w:szCs w:val="36"/>
        </w:rPr>
      </w:pPr>
    </w:p>
    <w:p w14:paraId="7DFF376D">
      <w:pPr>
        <w:pStyle w:val="9"/>
        <w:rPr>
          <w:rFonts w:hint="eastAsia" w:ascii="方正小标宋_GBK" w:hAnsi="宋体" w:eastAsia="方正小标宋_GBK"/>
          <w:b/>
          <w:sz w:val="36"/>
          <w:szCs w:val="36"/>
        </w:rPr>
      </w:pPr>
    </w:p>
    <w:p w14:paraId="2CA48ABE">
      <w:pPr>
        <w:pStyle w:val="9"/>
        <w:rPr>
          <w:rFonts w:hint="eastAsia" w:ascii="方正小标宋_GBK" w:hAnsi="宋体" w:eastAsia="方正小标宋_GBK"/>
          <w:b/>
          <w:sz w:val="36"/>
          <w:szCs w:val="36"/>
        </w:rPr>
      </w:pPr>
    </w:p>
    <w:p w14:paraId="45AB5C69">
      <w:pPr>
        <w:pStyle w:val="9"/>
        <w:ind w:left="0" w:leftChars="0" w:firstLine="0" w:firstLineChars="0"/>
        <w:rPr>
          <w:rFonts w:hint="eastAsia" w:ascii="方正小标宋_GBK" w:hAnsi="宋体" w:eastAsia="方正小标宋_GBK"/>
          <w:b/>
          <w:sz w:val="36"/>
          <w:szCs w:val="36"/>
        </w:rPr>
      </w:pPr>
    </w:p>
    <w:p w14:paraId="3AD34614">
      <w:pPr>
        <w:spacing w:line="700" w:lineRule="exact"/>
        <w:jc w:val="center"/>
        <w:rPr>
          <w:rFonts w:hint="eastAsia" w:ascii="方正小标宋_GBK" w:hAnsi="宋体" w:eastAsia="方正小标宋_GBK"/>
          <w:b/>
          <w:sz w:val="36"/>
          <w:szCs w:val="36"/>
        </w:rPr>
      </w:pPr>
    </w:p>
    <w:p w14:paraId="06ECCDDB">
      <w:pPr>
        <w:spacing w:line="700" w:lineRule="exact"/>
        <w:rPr>
          <w:rFonts w:hint="eastAsia" w:ascii="方正小标宋_GBK" w:hAnsi="宋体" w:eastAsia="方正小标宋_GBK"/>
          <w:b/>
          <w:sz w:val="36"/>
          <w:szCs w:val="36"/>
        </w:rPr>
      </w:pPr>
    </w:p>
    <w:p w14:paraId="5F0C35B0">
      <w:pPr>
        <w:spacing w:line="700" w:lineRule="exact"/>
        <w:rPr>
          <w:rFonts w:hint="eastAsia" w:ascii="方正小标宋_GBK" w:hAnsi="宋体" w:eastAsia="方正小标宋_GBK"/>
          <w:b/>
          <w:sz w:val="36"/>
          <w:szCs w:val="36"/>
        </w:rPr>
      </w:pPr>
    </w:p>
    <w:p w14:paraId="182CBB9F">
      <w:pPr>
        <w:spacing w:line="500" w:lineRule="exact"/>
        <w:jc w:val="center"/>
        <w:outlineLvl w:val="0"/>
        <w:rPr>
          <w:rFonts w:hint="eastAsia" w:ascii="方正小标宋_GBK" w:eastAsia="方正小标宋_GBK"/>
          <w:sz w:val="36"/>
          <w:szCs w:val="36"/>
          <w:lang w:val="en-US" w:eastAsia="zh-CN"/>
        </w:rPr>
      </w:pPr>
      <w:r>
        <w:rPr>
          <w:rFonts w:hint="eastAsia" w:ascii="方正小标宋_GBK" w:eastAsia="方正小标宋_GBK"/>
          <w:sz w:val="36"/>
          <w:szCs w:val="36"/>
        </w:rPr>
        <w:t>采购人：</w:t>
      </w:r>
      <w:r>
        <w:rPr>
          <w:rFonts w:hint="eastAsia" w:ascii="方正小标宋_GBK" w:eastAsia="方正小标宋_GBK"/>
          <w:sz w:val="36"/>
          <w:szCs w:val="36"/>
          <w:lang w:val="en-US" w:eastAsia="zh-CN"/>
        </w:rPr>
        <w:t>重庆市人口和计划生育科学技术研究院</w:t>
      </w:r>
    </w:p>
    <w:p w14:paraId="01C3AF99">
      <w:pPr>
        <w:spacing w:line="500" w:lineRule="exact"/>
        <w:jc w:val="center"/>
        <w:outlineLvl w:val="0"/>
        <w:rPr>
          <w:rFonts w:hint="default" w:ascii="方正小标宋_GBK" w:eastAsia="方正小标宋_GBK"/>
          <w:sz w:val="36"/>
          <w:szCs w:val="36"/>
          <w:lang w:val="en-US" w:eastAsia="zh-CN"/>
        </w:rPr>
      </w:pPr>
      <w:r>
        <w:rPr>
          <w:rFonts w:hint="eastAsia" w:ascii="方正小标宋_GBK" w:eastAsia="方正小标宋_GBK"/>
          <w:sz w:val="36"/>
          <w:szCs w:val="36"/>
          <w:lang w:val="en-US" w:eastAsia="zh-CN"/>
        </w:rPr>
        <w:t>附属医院</w:t>
      </w:r>
    </w:p>
    <w:p w14:paraId="2A443211">
      <w:pPr>
        <w:spacing w:line="720" w:lineRule="exact"/>
        <w:jc w:val="center"/>
        <w:outlineLvl w:val="0"/>
        <w:rPr>
          <w:rFonts w:hint="eastAsia" w:ascii="方正小标宋_GBK" w:eastAsia="方正小标宋_GBK" w:cs="Arial"/>
          <w:b w:val="0"/>
          <w:sz w:val="36"/>
        </w:rPr>
      </w:pPr>
      <w:r>
        <w:rPr>
          <w:rFonts w:hint="eastAsia" w:ascii="方正小标宋_GBK" w:hAnsi="宋体" w:eastAsia="方正小标宋_GBK"/>
          <w:sz w:val="36"/>
          <w:szCs w:val="36"/>
        </w:rPr>
        <w:t>二〇二</w:t>
      </w:r>
      <w:r>
        <w:rPr>
          <w:rFonts w:hint="eastAsia" w:ascii="方正小标宋_GBK" w:hAnsi="宋体" w:eastAsia="方正小标宋_GBK"/>
          <w:sz w:val="36"/>
          <w:szCs w:val="36"/>
          <w:lang w:val="en-US" w:eastAsia="zh-CN"/>
        </w:rPr>
        <w:t>五</w:t>
      </w:r>
      <w:r>
        <w:rPr>
          <w:rFonts w:hint="eastAsia" w:ascii="方正小标宋_GBK" w:hAnsi="宋体" w:eastAsia="方正小标宋_GBK"/>
          <w:sz w:val="36"/>
          <w:szCs w:val="36"/>
        </w:rPr>
        <w:t>年</w:t>
      </w:r>
      <w:r>
        <w:rPr>
          <w:rFonts w:hint="eastAsia" w:ascii="方正小标宋_GBK" w:hAnsi="宋体" w:eastAsia="方正小标宋_GBK"/>
          <w:sz w:val="36"/>
          <w:szCs w:val="36"/>
          <w:lang w:val="en-US" w:eastAsia="zh-CN"/>
        </w:rPr>
        <w:t>四</w:t>
      </w:r>
      <w:r>
        <w:rPr>
          <w:rFonts w:hint="eastAsia" w:ascii="方正小标宋_GBK" w:hAnsi="宋体" w:eastAsia="方正小标宋_GBK"/>
          <w:sz w:val="36"/>
          <w:szCs w:val="36"/>
        </w:rPr>
        <w:t>月</w:t>
      </w:r>
    </w:p>
    <w:p w14:paraId="459C63F0">
      <w:pPr>
        <w:jc w:val="both"/>
        <w:rPr>
          <w:rFonts w:hint="eastAsia" w:ascii="方正小标宋_GBK" w:eastAsia="方正小标宋_GBK" w:cs="Arial"/>
          <w:b w:val="0"/>
          <w:sz w:val="36"/>
        </w:rPr>
      </w:pPr>
    </w:p>
    <w:p w14:paraId="25E44F71">
      <w:pPr>
        <w:jc w:val="center"/>
        <w:rPr>
          <w:rFonts w:hint="eastAsia" w:ascii="方正小标宋_GBK" w:eastAsia="方正小标宋_GBK" w:cs="Arial"/>
          <w:b w:val="0"/>
          <w:sz w:val="36"/>
        </w:rPr>
      </w:pPr>
      <w:r>
        <w:rPr>
          <w:rFonts w:hint="eastAsia" w:ascii="方正小标宋_GBK" w:eastAsia="方正小标宋_GBK" w:cs="Arial"/>
          <w:b w:val="0"/>
          <w:sz w:val="36"/>
          <w:lang w:val="en-US" w:eastAsia="zh-CN"/>
        </w:rPr>
        <w:t xml:space="preserve">第一篇   </w:t>
      </w:r>
      <w:r>
        <w:rPr>
          <w:rFonts w:hint="eastAsia" w:ascii="方正小标宋_GBK" w:eastAsia="方正小标宋_GBK" w:cs="Arial"/>
          <w:b w:val="0"/>
          <w:sz w:val="36"/>
        </w:rPr>
        <w:t>询价采购邀请书</w:t>
      </w:r>
    </w:p>
    <w:p w14:paraId="61069CF1">
      <w:pPr>
        <w:spacing w:line="440" w:lineRule="exact"/>
        <w:ind w:firstLine="482"/>
        <w:rPr>
          <w:rFonts w:hint="eastAsia" w:ascii="方正仿宋_GBK" w:hAnsi="宋体" w:eastAsia="方正仿宋_GBK"/>
          <w:sz w:val="24"/>
          <w:szCs w:val="24"/>
        </w:rPr>
      </w:pPr>
      <w:r>
        <w:rPr>
          <w:rFonts w:hint="eastAsia" w:ascii="方正仿宋_GBK" w:hAnsi="宋体" w:eastAsia="方正仿宋_GBK"/>
          <w:sz w:val="24"/>
          <w:szCs w:val="24"/>
          <w:lang w:val="en-US" w:eastAsia="zh-CN"/>
        </w:rPr>
        <w:t>重庆市人口和计划生育科学技术研究院附属医院</w:t>
      </w:r>
      <w:r>
        <w:rPr>
          <w:rFonts w:hint="eastAsia" w:ascii="方正仿宋_GBK" w:hAnsi="宋体" w:eastAsia="方正仿宋_GBK"/>
          <w:sz w:val="24"/>
          <w:szCs w:val="24"/>
        </w:rPr>
        <w:t>对</w:t>
      </w:r>
      <w:r>
        <w:rPr>
          <w:rFonts w:hint="eastAsia" w:ascii="仿宋" w:hAnsi="仿宋" w:eastAsia="仿宋"/>
          <w:color w:val="000000"/>
          <w:szCs w:val="24"/>
        </w:rPr>
        <w:t>复用的器械、器具、物品进行收送、灭菌、监测、发放、运输</w:t>
      </w:r>
      <w:r>
        <w:rPr>
          <w:rFonts w:hint="eastAsia" w:ascii="方正仿宋_GBK" w:hAnsi="宋体" w:eastAsia="方正仿宋_GBK"/>
          <w:sz w:val="24"/>
          <w:szCs w:val="24"/>
        </w:rPr>
        <w:t>进行询价采购。欢迎有资格的供应商前来参加报价。</w:t>
      </w:r>
    </w:p>
    <w:p w14:paraId="4438B8AB">
      <w:pPr>
        <w:pStyle w:val="3"/>
        <w:adjustRightInd w:val="0"/>
        <w:snapToGrid w:val="0"/>
        <w:spacing w:before="0" w:after="0" w:line="400" w:lineRule="exact"/>
        <w:ind w:firstLine="482" w:firstLineChars="200"/>
        <w:rPr>
          <w:rFonts w:ascii="方正仿宋_GBK" w:hAnsi="宋体" w:eastAsia="方正仿宋_GBK"/>
          <w:sz w:val="24"/>
        </w:rPr>
      </w:pPr>
      <w:bookmarkStart w:id="0" w:name="_Toc65660330"/>
      <w:bookmarkStart w:id="1" w:name="_Toc317775175"/>
      <w:bookmarkStart w:id="2" w:name="_Toc18246"/>
      <w:bookmarkStart w:id="3" w:name="_Toc7758"/>
      <w:bookmarkStart w:id="4" w:name="_Toc106034770"/>
      <w:bookmarkStart w:id="5" w:name="_Toc6484"/>
      <w:bookmarkStart w:id="6" w:name="_Toc26091"/>
      <w:bookmarkStart w:id="7" w:name="_Toc313893526"/>
      <w:r>
        <w:rPr>
          <w:rFonts w:hint="eastAsia" w:ascii="方正仿宋_GBK" w:hAnsi="宋体" w:eastAsia="方正仿宋_GBK"/>
          <w:sz w:val="24"/>
        </w:rPr>
        <w:t>一、询价内容</w:t>
      </w:r>
      <w:bookmarkEnd w:id="0"/>
      <w:bookmarkEnd w:id="1"/>
      <w:bookmarkEnd w:id="2"/>
      <w:bookmarkEnd w:id="3"/>
      <w:bookmarkEnd w:id="4"/>
      <w:bookmarkEnd w:id="5"/>
      <w:bookmarkEnd w:id="6"/>
      <w:bookmarkEnd w:id="7"/>
    </w:p>
    <w:tbl>
      <w:tblPr>
        <w:tblStyle w:val="10"/>
        <w:tblW w:w="487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2"/>
        <w:gridCol w:w="1199"/>
        <w:gridCol w:w="1136"/>
        <w:gridCol w:w="1136"/>
        <w:gridCol w:w="1839"/>
      </w:tblGrid>
      <w:tr w14:paraId="20BF6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805" w:type="pct"/>
            <w:tcBorders>
              <w:top w:val="single" w:color="auto" w:sz="4" w:space="0"/>
              <w:left w:val="single" w:color="auto" w:sz="4" w:space="0"/>
              <w:right w:val="single" w:color="auto" w:sz="4" w:space="0"/>
            </w:tcBorders>
            <w:noWrap w:val="0"/>
            <w:vAlign w:val="center"/>
          </w:tcPr>
          <w:p w14:paraId="5176F275">
            <w:pPr>
              <w:widowControl/>
              <w:jc w:val="center"/>
              <w:rPr>
                <w:rFonts w:hint="eastAsia" w:ascii="方正仿宋_GBK" w:hAnsi="宋体" w:eastAsia="方正仿宋_GBK" w:cs="宋体"/>
                <w:b/>
                <w:bCs/>
                <w:kern w:val="0"/>
                <w:sz w:val="21"/>
                <w:szCs w:val="24"/>
              </w:rPr>
            </w:pPr>
            <w:r>
              <w:rPr>
                <w:rFonts w:hint="eastAsia" w:ascii="方正仿宋_GBK" w:hAnsi="宋体" w:eastAsia="方正仿宋_GBK" w:cs="宋体"/>
                <w:b/>
                <w:bCs/>
                <w:kern w:val="0"/>
                <w:sz w:val="21"/>
                <w:szCs w:val="24"/>
              </w:rPr>
              <w:t>名称</w:t>
            </w:r>
          </w:p>
        </w:tc>
        <w:tc>
          <w:tcPr>
            <w:tcW w:w="721" w:type="pct"/>
            <w:tcBorders>
              <w:top w:val="single" w:color="auto" w:sz="4" w:space="0"/>
              <w:left w:val="single" w:color="auto" w:sz="4" w:space="0"/>
              <w:right w:val="single" w:color="auto" w:sz="4" w:space="0"/>
            </w:tcBorders>
            <w:noWrap w:val="0"/>
            <w:vAlign w:val="center"/>
          </w:tcPr>
          <w:p w14:paraId="5C09EE7B">
            <w:pPr>
              <w:widowControl/>
              <w:jc w:val="center"/>
              <w:rPr>
                <w:rFonts w:hint="eastAsia" w:ascii="方正仿宋_GBK" w:hAnsi="宋体" w:eastAsia="方正仿宋_GBK" w:cs="宋体"/>
                <w:b/>
                <w:bCs/>
                <w:kern w:val="0"/>
                <w:sz w:val="21"/>
                <w:szCs w:val="24"/>
              </w:rPr>
            </w:pPr>
            <w:r>
              <w:rPr>
                <w:rFonts w:hint="eastAsia" w:ascii="方正仿宋_GBK" w:hAnsi="宋体" w:eastAsia="方正仿宋_GBK" w:cs="宋体"/>
                <w:b/>
                <w:bCs/>
                <w:kern w:val="0"/>
                <w:sz w:val="21"/>
                <w:szCs w:val="24"/>
              </w:rPr>
              <w:t>最高限价（万元）</w:t>
            </w:r>
          </w:p>
        </w:tc>
        <w:tc>
          <w:tcPr>
            <w:tcW w:w="683" w:type="pct"/>
            <w:tcBorders>
              <w:top w:val="single" w:color="auto" w:sz="4" w:space="0"/>
              <w:left w:val="single" w:color="auto" w:sz="4" w:space="0"/>
              <w:right w:val="single" w:color="auto" w:sz="4" w:space="0"/>
            </w:tcBorders>
            <w:noWrap w:val="0"/>
            <w:vAlign w:val="center"/>
          </w:tcPr>
          <w:p w14:paraId="7027D620">
            <w:pPr>
              <w:widowControl/>
              <w:jc w:val="center"/>
              <w:rPr>
                <w:rFonts w:hint="default" w:ascii="方正仿宋_GBK" w:hAnsi="宋体" w:eastAsia="方正仿宋_GBK" w:cs="宋体"/>
                <w:b/>
                <w:bCs/>
                <w:kern w:val="0"/>
                <w:sz w:val="21"/>
                <w:szCs w:val="24"/>
                <w:lang w:val="en-US" w:eastAsia="zh-CN"/>
              </w:rPr>
            </w:pPr>
            <w:r>
              <w:rPr>
                <w:rFonts w:hint="eastAsia" w:ascii="方正仿宋_GBK" w:hAnsi="宋体" w:eastAsia="方正仿宋_GBK"/>
                <w:b/>
                <w:sz w:val="21"/>
                <w:szCs w:val="21"/>
              </w:rPr>
              <w:t>数量/单位</w:t>
            </w:r>
          </w:p>
        </w:tc>
        <w:tc>
          <w:tcPr>
            <w:tcW w:w="683" w:type="pct"/>
            <w:tcBorders>
              <w:top w:val="single" w:color="auto" w:sz="4" w:space="0"/>
              <w:left w:val="single" w:color="auto" w:sz="4" w:space="0"/>
              <w:right w:val="single" w:color="auto" w:sz="4" w:space="0"/>
            </w:tcBorders>
            <w:noWrap w:val="0"/>
            <w:vAlign w:val="center"/>
          </w:tcPr>
          <w:p w14:paraId="21FB1944">
            <w:pPr>
              <w:widowControl/>
              <w:jc w:val="center"/>
              <w:rPr>
                <w:rFonts w:hint="eastAsia" w:ascii="方正仿宋_GBK" w:hAnsi="宋体" w:eastAsia="方正仿宋_GBK" w:cs="宋体"/>
                <w:b/>
                <w:bCs/>
                <w:kern w:val="0"/>
                <w:sz w:val="21"/>
                <w:szCs w:val="24"/>
              </w:rPr>
            </w:pPr>
            <w:r>
              <w:rPr>
                <w:rFonts w:hint="eastAsia" w:ascii="方正仿宋_GBK" w:hAnsi="宋体" w:eastAsia="方正仿宋_GBK" w:cs="宋体"/>
                <w:b/>
                <w:bCs/>
                <w:kern w:val="0"/>
                <w:sz w:val="21"/>
                <w:szCs w:val="24"/>
              </w:rPr>
              <w:t>保证金</w:t>
            </w:r>
          </w:p>
          <w:p w14:paraId="1E7639D9">
            <w:pPr>
              <w:jc w:val="center"/>
              <w:rPr>
                <w:rFonts w:hint="eastAsia" w:ascii="方正仿宋_GBK" w:hAnsi="宋体" w:eastAsia="方正仿宋_GBK" w:cs="宋体"/>
                <w:b/>
                <w:bCs/>
                <w:kern w:val="0"/>
                <w:sz w:val="21"/>
                <w:szCs w:val="24"/>
              </w:rPr>
            </w:pPr>
            <w:r>
              <w:rPr>
                <w:rFonts w:hint="eastAsia" w:ascii="方正仿宋_GBK" w:hAnsi="宋体" w:eastAsia="方正仿宋_GBK" w:cs="宋体"/>
                <w:b/>
                <w:bCs/>
                <w:kern w:val="0"/>
                <w:sz w:val="21"/>
                <w:szCs w:val="24"/>
              </w:rPr>
              <w:t>（万元）</w:t>
            </w:r>
          </w:p>
        </w:tc>
        <w:tc>
          <w:tcPr>
            <w:tcW w:w="1106" w:type="pct"/>
            <w:tcBorders>
              <w:top w:val="single" w:color="auto" w:sz="4" w:space="0"/>
              <w:left w:val="single" w:color="auto" w:sz="4" w:space="0"/>
              <w:right w:val="single" w:color="auto" w:sz="4" w:space="0"/>
            </w:tcBorders>
            <w:noWrap w:val="0"/>
            <w:vAlign w:val="center"/>
          </w:tcPr>
          <w:p w14:paraId="79507DFC">
            <w:pPr>
              <w:jc w:val="center"/>
              <w:rPr>
                <w:rFonts w:hint="eastAsia" w:ascii="方正仿宋_GBK" w:hAnsi="宋体" w:eastAsia="方正仿宋_GBK" w:cs="宋体"/>
                <w:b/>
                <w:bCs/>
                <w:kern w:val="0"/>
                <w:sz w:val="21"/>
                <w:szCs w:val="24"/>
              </w:rPr>
            </w:pPr>
            <w:r>
              <w:rPr>
                <w:rFonts w:hint="eastAsia" w:ascii="方正仿宋_GBK" w:hAnsi="宋体" w:eastAsia="方正仿宋_GBK" w:cs="宋体"/>
                <w:b/>
                <w:bCs/>
                <w:kern w:val="0"/>
                <w:sz w:val="21"/>
                <w:szCs w:val="24"/>
              </w:rPr>
              <w:t>成交供应商数量（名）</w:t>
            </w:r>
          </w:p>
        </w:tc>
      </w:tr>
      <w:tr w14:paraId="0A33B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805" w:type="pct"/>
            <w:tcBorders>
              <w:top w:val="single" w:color="auto" w:sz="4" w:space="0"/>
              <w:left w:val="single" w:color="auto" w:sz="4" w:space="0"/>
              <w:bottom w:val="single" w:color="auto" w:sz="4" w:space="0"/>
              <w:right w:val="single" w:color="auto" w:sz="4" w:space="0"/>
            </w:tcBorders>
            <w:noWrap w:val="0"/>
            <w:vAlign w:val="center"/>
          </w:tcPr>
          <w:p w14:paraId="466941FD">
            <w:pPr>
              <w:widowControl/>
              <w:jc w:val="center"/>
              <w:rPr>
                <w:rFonts w:hint="default" w:ascii="方正仿宋_GBK" w:hAnsi="宋体" w:eastAsia="方正仿宋_GBK" w:cs="宋体"/>
                <w:kern w:val="0"/>
                <w:sz w:val="21"/>
                <w:szCs w:val="24"/>
                <w:lang w:val="en-US" w:eastAsia="zh-CN"/>
              </w:rPr>
            </w:pPr>
            <w:bookmarkStart w:id="8" w:name="_Hlk344477914"/>
            <w:r>
              <w:rPr>
                <w:rFonts w:hint="eastAsia" w:ascii="方正仿宋_GBK" w:hAnsi="宋体" w:eastAsia="方正仿宋_GBK" w:cs="宋体"/>
                <w:kern w:val="0"/>
                <w:sz w:val="21"/>
                <w:szCs w:val="24"/>
                <w:lang w:val="en-US" w:eastAsia="zh-CN"/>
              </w:rPr>
              <w:t>可复用医疗器械消毒灭菌服务</w:t>
            </w:r>
          </w:p>
        </w:tc>
        <w:tc>
          <w:tcPr>
            <w:tcW w:w="721" w:type="pct"/>
            <w:tcBorders>
              <w:top w:val="single" w:color="auto" w:sz="4" w:space="0"/>
              <w:left w:val="single" w:color="auto" w:sz="4" w:space="0"/>
              <w:bottom w:val="single" w:color="auto" w:sz="4" w:space="0"/>
              <w:right w:val="single" w:color="auto" w:sz="4" w:space="0"/>
            </w:tcBorders>
            <w:noWrap w:val="0"/>
            <w:vAlign w:val="center"/>
          </w:tcPr>
          <w:p w14:paraId="2EB80AE4">
            <w:pPr>
              <w:jc w:val="center"/>
              <w:rPr>
                <w:rFonts w:hint="default" w:ascii="方正仿宋_GBK" w:hAnsi="宋体" w:eastAsia="方正仿宋_GBK"/>
                <w:sz w:val="21"/>
                <w:szCs w:val="21"/>
                <w:lang w:val="en-US" w:eastAsia="zh-CN"/>
              </w:rPr>
            </w:pPr>
            <w:r>
              <w:rPr>
                <w:rFonts w:hint="eastAsia" w:ascii="方正仿宋_GBK" w:hAnsi="宋体" w:eastAsia="方正仿宋_GBK"/>
                <w:sz w:val="21"/>
                <w:szCs w:val="21"/>
                <w:lang w:val="en-US" w:eastAsia="zh-CN"/>
              </w:rPr>
              <w:t>4.8</w:t>
            </w:r>
          </w:p>
        </w:tc>
        <w:tc>
          <w:tcPr>
            <w:tcW w:w="683" w:type="pct"/>
            <w:tcBorders>
              <w:top w:val="single" w:color="auto" w:sz="4" w:space="0"/>
              <w:left w:val="single" w:color="auto" w:sz="4" w:space="0"/>
              <w:bottom w:val="single" w:color="auto" w:sz="4" w:space="0"/>
              <w:right w:val="single" w:color="auto" w:sz="4" w:space="0"/>
            </w:tcBorders>
            <w:noWrap w:val="0"/>
            <w:vAlign w:val="center"/>
          </w:tcPr>
          <w:p w14:paraId="462C60D1">
            <w:pPr>
              <w:jc w:val="center"/>
              <w:rPr>
                <w:rFonts w:hint="default" w:ascii="方正仿宋_GBK" w:hAnsi="宋体" w:eastAsia="方正仿宋_GBK"/>
                <w:sz w:val="21"/>
                <w:szCs w:val="21"/>
                <w:lang w:val="en-US" w:eastAsia="zh-CN"/>
              </w:rPr>
            </w:pPr>
            <w:r>
              <w:rPr>
                <w:rFonts w:hint="eastAsia" w:ascii="方正仿宋_GBK" w:hAnsi="宋体" w:eastAsia="方正仿宋_GBK"/>
                <w:sz w:val="21"/>
                <w:szCs w:val="21"/>
                <w:lang w:val="en-US" w:eastAsia="zh-CN"/>
              </w:rPr>
              <w:t>1年</w:t>
            </w:r>
          </w:p>
        </w:tc>
        <w:tc>
          <w:tcPr>
            <w:tcW w:w="683" w:type="pct"/>
            <w:tcBorders>
              <w:top w:val="single" w:color="auto" w:sz="4" w:space="0"/>
              <w:left w:val="single" w:color="auto" w:sz="4" w:space="0"/>
              <w:bottom w:val="single" w:color="auto" w:sz="4" w:space="0"/>
              <w:right w:val="single" w:color="auto" w:sz="4" w:space="0"/>
            </w:tcBorders>
            <w:noWrap w:val="0"/>
            <w:vAlign w:val="center"/>
          </w:tcPr>
          <w:p w14:paraId="236DBBC4">
            <w:pPr>
              <w:jc w:val="center"/>
              <w:rPr>
                <w:rFonts w:hint="eastAsia" w:ascii="方正仿宋_GBK" w:hAnsi="宋体" w:eastAsia="方正仿宋_GBK"/>
                <w:sz w:val="21"/>
                <w:szCs w:val="21"/>
                <w:lang w:val="en-US" w:eastAsia="zh-CN"/>
              </w:rPr>
            </w:pPr>
            <w:r>
              <w:rPr>
                <w:rFonts w:hint="eastAsia" w:ascii="方正仿宋_GBK" w:hAnsi="宋体" w:eastAsia="方正仿宋_GBK"/>
                <w:sz w:val="21"/>
                <w:szCs w:val="21"/>
                <w:lang w:val="en-US" w:eastAsia="zh-CN"/>
              </w:rPr>
              <w:t>0</w:t>
            </w:r>
          </w:p>
        </w:tc>
        <w:tc>
          <w:tcPr>
            <w:tcW w:w="1106" w:type="pct"/>
            <w:tcBorders>
              <w:top w:val="single" w:color="auto" w:sz="4" w:space="0"/>
              <w:left w:val="single" w:color="auto" w:sz="4" w:space="0"/>
              <w:bottom w:val="single" w:color="auto" w:sz="4" w:space="0"/>
              <w:right w:val="single" w:color="auto" w:sz="4" w:space="0"/>
            </w:tcBorders>
            <w:noWrap w:val="0"/>
            <w:vAlign w:val="center"/>
          </w:tcPr>
          <w:p w14:paraId="0447596F">
            <w:pPr>
              <w:jc w:val="center"/>
              <w:rPr>
                <w:rFonts w:hint="eastAsia" w:ascii="方正仿宋_GBK" w:hAnsi="宋体" w:eastAsia="方正仿宋_GBK"/>
                <w:sz w:val="21"/>
                <w:szCs w:val="21"/>
                <w:lang w:val="en-US" w:eastAsia="zh-CN"/>
              </w:rPr>
            </w:pPr>
            <w:r>
              <w:rPr>
                <w:rFonts w:hint="eastAsia" w:ascii="方正仿宋_GBK" w:hAnsi="宋体" w:eastAsia="方正仿宋_GBK"/>
                <w:sz w:val="21"/>
                <w:szCs w:val="21"/>
                <w:lang w:val="en-US" w:eastAsia="zh-CN"/>
              </w:rPr>
              <w:t>1</w:t>
            </w:r>
          </w:p>
        </w:tc>
      </w:tr>
      <w:bookmarkEnd w:id="8"/>
    </w:tbl>
    <w:p w14:paraId="1718A0C6">
      <w:pPr>
        <w:pStyle w:val="3"/>
        <w:adjustRightInd w:val="0"/>
        <w:snapToGrid w:val="0"/>
        <w:spacing w:before="0" w:after="0" w:line="400" w:lineRule="exact"/>
        <w:ind w:firstLine="482" w:firstLineChars="200"/>
        <w:rPr>
          <w:rFonts w:hint="eastAsia" w:ascii="方正仿宋_GBK" w:hAnsi="宋体" w:eastAsia="方正仿宋_GBK"/>
          <w:sz w:val="24"/>
        </w:rPr>
      </w:pPr>
      <w:bookmarkStart w:id="9" w:name="_Toc27028"/>
      <w:bookmarkStart w:id="10" w:name="_Toc65660331"/>
      <w:bookmarkStart w:id="11" w:name="_Toc106034771"/>
      <w:bookmarkStart w:id="12" w:name="_Toc4637"/>
      <w:bookmarkStart w:id="13" w:name="_Toc4424"/>
      <w:bookmarkStart w:id="14" w:name="_Toc3256"/>
      <w:r>
        <w:rPr>
          <w:rFonts w:hint="eastAsia" w:ascii="方正仿宋_GBK" w:hAnsi="宋体" w:eastAsia="方正仿宋_GBK"/>
          <w:sz w:val="24"/>
        </w:rPr>
        <w:t>二、资金来源</w:t>
      </w:r>
      <w:bookmarkEnd w:id="9"/>
      <w:bookmarkEnd w:id="10"/>
      <w:bookmarkEnd w:id="11"/>
      <w:bookmarkEnd w:id="12"/>
      <w:bookmarkEnd w:id="13"/>
      <w:bookmarkEnd w:id="14"/>
    </w:p>
    <w:p w14:paraId="75EC5E36">
      <w:pPr>
        <w:spacing w:line="400" w:lineRule="exact"/>
        <w:ind w:firstLine="480" w:firstLineChars="200"/>
        <w:rPr>
          <w:rFonts w:hint="eastAsia" w:ascii="方正仿宋_GBK" w:hAnsi="宋体" w:eastAsia="方正仿宋_GBK"/>
          <w:sz w:val="24"/>
          <w:szCs w:val="24"/>
        </w:rPr>
      </w:pPr>
      <w:r>
        <w:rPr>
          <w:rFonts w:hint="eastAsia" w:ascii="方正仿宋_GBK" w:hAnsi="仿宋" w:eastAsia="方正仿宋_GBK"/>
          <w:sz w:val="24"/>
          <w:szCs w:val="24"/>
        </w:rPr>
        <w:t>单位自筹资金，采购预算</w:t>
      </w:r>
      <w:r>
        <w:rPr>
          <w:rFonts w:hint="eastAsia" w:ascii="方正仿宋_GBK" w:hAnsi="仿宋" w:eastAsia="方正仿宋_GBK"/>
          <w:sz w:val="24"/>
          <w:szCs w:val="24"/>
          <w:lang w:val="en-US" w:eastAsia="zh-CN"/>
        </w:rPr>
        <w:t>4.8</w:t>
      </w:r>
      <w:r>
        <w:rPr>
          <w:rFonts w:hint="eastAsia" w:ascii="方正仿宋_GBK" w:hAnsi="仿宋" w:eastAsia="方正仿宋_GBK"/>
          <w:sz w:val="24"/>
          <w:szCs w:val="24"/>
        </w:rPr>
        <w:t>万元。</w:t>
      </w:r>
    </w:p>
    <w:p w14:paraId="6F630C2D">
      <w:pPr>
        <w:pStyle w:val="3"/>
        <w:adjustRightInd w:val="0"/>
        <w:snapToGrid w:val="0"/>
        <w:spacing w:before="0" w:after="0" w:line="400" w:lineRule="exact"/>
        <w:ind w:firstLine="482" w:firstLineChars="200"/>
        <w:rPr>
          <w:rFonts w:hint="eastAsia" w:ascii="方正仿宋_GBK" w:hAnsi="宋体" w:eastAsia="方正仿宋_GBK"/>
          <w:sz w:val="24"/>
        </w:rPr>
      </w:pPr>
      <w:bookmarkStart w:id="15" w:name="_Toc64731996"/>
      <w:bookmarkStart w:id="16" w:name="_Toc65660332"/>
      <w:bookmarkStart w:id="17" w:name="_Toc20867"/>
      <w:bookmarkStart w:id="18" w:name="_Toc13541"/>
      <w:bookmarkStart w:id="19" w:name="_Toc18548"/>
      <w:bookmarkStart w:id="20" w:name="_Toc106034772"/>
      <w:bookmarkStart w:id="21" w:name="_Toc13797"/>
      <w:r>
        <w:rPr>
          <w:rFonts w:hint="eastAsia" w:ascii="方正仿宋_GBK" w:hAnsi="宋体" w:eastAsia="方正仿宋_GBK"/>
          <w:sz w:val="24"/>
        </w:rPr>
        <w:t>三、供应商资格条件</w:t>
      </w:r>
      <w:bookmarkEnd w:id="15"/>
      <w:bookmarkEnd w:id="16"/>
      <w:bookmarkEnd w:id="17"/>
      <w:bookmarkEnd w:id="18"/>
      <w:bookmarkEnd w:id="19"/>
      <w:bookmarkEnd w:id="20"/>
      <w:bookmarkEnd w:id="21"/>
    </w:p>
    <w:p w14:paraId="782E397A">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（一）满足《中华人民共和国政府采购法》第二十二条规定；</w:t>
      </w:r>
    </w:p>
    <w:p w14:paraId="7AD2F9F5">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lang w:eastAsia="zh-CN"/>
        </w:rPr>
        <w:t>（</w:t>
      </w:r>
      <w:r>
        <w:rPr>
          <w:rFonts w:hint="eastAsia" w:ascii="方正仿宋_GBK" w:hAnsi="宋体" w:eastAsia="方正仿宋_GBK"/>
          <w:sz w:val="24"/>
          <w:szCs w:val="24"/>
          <w:lang w:val="en-US" w:eastAsia="zh-CN"/>
        </w:rPr>
        <w:t>二</w:t>
      </w:r>
      <w:r>
        <w:rPr>
          <w:rFonts w:hint="eastAsia" w:ascii="方正仿宋_GBK" w:hAnsi="宋体" w:eastAsia="方正仿宋_GBK"/>
          <w:sz w:val="24"/>
          <w:szCs w:val="24"/>
          <w:lang w:eastAsia="zh-CN"/>
        </w:rPr>
        <w:t>）</w:t>
      </w:r>
      <w:r>
        <w:rPr>
          <w:rFonts w:hint="eastAsia" w:ascii="方正仿宋_GBK" w:hAnsi="宋体" w:eastAsia="方正仿宋_GBK"/>
          <w:sz w:val="24"/>
          <w:szCs w:val="24"/>
        </w:rPr>
        <w:t>本项目的特定资格要求：</w:t>
      </w:r>
    </w:p>
    <w:p w14:paraId="54EC6CC2">
      <w:pPr>
        <w:spacing w:line="400" w:lineRule="exact"/>
        <w:ind w:firstLine="480" w:firstLineChars="200"/>
        <w:rPr>
          <w:rFonts w:hint="default" w:eastAsia="方正仿宋_GBK"/>
          <w:lang w:val="en-US" w:eastAsia="zh-CN"/>
        </w:rPr>
      </w:pPr>
      <w:r>
        <w:rPr>
          <w:rFonts w:hint="eastAsia" w:ascii="方正仿宋_GBK" w:hAnsi="宋体" w:eastAsia="方正仿宋_GBK"/>
          <w:sz w:val="24"/>
          <w:szCs w:val="24"/>
        </w:rPr>
        <w:t>响应供应商须取得《医疗机构执业许可证》</w:t>
      </w:r>
      <w:r>
        <w:rPr>
          <w:rFonts w:hint="eastAsia" w:ascii="方正仿宋_GBK" w:hAnsi="宋体" w:eastAsia="方正仿宋_GBK"/>
          <w:sz w:val="24"/>
          <w:szCs w:val="24"/>
          <w:lang w:eastAsia="zh-CN"/>
        </w:rPr>
        <w:t>、</w:t>
      </w:r>
      <w:r>
        <w:rPr>
          <w:rFonts w:hint="eastAsia" w:ascii="方正仿宋_GBK" w:hAnsi="宋体" w:eastAsia="方正仿宋_GBK"/>
          <w:sz w:val="24"/>
          <w:szCs w:val="24"/>
          <w:lang w:val="en-US" w:eastAsia="zh-CN"/>
        </w:rPr>
        <w:t>营业执照（经营范围必须包含消毒服务项目许可）。</w:t>
      </w:r>
    </w:p>
    <w:p w14:paraId="2E989D21">
      <w:pPr>
        <w:pStyle w:val="3"/>
        <w:adjustRightInd w:val="0"/>
        <w:snapToGrid w:val="0"/>
        <w:spacing w:before="0" w:after="0" w:line="400" w:lineRule="exact"/>
        <w:ind w:firstLine="482" w:firstLineChars="200"/>
        <w:rPr>
          <w:rFonts w:hint="eastAsia" w:ascii="方正仿宋_GBK" w:hAnsi="宋体" w:eastAsia="方正仿宋_GBK"/>
          <w:sz w:val="24"/>
        </w:rPr>
      </w:pPr>
      <w:bookmarkStart w:id="22" w:name="_Toc27726"/>
      <w:bookmarkStart w:id="23" w:name="_Toc106034773"/>
      <w:bookmarkStart w:id="24" w:name="_Toc65660333"/>
      <w:bookmarkStart w:id="25" w:name="_Toc1386"/>
      <w:bookmarkStart w:id="26" w:name="_Toc13903"/>
      <w:bookmarkStart w:id="27" w:name="_Toc11908"/>
      <w:r>
        <w:rPr>
          <w:rFonts w:hint="eastAsia" w:ascii="方正仿宋_GBK" w:hAnsi="宋体" w:eastAsia="方正仿宋_GBK"/>
          <w:sz w:val="24"/>
        </w:rPr>
        <w:t>四、询价有关说明</w:t>
      </w:r>
      <w:bookmarkEnd w:id="22"/>
      <w:bookmarkEnd w:id="23"/>
      <w:bookmarkEnd w:id="24"/>
      <w:bookmarkEnd w:id="25"/>
      <w:bookmarkEnd w:id="26"/>
      <w:bookmarkEnd w:id="27"/>
    </w:p>
    <w:p w14:paraId="4A0957CC">
      <w:pPr>
        <w:snapToGrid w:val="0"/>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凡有意参加询价的供应商，请在</w:t>
      </w:r>
      <w:r>
        <w:rPr>
          <w:rFonts w:hint="eastAsia" w:ascii="方正仿宋_GBK" w:hAnsi="宋体" w:eastAsia="方正仿宋_GBK"/>
          <w:sz w:val="24"/>
          <w:szCs w:val="24"/>
          <w:lang w:eastAsia="zh-CN"/>
        </w:rPr>
        <w:t>“</w:t>
      </w:r>
      <w:r>
        <w:rPr>
          <w:rFonts w:hint="eastAsia" w:ascii="方正仿宋_GBK" w:hAnsi="宋体" w:eastAsia="方正仿宋_GBK"/>
          <w:sz w:val="24"/>
          <w:szCs w:val="24"/>
          <w:lang w:val="en-US" w:eastAsia="zh-CN"/>
        </w:rPr>
        <w:t>行采家</w:t>
      </w:r>
      <w:r>
        <w:rPr>
          <w:rFonts w:hint="eastAsia" w:ascii="方正仿宋_GBK" w:hAnsi="宋体" w:eastAsia="方正仿宋_GBK"/>
          <w:sz w:val="24"/>
          <w:szCs w:val="24"/>
          <w:lang w:eastAsia="zh-CN"/>
        </w:rPr>
        <w:t>”</w:t>
      </w:r>
      <w:r>
        <w:rPr>
          <w:rFonts w:hint="eastAsia" w:ascii="方正仿宋_GBK" w:hAnsi="宋体" w:eastAsia="方正仿宋_GBK"/>
          <w:sz w:val="24"/>
          <w:szCs w:val="24"/>
          <w:lang w:val="en-US" w:eastAsia="zh-CN"/>
        </w:rPr>
        <w:t>网上下载</w:t>
      </w:r>
      <w:r>
        <w:rPr>
          <w:rFonts w:hint="eastAsia" w:ascii="方正仿宋_GBK" w:hAnsi="宋体" w:eastAsia="方正仿宋_GBK"/>
          <w:sz w:val="24"/>
          <w:szCs w:val="24"/>
        </w:rPr>
        <w:t>本项目询价通知书等报价前公布的所有项目资料，无论供应商下载或领取与否，均视为已知晓所有实质性要求内容。</w:t>
      </w:r>
    </w:p>
    <w:p w14:paraId="486225D2">
      <w:pPr>
        <w:pStyle w:val="3"/>
        <w:adjustRightInd w:val="0"/>
        <w:snapToGrid w:val="0"/>
        <w:spacing w:before="0" w:after="0" w:line="400" w:lineRule="exact"/>
        <w:ind w:firstLine="482" w:firstLineChars="200"/>
        <w:rPr>
          <w:rFonts w:hint="eastAsia" w:ascii="方正仿宋_GBK" w:hAnsi="宋体" w:eastAsia="方正仿宋_GBK"/>
          <w:sz w:val="24"/>
        </w:rPr>
      </w:pPr>
      <w:bookmarkStart w:id="28" w:name="_Toc6563"/>
      <w:bookmarkStart w:id="29" w:name="_Toc4728"/>
      <w:bookmarkStart w:id="30" w:name="_Toc525047163"/>
      <w:bookmarkStart w:id="31" w:name="_Toc106034776"/>
      <w:bookmarkStart w:id="32" w:name="_Toc65660336"/>
      <w:bookmarkStart w:id="33" w:name="_Toc521053055"/>
      <w:bookmarkStart w:id="34" w:name="_Toc16196"/>
      <w:bookmarkStart w:id="35" w:name="_Toc16269"/>
      <w:r>
        <w:rPr>
          <w:rFonts w:hint="eastAsia" w:ascii="方正仿宋_GBK" w:hAnsi="宋体" w:eastAsia="方正仿宋_GBK"/>
          <w:sz w:val="24"/>
          <w:lang w:val="en-US" w:eastAsia="zh-CN"/>
        </w:rPr>
        <w:t>五</w:t>
      </w:r>
      <w:r>
        <w:rPr>
          <w:rFonts w:hint="eastAsia" w:ascii="方正仿宋_GBK" w:hAnsi="宋体" w:eastAsia="方正仿宋_GBK"/>
          <w:sz w:val="24"/>
        </w:rPr>
        <w:t>、其它有关规定</w:t>
      </w:r>
      <w:bookmarkEnd w:id="28"/>
      <w:bookmarkEnd w:id="29"/>
      <w:bookmarkEnd w:id="30"/>
      <w:bookmarkEnd w:id="31"/>
      <w:bookmarkEnd w:id="32"/>
      <w:bookmarkEnd w:id="33"/>
      <w:bookmarkEnd w:id="34"/>
      <w:bookmarkEnd w:id="35"/>
    </w:p>
    <w:p w14:paraId="6057847E">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（一）单位负责人为同一人或者存在直接控股、管理关系的不同供应商，</w:t>
      </w:r>
      <w:r>
        <w:rPr>
          <w:rFonts w:ascii="方正仿宋_GBK" w:hAnsi="宋体" w:eastAsia="方正仿宋_GBK"/>
          <w:sz w:val="24"/>
          <w:szCs w:val="24"/>
        </w:rPr>
        <w:t>不得参加同一合同项</w:t>
      </w:r>
      <w:r>
        <w:rPr>
          <w:rFonts w:hint="eastAsia" w:ascii="方正仿宋_GBK" w:hAnsi="宋体" w:eastAsia="方正仿宋_GBK"/>
          <w:sz w:val="24"/>
          <w:szCs w:val="24"/>
        </w:rPr>
        <w:t>（包）</w:t>
      </w:r>
      <w:r>
        <w:rPr>
          <w:rFonts w:ascii="方正仿宋_GBK" w:hAnsi="宋体" w:eastAsia="方正仿宋_GBK"/>
          <w:sz w:val="24"/>
          <w:szCs w:val="24"/>
        </w:rPr>
        <w:t>下的政府采购活动</w:t>
      </w:r>
      <w:r>
        <w:rPr>
          <w:rFonts w:hint="eastAsia" w:ascii="方正仿宋_GBK" w:hAnsi="宋体" w:eastAsia="方正仿宋_GBK"/>
          <w:sz w:val="24"/>
          <w:szCs w:val="24"/>
        </w:rPr>
        <w:t>，否则均为无效报价。</w:t>
      </w:r>
    </w:p>
    <w:p w14:paraId="7DCA6CC8">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（二）为采购项目提供整体设计、规范编制或者项目管理、监理、检测等服务的供应商，不得再</w:t>
      </w:r>
      <w:r>
        <w:rPr>
          <w:rFonts w:ascii="方正仿宋_GBK" w:hAnsi="宋体" w:eastAsia="方正仿宋_GBK"/>
          <w:sz w:val="24"/>
          <w:szCs w:val="24"/>
        </w:rPr>
        <w:t>参加</w:t>
      </w:r>
      <w:r>
        <w:rPr>
          <w:rFonts w:hint="eastAsia" w:ascii="方正仿宋_GBK" w:hAnsi="宋体" w:eastAsia="方正仿宋_GBK"/>
          <w:sz w:val="24"/>
          <w:szCs w:val="24"/>
        </w:rPr>
        <w:t>该采购</w:t>
      </w:r>
      <w:r>
        <w:rPr>
          <w:rFonts w:ascii="方正仿宋_GBK" w:hAnsi="宋体" w:eastAsia="方正仿宋_GBK"/>
          <w:sz w:val="24"/>
          <w:szCs w:val="24"/>
        </w:rPr>
        <w:t>项目的</w:t>
      </w:r>
      <w:r>
        <w:rPr>
          <w:rFonts w:hint="eastAsia" w:ascii="方正仿宋_GBK" w:hAnsi="宋体" w:eastAsia="方正仿宋_GBK"/>
          <w:sz w:val="24"/>
          <w:szCs w:val="24"/>
        </w:rPr>
        <w:t>其他</w:t>
      </w:r>
      <w:r>
        <w:rPr>
          <w:rFonts w:ascii="方正仿宋_GBK" w:hAnsi="宋体" w:eastAsia="方正仿宋_GBK"/>
          <w:sz w:val="24"/>
          <w:szCs w:val="24"/>
        </w:rPr>
        <w:t>采购活动</w:t>
      </w:r>
      <w:r>
        <w:rPr>
          <w:rFonts w:hint="eastAsia" w:ascii="方正仿宋_GBK" w:hAnsi="宋体" w:eastAsia="方正仿宋_GBK"/>
          <w:sz w:val="24"/>
          <w:szCs w:val="24"/>
        </w:rPr>
        <w:t>。</w:t>
      </w:r>
    </w:p>
    <w:p w14:paraId="185A487D">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（三）同一合同项（包）下的货物，制造商参与报价的，不得再委托代理商参与报价。</w:t>
      </w:r>
    </w:p>
    <w:p w14:paraId="59C4BF23">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（四）本项目的澄清文件（如果有）一律在</w:t>
      </w:r>
      <w:r>
        <w:rPr>
          <w:rFonts w:hint="eastAsia" w:ascii="方正仿宋_GBK" w:hAnsi="宋体" w:eastAsia="方正仿宋_GBK"/>
          <w:sz w:val="24"/>
          <w:szCs w:val="24"/>
          <w:lang w:eastAsia="zh-CN"/>
        </w:rPr>
        <w:t>“</w:t>
      </w:r>
      <w:r>
        <w:rPr>
          <w:rFonts w:hint="eastAsia" w:ascii="方正仿宋_GBK" w:hAnsi="宋体" w:eastAsia="方正仿宋_GBK"/>
          <w:sz w:val="24"/>
          <w:szCs w:val="24"/>
          <w:lang w:val="en-US" w:eastAsia="zh-CN"/>
        </w:rPr>
        <w:t>行采家</w:t>
      </w:r>
      <w:r>
        <w:rPr>
          <w:rFonts w:hint="eastAsia" w:ascii="方正仿宋_GBK" w:hAnsi="宋体" w:eastAsia="方正仿宋_GBK"/>
          <w:sz w:val="24"/>
          <w:szCs w:val="24"/>
          <w:lang w:eastAsia="zh-CN"/>
        </w:rPr>
        <w:t>”</w:t>
      </w:r>
      <w:r>
        <w:rPr>
          <w:rFonts w:hint="eastAsia" w:ascii="方正仿宋_GBK" w:hAnsi="宋体" w:eastAsia="方正仿宋_GBK"/>
          <w:sz w:val="24"/>
          <w:szCs w:val="24"/>
          <w:lang w:val="en-US" w:eastAsia="zh-CN"/>
        </w:rPr>
        <w:t>网</w:t>
      </w:r>
      <w:r>
        <w:rPr>
          <w:rFonts w:hint="eastAsia" w:ascii="方正仿宋_GBK" w:hAnsi="宋体" w:eastAsia="方正仿宋_GBK"/>
          <w:sz w:val="24"/>
          <w:szCs w:val="24"/>
        </w:rPr>
        <w:t>上发布，请各供应商注意下载；无论供应商下与否，均视同供应商已知晓本项目澄清文件（如果有）的内容。</w:t>
      </w:r>
    </w:p>
    <w:p w14:paraId="6997DAA3">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（五）超过响应文件截止时间递交的响应文件，恕不接收。</w:t>
      </w:r>
    </w:p>
    <w:p w14:paraId="6070A519">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sz w:val="24"/>
          <w:szCs w:val="24"/>
        </w:rPr>
        <w:t>（六）询价费用：无论询价结果如何，供应商参与本项目询价的所有费用均应由供应商自行承担。</w:t>
      </w:r>
    </w:p>
    <w:p w14:paraId="7D63272F">
      <w:pPr>
        <w:snapToGrid w:val="0"/>
        <w:spacing w:line="400" w:lineRule="exact"/>
        <w:ind w:firstLine="361" w:firstLineChars="150"/>
        <w:rPr>
          <w:rFonts w:hint="eastAsia" w:ascii="方正仿宋_GBK" w:hAnsi="宋体" w:eastAsia="方正仿宋_GBK"/>
          <w:sz w:val="24"/>
          <w:szCs w:val="24"/>
        </w:rPr>
      </w:pPr>
      <w:r>
        <w:rPr>
          <w:rFonts w:hint="eastAsia" w:ascii="方正仿宋_GBK" w:hAnsi="宋体" w:eastAsia="方正仿宋_GBK"/>
          <w:b/>
          <w:bCs/>
          <w:sz w:val="24"/>
          <w:szCs w:val="24"/>
        </w:rPr>
        <w:t>（七）</w:t>
      </w:r>
      <w:r>
        <w:rPr>
          <w:rFonts w:hint="eastAsia" w:ascii="方正仿宋_GBK" w:hAnsi="宋体" w:eastAsia="方正仿宋_GBK"/>
          <w:b/>
          <w:i w:val="0"/>
          <w:iCs w:val="0"/>
          <w:sz w:val="24"/>
          <w:szCs w:val="24"/>
        </w:rPr>
        <w:t>本项目不接受联合体参与报价，否则按无效处理。</w:t>
      </w:r>
    </w:p>
    <w:p w14:paraId="65A70D1F">
      <w:pPr>
        <w:snapToGrid w:val="0"/>
        <w:spacing w:line="400" w:lineRule="exact"/>
        <w:ind w:firstLine="361" w:firstLineChars="150"/>
        <w:rPr>
          <w:rFonts w:hint="eastAsia" w:ascii="方正仿宋_GBK" w:hAnsi="宋体" w:eastAsia="方正仿宋_GBK"/>
          <w:b/>
          <w:sz w:val="24"/>
          <w:szCs w:val="24"/>
        </w:rPr>
      </w:pPr>
      <w:r>
        <w:rPr>
          <w:rFonts w:hint="eastAsia" w:ascii="方正仿宋_GBK" w:hAnsi="宋体" w:eastAsia="方正仿宋_GBK"/>
          <w:b/>
          <w:sz w:val="24"/>
          <w:szCs w:val="24"/>
        </w:rPr>
        <w:t>（八）</w:t>
      </w:r>
      <w:r>
        <w:rPr>
          <w:rFonts w:hint="eastAsia" w:ascii="方正仿宋_GBK" w:hAnsi="宋体" w:eastAsia="方正仿宋_GBK"/>
          <w:b/>
          <w:i w:val="0"/>
          <w:iCs w:val="0"/>
          <w:sz w:val="24"/>
          <w:szCs w:val="24"/>
        </w:rPr>
        <w:t>本项目不接受合同分包，否则按无效处理。</w:t>
      </w:r>
    </w:p>
    <w:p w14:paraId="2978982D">
      <w:pPr>
        <w:snapToGrid w:val="0"/>
        <w:spacing w:line="400" w:lineRule="exact"/>
        <w:ind w:firstLine="360" w:firstLineChars="150"/>
        <w:rPr>
          <w:rFonts w:hint="eastAsia" w:ascii="方正仿宋_GBK" w:hAnsi="宋体" w:eastAsia="方正仿宋_GBK"/>
          <w:sz w:val="24"/>
          <w:szCs w:val="24"/>
        </w:rPr>
      </w:pPr>
      <w:r>
        <w:rPr>
          <w:rFonts w:hint="eastAsia" w:ascii="方正仿宋_GBK" w:hAnsi="宋体" w:eastAsia="方正仿宋_GBK"/>
          <w:bCs/>
          <w:sz w:val="24"/>
          <w:szCs w:val="24"/>
        </w:rPr>
        <w:t>（九）</w:t>
      </w:r>
      <w:r>
        <w:rPr>
          <w:rFonts w:hint="eastAsia" w:ascii="方正仿宋_GBK" w:hAnsi="宋体" w:eastAsia="方正仿宋_GBK"/>
          <w:sz w:val="24"/>
          <w:szCs w:val="24"/>
        </w:rPr>
        <w:t>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6A821991">
      <w:pPr>
        <w:pStyle w:val="3"/>
        <w:adjustRightInd w:val="0"/>
        <w:snapToGrid w:val="0"/>
        <w:spacing w:before="0" w:after="0" w:line="400" w:lineRule="exact"/>
        <w:ind w:firstLine="482" w:firstLineChars="200"/>
        <w:rPr>
          <w:rFonts w:hint="eastAsia" w:ascii="方正仿宋_GBK" w:hAnsi="宋体" w:eastAsia="方正仿宋_GBK"/>
          <w:sz w:val="24"/>
        </w:rPr>
      </w:pPr>
      <w:bookmarkStart w:id="36" w:name="_Toc65660337"/>
      <w:bookmarkStart w:id="37" w:name="_Toc525047164"/>
      <w:bookmarkStart w:id="38" w:name="_Toc10415"/>
      <w:bookmarkStart w:id="39" w:name="_Toc4483"/>
      <w:bookmarkStart w:id="40" w:name="_Toc1552"/>
      <w:bookmarkStart w:id="41" w:name="_Toc106034777"/>
      <w:bookmarkStart w:id="42" w:name="_Toc521053056"/>
      <w:bookmarkStart w:id="43" w:name="_Toc1733"/>
      <w:r>
        <w:rPr>
          <w:rFonts w:hint="eastAsia" w:ascii="方正仿宋_GBK" w:hAnsi="宋体" w:eastAsia="方正仿宋_GBK"/>
          <w:sz w:val="24"/>
          <w:lang w:val="en-US" w:eastAsia="zh-CN"/>
        </w:rPr>
        <w:t>六</w:t>
      </w:r>
      <w:r>
        <w:rPr>
          <w:rFonts w:hint="eastAsia" w:ascii="方正仿宋_GBK" w:hAnsi="宋体" w:eastAsia="方正仿宋_GBK"/>
          <w:sz w:val="24"/>
        </w:rPr>
        <w:t>、联系方式</w:t>
      </w:r>
      <w:bookmarkEnd w:id="36"/>
      <w:bookmarkEnd w:id="37"/>
      <w:bookmarkEnd w:id="38"/>
      <w:bookmarkEnd w:id="39"/>
      <w:bookmarkEnd w:id="40"/>
      <w:bookmarkEnd w:id="41"/>
      <w:bookmarkEnd w:id="42"/>
      <w:bookmarkEnd w:id="43"/>
    </w:p>
    <w:p w14:paraId="4BCEF4E5">
      <w:pPr>
        <w:snapToGrid w:val="0"/>
        <w:spacing w:line="400" w:lineRule="exact"/>
        <w:ind w:firstLine="480" w:firstLineChars="200"/>
        <w:outlineLvl w:val="2"/>
        <w:rPr>
          <w:rFonts w:hint="default" w:ascii="方正仿宋_GBK" w:hAnsi="宋体" w:eastAsia="方正仿宋_GBK"/>
          <w:sz w:val="24"/>
          <w:szCs w:val="24"/>
          <w:lang w:val="en-US" w:eastAsia="zh-CN"/>
        </w:rPr>
      </w:pPr>
      <w:r>
        <w:rPr>
          <w:rFonts w:hint="eastAsia" w:ascii="方正仿宋_GBK" w:hAnsi="宋体" w:eastAsia="方正仿宋_GBK"/>
          <w:sz w:val="24"/>
          <w:szCs w:val="24"/>
        </w:rPr>
        <w:t>采购人：</w:t>
      </w:r>
      <w:r>
        <w:rPr>
          <w:rFonts w:hint="eastAsia" w:ascii="方正仿宋_GBK" w:hAnsi="宋体" w:eastAsia="方正仿宋_GBK"/>
          <w:sz w:val="24"/>
          <w:szCs w:val="24"/>
          <w:lang w:val="en-US" w:eastAsia="zh-CN"/>
        </w:rPr>
        <w:t>重庆市人口和计划生育科学技术研究院附属医院</w:t>
      </w:r>
    </w:p>
    <w:p w14:paraId="49AC8CD7">
      <w:pPr>
        <w:snapToGrid w:val="0"/>
        <w:spacing w:line="400" w:lineRule="exact"/>
        <w:ind w:firstLine="480" w:firstLineChars="200"/>
        <w:rPr>
          <w:rFonts w:hint="eastAsia" w:ascii="方正仿宋_GBK" w:hAnsi="宋体" w:eastAsia="方正仿宋_GBK"/>
          <w:sz w:val="24"/>
          <w:szCs w:val="24"/>
          <w:lang w:val="en-US" w:eastAsia="zh-CN"/>
        </w:rPr>
      </w:pPr>
      <w:r>
        <w:rPr>
          <w:rFonts w:hint="eastAsia" w:ascii="方正仿宋_GBK" w:hAnsi="宋体" w:eastAsia="方正仿宋_GBK"/>
          <w:sz w:val="24"/>
          <w:szCs w:val="24"/>
        </w:rPr>
        <w:t>联系人：</w:t>
      </w:r>
      <w:r>
        <w:rPr>
          <w:rFonts w:hint="eastAsia" w:ascii="方正仿宋_GBK" w:hAnsi="宋体" w:eastAsia="方正仿宋_GBK"/>
          <w:sz w:val="24"/>
          <w:szCs w:val="24"/>
          <w:lang w:val="en-US" w:eastAsia="zh-CN"/>
        </w:rPr>
        <w:t>尹春</w:t>
      </w:r>
    </w:p>
    <w:p w14:paraId="623C1F1C">
      <w:pPr>
        <w:snapToGrid w:val="0"/>
        <w:spacing w:line="400" w:lineRule="exact"/>
        <w:ind w:firstLine="480" w:firstLineChars="200"/>
        <w:rPr>
          <w:rFonts w:hint="default" w:ascii="方正仿宋_GBK" w:hAnsi="宋体" w:eastAsia="方正仿宋_GBK"/>
          <w:sz w:val="24"/>
          <w:szCs w:val="24"/>
          <w:lang w:val="en-US"/>
        </w:rPr>
      </w:pPr>
      <w:r>
        <w:rPr>
          <w:rFonts w:hint="eastAsia" w:ascii="方正仿宋_GBK" w:hAnsi="宋体" w:eastAsia="方正仿宋_GBK"/>
          <w:sz w:val="24"/>
          <w:szCs w:val="24"/>
        </w:rPr>
        <w:t>电  话：023-</w:t>
      </w:r>
      <w:r>
        <w:rPr>
          <w:rFonts w:hint="eastAsia" w:ascii="方正仿宋_GBK" w:hAnsi="宋体" w:eastAsia="方正仿宋_GBK"/>
          <w:sz w:val="24"/>
          <w:szCs w:val="24"/>
          <w:lang w:val="en-US" w:eastAsia="zh-CN"/>
        </w:rPr>
        <w:t>86715211</w:t>
      </w:r>
    </w:p>
    <w:p w14:paraId="530D425E">
      <w:pPr>
        <w:snapToGrid w:val="0"/>
        <w:spacing w:line="400" w:lineRule="exact"/>
        <w:ind w:firstLine="480" w:firstLineChars="200"/>
        <w:rPr>
          <w:rFonts w:hint="eastAsia" w:ascii="方正仿宋_GBK" w:hAnsi="宋体" w:eastAsia="方正仿宋_GBK"/>
          <w:sz w:val="24"/>
          <w:szCs w:val="24"/>
          <w:lang w:val="en-US" w:eastAsia="zh-CN"/>
        </w:rPr>
      </w:pPr>
      <w:r>
        <w:rPr>
          <w:rFonts w:hint="eastAsia" w:ascii="方正仿宋_GBK" w:hAnsi="宋体" w:eastAsia="方正仿宋_GBK"/>
          <w:sz w:val="24"/>
          <w:szCs w:val="24"/>
        </w:rPr>
        <w:t>地  址：</w:t>
      </w:r>
      <w:r>
        <w:rPr>
          <w:rFonts w:hint="eastAsia" w:ascii="方正仿宋_GBK" w:hAnsi="宋体" w:eastAsia="方正仿宋_GBK"/>
          <w:sz w:val="24"/>
          <w:szCs w:val="24"/>
          <w:lang w:val="en-US" w:eastAsia="zh-CN"/>
        </w:rPr>
        <w:t>重庆市江北区洋河二村4号</w:t>
      </w:r>
    </w:p>
    <w:p w14:paraId="189FC424">
      <w:pPr>
        <w:pStyle w:val="2"/>
        <w:rPr>
          <w:rFonts w:hint="eastAsia" w:ascii="方正仿宋_GBK" w:hAnsi="宋体" w:eastAsia="方正仿宋_GBK"/>
          <w:sz w:val="24"/>
          <w:szCs w:val="24"/>
          <w:lang w:val="en-US" w:eastAsia="zh-CN"/>
        </w:rPr>
      </w:pPr>
    </w:p>
    <w:p w14:paraId="5A936A19">
      <w:pPr>
        <w:rPr>
          <w:rFonts w:hint="eastAsia" w:ascii="方正仿宋_GBK" w:hAnsi="宋体" w:eastAsia="方正仿宋_GBK"/>
          <w:sz w:val="24"/>
          <w:szCs w:val="24"/>
          <w:lang w:val="en-US" w:eastAsia="zh-CN"/>
        </w:rPr>
      </w:pPr>
    </w:p>
    <w:p w14:paraId="3586ABE2">
      <w:pPr>
        <w:pStyle w:val="2"/>
        <w:rPr>
          <w:rFonts w:hint="eastAsia" w:ascii="方正仿宋_GBK" w:hAnsi="宋体" w:eastAsia="方正仿宋_GBK"/>
          <w:sz w:val="24"/>
          <w:szCs w:val="24"/>
          <w:lang w:val="en-US" w:eastAsia="zh-CN"/>
        </w:rPr>
      </w:pPr>
    </w:p>
    <w:p w14:paraId="0F1DE42E">
      <w:pPr>
        <w:rPr>
          <w:rFonts w:hint="eastAsia" w:ascii="方正仿宋_GBK" w:hAnsi="宋体" w:eastAsia="方正仿宋_GBK"/>
          <w:sz w:val="24"/>
          <w:szCs w:val="24"/>
          <w:lang w:val="en-US" w:eastAsia="zh-CN"/>
        </w:rPr>
      </w:pPr>
    </w:p>
    <w:p w14:paraId="35BCF477">
      <w:pPr>
        <w:pStyle w:val="2"/>
        <w:rPr>
          <w:rFonts w:hint="eastAsia" w:ascii="方正仿宋_GBK" w:hAnsi="宋体" w:eastAsia="方正仿宋_GBK"/>
          <w:sz w:val="24"/>
          <w:szCs w:val="24"/>
          <w:lang w:val="en-US" w:eastAsia="zh-CN"/>
        </w:rPr>
      </w:pPr>
    </w:p>
    <w:p w14:paraId="425BEA1F">
      <w:pPr>
        <w:rPr>
          <w:rFonts w:hint="eastAsia" w:ascii="方正仿宋_GBK" w:hAnsi="宋体" w:eastAsia="方正仿宋_GBK"/>
          <w:sz w:val="24"/>
          <w:szCs w:val="24"/>
          <w:lang w:val="en-US" w:eastAsia="zh-CN"/>
        </w:rPr>
      </w:pPr>
    </w:p>
    <w:p w14:paraId="740DEFDE">
      <w:pPr>
        <w:pStyle w:val="2"/>
        <w:rPr>
          <w:rFonts w:hint="eastAsia" w:ascii="方正仿宋_GBK" w:hAnsi="宋体" w:eastAsia="方正仿宋_GBK"/>
          <w:sz w:val="24"/>
          <w:szCs w:val="24"/>
          <w:lang w:val="en-US" w:eastAsia="zh-CN"/>
        </w:rPr>
      </w:pPr>
    </w:p>
    <w:p w14:paraId="507FFFFC">
      <w:pPr>
        <w:rPr>
          <w:rFonts w:hint="eastAsia" w:ascii="方正仿宋_GBK" w:hAnsi="宋体" w:eastAsia="方正仿宋_GBK"/>
          <w:sz w:val="24"/>
          <w:szCs w:val="24"/>
          <w:lang w:val="en-US" w:eastAsia="zh-CN"/>
        </w:rPr>
      </w:pPr>
    </w:p>
    <w:p w14:paraId="0C0E80A8">
      <w:pPr>
        <w:pStyle w:val="2"/>
        <w:rPr>
          <w:rFonts w:hint="eastAsia" w:ascii="方正仿宋_GBK" w:hAnsi="宋体" w:eastAsia="方正仿宋_GBK"/>
          <w:sz w:val="24"/>
          <w:szCs w:val="24"/>
          <w:lang w:val="en-US" w:eastAsia="zh-CN"/>
        </w:rPr>
      </w:pPr>
    </w:p>
    <w:p w14:paraId="09AABE42">
      <w:pPr>
        <w:rPr>
          <w:rFonts w:hint="eastAsia" w:ascii="方正仿宋_GBK" w:hAnsi="宋体" w:eastAsia="方正仿宋_GBK"/>
          <w:sz w:val="24"/>
          <w:szCs w:val="24"/>
          <w:lang w:val="en-US" w:eastAsia="zh-CN"/>
        </w:rPr>
      </w:pPr>
    </w:p>
    <w:p w14:paraId="41EB33FF">
      <w:pPr>
        <w:pStyle w:val="2"/>
        <w:rPr>
          <w:rFonts w:hint="eastAsia" w:ascii="方正仿宋_GBK" w:hAnsi="宋体" w:eastAsia="方正仿宋_GBK"/>
          <w:sz w:val="24"/>
          <w:szCs w:val="24"/>
          <w:lang w:val="en-US" w:eastAsia="zh-CN"/>
        </w:rPr>
      </w:pPr>
    </w:p>
    <w:p w14:paraId="445AF48B">
      <w:pPr>
        <w:rPr>
          <w:rFonts w:hint="eastAsia" w:ascii="方正仿宋_GBK" w:hAnsi="宋体" w:eastAsia="方正仿宋_GBK"/>
          <w:sz w:val="24"/>
          <w:szCs w:val="24"/>
          <w:lang w:val="en-US" w:eastAsia="zh-CN"/>
        </w:rPr>
      </w:pPr>
    </w:p>
    <w:p w14:paraId="127BEE67">
      <w:pPr>
        <w:pStyle w:val="2"/>
        <w:rPr>
          <w:rFonts w:hint="eastAsia" w:ascii="方正仿宋_GBK" w:hAnsi="宋体" w:eastAsia="方正仿宋_GBK"/>
          <w:sz w:val="24"/>
          <w:szCs w:val="24"/>
          <w:lang w:val="en-US" w:eastAsia="zh-CN"/>
        </w:rPr>
      </w:pPr>
    </w:p>
    <w:p w14:paraId="27781747">
      <w:pPr>
        <w:rPr>
          <w:rFonts w:hint="eastAsia" w:ascii="方正仿宋_GBK" w:hAnsi="宋体" w:eastAsia="方正仿宋_GBK"/>
          <w:sz w:val="24"/>
          <w:szCs w:val="24"/>
          <w:lang w:val="en-US" w:eastAsia="zh-CN"/>
        </w:rPr>
      </w:pPr>
    </w:p>
    <w:p w14:paraId="2573157E">
      <w:pPr>
        <w:pStyle w:val="2"/>
        <w:rPr>
          <w:rFonts w:hint="eastAsia" w:ascii="方正仿宋_GBK" w:hAnsi="宋体" w:eastAsia="方正仿宋_GBK"/>
          <w:sz w:val="24"/>
          <w:szCs w:val="24"/>
          <w:lang w:val="en-US" w:eastAsia="zh-CN"/>
        </w:rPr>
      </w:pPr>
    </w:p>
    <w:p w14:paraId="261F2B00">
      <w:pPr>
        <w:pStyle w:val="2"/>
        <w:ind w:left="0" w:leftChars="0" w:firstLine="0" w:firstLineChars="0"/>
        <w:rPr>
          <w:rFonts w:hint="eastAsia" w:ascii="方正仿宋_GBK" w:hAnsi="宋体" w:eastAsia="方正仿宋_GBK"/>
          <w:sz w:val="24"/>
          <w:szCs w:val="24"/>
          <w:lang w:val="en-US" w:eastAsia="zh-CN"/>
        </w:rPr>
      </w:pPr>
    </w:p>
    <w:p w14:paraId="27764506">
      <w:pPr>
        <w:pStyle w:val="3"/>
        <w:spacing w:before="0" w:after="0" w:line="360" w:lineRule="auto"/>
        <w:jc w:val="center"/>
        <w:rPr>
          <w:rFonts w:hint="eastAsia" w:ascii="方正小标宋_GBK" w:eastAsia="方正小标宋_GBK"/>
          <w:b w:val="0"/>
          <w:sz w:val="36"/>
          <w:szCs w:val="30"/>
        </w:rPr>
      </w:pPr>
      <w:bookmarkStart w:id="44" w:name="_Toc106034778"/>
      <w:bookmarkStart w:id="45" w:name="_Toc1292"/>
      <w:bookmarkStart w:id="46" w:name="_Toc65660338"/>
      <w:bookmarkStart w:id="47" w:name="_Toc11327"/>
      <w:bookmarkStart w:id="48" w:name="_Toc14516"/>
      <w:bookmarkStart w:id="49" w:name="_Toc28755"/>
      <w:r>
        <w:rPr>
          <w:rFonts w:hint="eastAsia" w:ascii="方正小标宋_GBK" w:eastAsia="方正小标宋_GBK"/>
          <w:b w:val="0"/>
          <w:sz w:val="36"/>
          <w:szCs w:val="30"/>
        </w:rPr>
        <w:t>第二篇  询价项目技术（质量）需求</w:t>
      </w:r>
      <w:bookmarkEnd w:id="44"/>
      <w:bookmarkEnd w:id="45"/>
      <w:bookmarkEnd w:id="46"/>
      <w:bookmarkEnd w:id="47"/>
      <w:bookmarkEnd w:id="48"/>
      <w:bookmarkEnd w:id="49"/>
    </w:p>
    <w:p w14:paraId="5C609F9B">
      <w:pPr>
        <w:pStyle w:val="3"/>
        <w:adjustRightInd w:val="0"/>
        <w:snapToGrid w:val="0"/>
        <w:spacing w:before="0" w:after="0" w:line="400" w:lineRule="exact"/>
        <w:ind w:firstLine="482" w:firstLineChars="200"/>
        <w:rPr>
          <w:rFonts w:hint="eastAsia" w:ascii="方正仿宋_GBK" w:hAnsi="宋体" w:eastAsia="方正仿宋_GBK"/>
          <w:sz w:val="24"/>
        </w:rPr>
      </w:pPr>
      <w:bookmarkStart w:id="50" w:name="_Toc65660339"/>
      <w:bookmarkStart w:id="51" w:name="_Toc26971"/>
      <w:bookmarkStart w:id="52" w:name="_Toc28268"/>
      <w:bookmarkStart w:id="53" w:name="_Toc446"/>
      <w:bookmarkStart w:id="54" w:name="_Toc24129"/>
      <w:bookmarkStart w:id="55" w:name="_Toc106034779"/>
      <w:r>
        <w:rPr>
          <w:rFonts w:hint="eastAsia" w:ascii="方正仿宋_GBK" w:hAnsi="宋体" w:eastAsia="方正仿宋_GBK"/>
          <w:sz w:val="24"/>
        </w:rPr>
        <w:t>一、项目一览表</w:t>
      </w:r>
      <w:bookmarkEnd w:id="50"/>
      <w:bookmarkEnd w:id="51"/>
      <w:bookmarkEnd w:id="52"/>
      <w:bookmarkEnd w:id="53"/>
      <w:bookmarkEnd w:id="54"/>
      <w:bookmarkEnd w:id="55"/>
    </w:p>
    <w:tbl>
      <w:tblPr>
        <w:tblStyle w:val="10"/>
        <w:tblW w:w="48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3421"/>
        <w:gridCol w:w="1235"/>
        <w:gridCol w:w="2950"/>
      </w:tblGrid>
      <w:tr w14:paraId="06871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430" w:type="pct"/>
            <w:noWrap w:val="0"/>
            <w:vAlign w:val="center"/>
          </w:tcPr>
          <w:p w14:paraId="4D8F0C5E">
            <w:pPr>
              <w:jc w:val="center"/>
              <w:rPr>
                <w:rFonts w:hint="eastAsia" w:ascii="方正仿宋_GBK" w:hAnsi="宋体" w:eastAsia="方正仿宋_GBK"/>
                <w:b/>
                <w:sz w:val="21"/>
                <w:szCs w:val="21"/>
              </w:rPr>
            </w:pPr>
            <w:r>
              <w:rPr>
                <w:rFonts w:hint="eastAsia" w:ascii="方正仿宋_GBK" w:hAnsi="宋体" w:eastAsia="方正仿宋_GBK"/>
                <w:b/>
                <w:sz w:val="21"/>
                <w:szCs w:val="21"/>
              </w:rPr>
              <w:t>序号</w:t>
            </w:r>
          </w:p>
        </w:tc>
        <w:tc>
          <w:tcPr>
            <w:tcW w:w="2055" w:type="pct"/>
            <w:noWrap w:val="0"/>
            <w:vAlign w:val="center"/>
          </w:tcPr>
          <w:p w14:paraId="22F58DBA">
            <w:pPr>
              <w:jc w:val="center"/>
              <w:rPr>
                <w:rFonts w:hint="eastAsia" w:ascii="方正仿宋_GBK" w:hAnsi="宋体" w:eastAsia="方正仿宋_GBK"/>
                <w:b/>
                <w:sz w:val="21"/>
                <w:szCs w:val="21"/>
              </w:rPr>
            </w:pPr>
            <w:r>
              <w:rPr>
                <w:rFonts w:hint="eastAsia" w:ascii="方正仿宋_GBK" w:hAnsi="宋体" w:eastAsia="方正仿宋_GBK"/>
                <w:b/>
                <w:sz w:val="21"/>
                <w:szCs w:val="21"/>
                <w:lang w:val="en-US" w:eastAsia="zh-CN"/>
              </w:rPr>
              <w:t>项目</w:t>
            </w:r>
            <w:r>
              <w:rPr>
                <w:rFonts w:hint="eastAsia" w:ascii="方正仿宋_GBK" w:hAnsi="宋体" w:eastAsia="方正仿宋_GBK"/>
                <w:b/>
                <w:sz w:val="21"/>
                <w:szCs w:val="21"/>
              </w:rPr>
              <w:t>名称</w:t>
            </w:r>
          </w:p>
        </w:tc>
        <w:tc>
          <w:tcPr>
            <w:tcW w:w="742" w:type="pct"/>
            <w:noWrap w:val="0"/>
            <w:vAlign w:val="center"/>
          </w:tcPr>
          <w:p w14:paraId="545B7CD2">
            <w:pPr>
              <w:jc w:val="center"/>
              <w:rPr>
                <w:rFonts w:hint="eastAsia" w:ascii="方正仿宋_GBK" w:hAnsi="宋体" w:eastAsia="方正仿宋_GBK"/>
                <w:b/>
                <w:sz w:val="21"/>
                <w:szCs w:val="21"/>
              </w:rPr>
            </w:pPr>
            <w:r>
              <w:rPr>
                <w:rFonts w:hint="eastAsia" w:ascii="方正仿宋_GBK" w:hAnsi="宋体" w:eastAsia="方正仿宋_GBK"/>
                <w:b/>
                <w:sz w:val="21"/>
                <w:szCs w:val="21"/>
              </w:rPr>
              <w:t>数量/单位</w:t>
            </w:r>
          </w:p>
        </w:tc>
        <w:tc>
          <w:tcPr>
            <w:tcW w:w="1772" w:type="pct"/>
            <w:noWrap w:val="0"/>
            <w:vAlign w:val="center"/>
          </w:tcPr>
          <w:p w14:paraId="516F3C23">
            <w:pPr>
              <w:jc w:val="center"/>
              <w:rPr>
                <w:rFonts w:hint="eastAsia" w:ascii="方正仿宋_GBK" w:hAnsi="宋体" w:eastAsia="方正仿宋_GBK"/>
                <w:b/>
                <w:sz w:val="21"/>
                <w:szCs w:val="21"/>
              </w:rPr>
            </w:pPr>
            <w:r>
              <w:rPr>
                <w:rFonts w:hint="eastAsia" w:ascii="方正仿宋_GBK" w:hAnsi="宋体" w:eastAsia="方正仿宋_GBK"/>
                <w:b/>
                <w:sz w:val="21"/>
                <w:szCs w:val="21"/>
              </w:rPr>
              <w:t>备注</w:t>
            </w:r>
          </w:p>
        </w:tc>
      </w:tr>
      <w:tr w14:paraId="7DC0C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430" w:type="pct"/>
            <w:noWrap w:val="0"/>
            <w:vAlign w:val="center"/>
          </w:tcPr>
          <w:p w14:paraId="238D94F1">
            <w:pPr>
              <w:pStyle w:val="5"/>
              <w:spacing w:line="240" w:lineRule="auto"/>
              <w:ind w:left="0"/>
              <w:jc w:val="center"/>
              <w:outlineLvl w:val="0"/>
              <w:rPr>
                <w:rFonts w:hint="eastAsia" w:ascii="方正仿宋_GBK" w:hAnsi="宋体" w:eastAsia="方正仿宋_GBK"/>
                <w:sz w:val="21"/>
                <w:szCs w:val="21"/>
              </w:rPr>
            </w:pPr>
            <w:r>
              <w:rPr>
                <w:rFonts w:hint="eastAsia" w:ascii="方正仿宋_GBK" w:hAnsi="宋体" w:eastAsia="方正仿宋_GBK"/>
                <w:sz w:val="21"/>
                <w:szCs w:val="21"/>
              </w:rPr>
              <w:t>1</w:t>
            </w:r>
          </w:p>
        </w:tc>
        <w:tc>
          <w:tcPr>
            <w:tcW w:w="2055" w:type="pct"/>
            <w:noWrap w:val="0"/>
            <w:vAlign w:val="center"/>
          </w:tcPr>
          <w:p w14:paraId="42B4CEFD">
            <w:pPr>
              <w:jc w:val="center"/>
              <w:rPr>
                <w:rFonts w:hint="default" w:ascii="方正仿宋_GBK" w:hAnsi="宋体" w:eastAsia="方正仿宋_GBK"/>
                <w:sz w:val="21"/>
                <w:szCs w:val="21"/>
                <w:lang w:val="en-US" w:eastAsia="zh-CN"/>
              </w:rPr>
            </w:pPr>
            <w:r>
              <w:rPr>
                <w:rFonts w:hint="eastAsia" w:ascii="方正仿宋_GBK" w:hAnsi="宋体" w:eastAsia="方正仿宋_GBK"/>
                <w:sz w:val="21"/>
                <w:szCs w:val="21"/>
                <w:lang w:val="en-US" w:eastAsia="zh-CN"/>
              </w:rPr>
              <w:t>可复用医疗器械消毒灭菌服务</w:t>
            </w:r>
          </w:p>
        </w:tc>
        <w:tc>
          <w:tcPr>
            <w:tcW w:w="742" w:type="pct"/>
            <w:noWrap w:val="0"/>
            <w:vAlign w:val="center"/>
          </w:tcPr>
          <w:p w14:paraId="7A29E453">
            <w:pPr>
              <w:jc w:val="center"/>
              <w:rPr>
                <w:rFonts w:hint="default" w:ascii="方正仿宋_GBK" w:hAnsi="宋体" w:eastAsia="方正仿宋_GBK"/>
                <w:sz w:val="21"/>
                <w:szCs w:val="21"/>
                <w:lang w:val="en-US" w:eastAsia="zh-CN"/>
              </w:rPr>
            </w:pPr>
            <w:r>
              <w:rPr>
                <w:rFonts w:hint="eastAsia" w:ascii="方正仿宋_GBK" w:hAnsi="宋体" w:eastAsia="方正仿宋_GBK"/>
                <w:sz w:val="21"/>
                <w:szCs w:val="21"/>
                <w:lang w:val="en-US" w:eastAsia="zh-CN"/>
              </w:rPr>
              <w:t>1年</w:t>
            </w:r>
          </w:p>
        </w:tc>
        <w:tc>
          <w:tcPr>
            <w:tcW w:w="1772" w:type="pct"/>
            <w:noWrap w:val="0"/>
            <w:vAlign w:val="center"/>
          </w:tcPr>
          <w:p w14:paraId="12A2F5F4">
            <w:pPr>
              <w:jc w:val="center"/>
              <w:rPr>
                <w:rFonts w:hint="default" w:ascii="方正仿宋_GBK" w:hAnsi="宋体" w:eastAsia="方正仿宋_GBK"/>
                <w:sz w:val="21"/>
                <w:szCs w:val="21"/>
                <w:lang w:val="en-US" w:eastAsia="zh-CN"/>
              </w:rPr>
            </w:pPr>
            <w:r>
              <w:rPr>
                <w:rFonts w:hint="eastAsia" w:ascii="方正仿宋_GBK" w:hAnsi="宋体" w:eastAsia="方正仿宋_GBK"/>
                <w:sz w:val="21"/>
                <w:szCs w:val="21"/>
                <w:lang w:val="en-US" w:eastAsia="zh-CN"/>
              </w:rPr>
              <w:t>每周至少三次</w:t>
            </w:r>
          </w:p>
        </w:tc>
      </w:tr>
    </w:tbl>
    <w:p w14:paraId="332F7875">
      <w:pPr>
        <w:snapToGrid w:val="0"/>
        <w:spacing w:line="400" w:lineRule="exact"/>
        <w:ind w:firstLine="361" w:firstLineChars="150"/>
        <w:rPr>
          <w:rFonts w:hint="eastAsia" w:ascii="方正仿宋_GBK" w:hAnsi="宋体" w:eastAsia="方正仿宋_GBK"/>
          <w:b/>
          <w:bCs/>
          <w:sz w:val="24"/>
          <w:szCs w:val="24"/>
          <w:lang w:val="en-US" w:eastAsia="zh-CN"/>
        </w:rPr>
      </w:pPr>
      <w:bookmarkStart w:id="56" w:name="_Toc4854"/>
      <w:r>
        <w:rPr>
          <w:rFonts w:hint="eastAsia" w:ascii="方正仿宋_GBK" w:hAnsi="宋体" w:eastAsia="方正仿宋_GBK"/>
          <w:b/>
          <w:bCs/>
          <w:sz w:val="24"/>
          <w:szCs w:val="24"/>
          <w:lang w:val="en-US" w:eastAsia="zh-CN"/>
        </w:rPr>
        <w:t>二、服务范围、要求及标准</w:t>
      </w:r>
      <w:bookmarkEnd w:id="56"/>
      <w:r>
        <w:rPr>
          <w:rFonts w:hint="eastAsia" w:ascii="方正仿宋_GBK" w:hAnsi="宋体" w:eastAsia="方正仿宋_GBK"/>
          <w:b/>
          <w:bCs/>
          <w:sz w:val="24"/>
          <w:szCs w:val="24"/>
          <w:lang w:val="en-US" w:eastAsia="zh-CN"/>
        </w:rPr>
        <w:t>：</w:t>
      </w:r>
    </w:p>
    <w:p w14:paraId="60F2DB38">
      <w:pPr>
        <w:snapToGrid w:val="0"/>
        <w:spacing w:line="400" w:lineRule="exact"/>
        <w:rPr>
          <w:rFonts w:hint="eastAsia" w:ascii="方正仿宋_GBK" w:hAnsi="宋体" w:eastAsia="方正仿宋_GBK"/>
          <w:sz w:val="24"/>
          <w:szCs w:val="24"/>
          <w:lang w:val="en-US" w:eastAsia="zh-CN"/>
        </w:rPr>
      </w:pPr>
      <w:r>
        <w:rPr>
          <w:rFonts w:hint="eastAsia" w:ascii="方正仿宋_GBK" w:hAnsi="宋体" w:eastAsia="方正仿宋_GBK"/>
          <w:sz w:val="24"/>
          <w:szCs w:val="24"/>
          <w:lang w:val="en-US" w:eastAsia="zh-CN"/>
        </w:rPr>
        <w:t xml:space="preserve">   1.服务范围：供应商独立承担我院可复用医疗器械一年所有用量消毒灭菌服务的外包项目，按照行业标准要求提供采购人范围内消毒供应相关服务。对可重复使用的手术器械、器械包盘、器具、容器、聚丙烯材料的医用器具、棉布敷料包、科室器械包和其他可循环处理的物品按照其清洗消毒灭菌要求对其进行收送、灭菌、监测</w:t>
      </w:r>
      <w:bookmarkStart w:id="87" w:name="_GoBack"/>
      <w:bookmarkEnd w:id="87"/>
      <w:r>
        <w:rPr>
          <w:rFonts w:hint="eastAsia" w:ascii="方正仿宋_GBK" w:hAnsi="宋体" w:eastAsia="方正仿宋_GBK"/>
          <w:sz w:val="24"/>
          <w:szCs w:val="24"/>
          <w:lang w:val="en-US" w:eastAsia="zh-CN"/>
        </w:rPr>
        <w:t>、运输。并保证符合规范标准。</w:t>
      </w:r>
    </w:p>
    <w:p w14:paraId="1A275C7C">
      <w:pPr>
        <w:snapToGrid w:val="0"/>
        <w:spacing w:line="400" w:lineRule="exact"/>
        <w:ind w:firstLine="360" w:firstLineChars="150"/>
        <w:rPr>
          <w:rFonts w:hint="eastAsia" w:ascii="方正仿宋_GBK" w:hAnsi="宋体" w:eastAsia="方正仿宋_GBK"/>
          <w:sz w:val="24"/>
          <w:szCs w:val="24"/>
          <w:lang w:val="en-US" w:eastAsia="zh-CN"/>
        </w:rPr>
      </w:pPr>
      <w:r>
        <w:rPr>
          <w:rFonts w:hint="eastAsia" w:ascii="方正仿宋_GBK" w:hAnsi="宋体" w:eastAsia="方正仿宋_GBK"/>
          <w:sz w:val="24"/>
          <w:szCs w:val="24"/>
          <w:lang w:val="en-US" w:eastAsia="zh-CN"/>
        </w:rPr>
        <w:t>2.服务要求：</w:t>
      </w:r>
    </w:p>
    <w:p w14:paraId="49347916">
      <w:pPr>
        <w:pStyle w:val="9"/>
        <w:rPr>
          <w:rFonts w:hint="eastAsia"/>
          <w:lang w:val="en-US" w:eastAsia="zh-CN"/>
        </w:rPr>
      </w:pPr>
      <w:r>
        <w:rPr>
          <w:rFonts w:hint="eastAsia"/>
          <w:lang w:val="en-US" w:eastAsia="zh-CN"/>
        </w:rPr>
        <w:t>（1）供应商严格按照国家卫生行政主管部门颁发的行业标准要求，包括但不限于《医院消毒供应管理规范（编号 WS 310.1-2016）》、《清洗消毒及灭菌技术操作规范（编号 WS 310.2-2016）》、《清洗消毒及灭菌效果监测标准（编号 WS 310.3-2016）》等行业相关规范，对采购人交付的可重复使用的手术器械、硬式内镜及其附件、器具、容器、聚丙烯材料的医用器具、棉布敷料包、科室器械和其他可循环处理的物品，进行清洗、消毒、灭菌处理及物流配送服务，并保证消毒供应全流程符合国家规范、标准要求。当上述国家或行业标准更新后，应符合更新后的国家或行业标准。如果出现因为违反行业标准而出现的所有问题，由供应商全权负责。</w:t>
      </w:r>
    </w:p>
    <w:p w14:paraId="37ADBFD9">
      <w:pPr>
        <w:pStyle w:val="9"/>
        <w:rPr>
          <w:rFonts w:hint="eastAsia"/>
          <w:lang w:val="en-US" w:eastAsia="zh-CN"/>
        </w:rPr>
      </w:pPr>
      <w:r>
        <w:rPr>
          <w:rFonts w:hint="eastAsia"/>
          <w:lang w:val="en-US" w:eastAsia="zh-CN"/>
        </w:rPr>
        <w:t>（2）物流配送服务每周至少三次，按照医院的要求进行收送和交接，节假日根据实际情况调整。如出现需供应商提供医疗器械消毒灭菌紧急服务(注:紧急服务是指除固定收送医疗器械时间外，要求供应商单独进行医疗器械消毒灭菌的服务)，供应商应及时响应，加急服务需4小时内服务完毕。</w:t>
      </w:r>
    </w:p>
    <w:p w14:paraId="4FE42491">
      <w:pPr>
        <w:pStyle w:val="9"/>
        <w:rPr>
          <w:rFonts w:hint="eastAsia"/>
          <w:lang w:val="en-US" w:eastAsia="zh-CN"/>
        </w:rPr>
      </w:pPr>
      <w:r>
        <w:rPr>
          <w:rFonts w:hint="eastAsia"/>
          <w:lang w:val="en-US" w:eastAsia="zh-CN"/>
        </w:rPr>
        <w:t>（3）物流配送应符合医院感染预防与控制原则，按照《医院消毒供应管理规范（编号 WS 310.1-2016）》执行物流配送流程。</w:t>
      </w:r>
    </w:p>
    <w:p w14:paraId="2577E3E3">
      <w:pPr>
        <w:pStyle w:val="9"/>
        <w:rPr>
          <w:rFonts w:hint="eastAsia"/>
          <w:lang w:val="en-US" w:eastAsia="zh-CN"/>
        </w:rPr>
      </w:pPr>
      <w:r>
        <w:rPr>
          <w:rFonts w:hint="eastAsia"/>
          <w:lang w:val="en-US" w:eastAsia="zh-CN"/>
        </w:rPr>
        <w:t>（4）运输过程监控：需提供运输车辆的GPS定位，确保我院相关人员能实时查询物品运输状。</w:t>
      </w:r>
    </w:p>
    <w:p w14:paraId="3860E5F2">
      <w:pPr>
        <w:pStyle w:val="9"/>
        <w:rPr>
          <w:rFonts w:hint="eastAsia"/>
          <w:lang w:val="en-US" w:eastAsia="zh-CN"/>
        </w:rPr>
      </w:pPr>
      <w:r>
        <w:rPr>
          <w:rFonts w:hint="eastAsia"/>
          <w:lang w:val="en-US" w:eastAsia="zh-CN"/>
        </w:rPr>
        <w:t>（5）院内转运箱、转运车需符合UN3291医疗器械转运标准；运送器具、交通运输车辆的清洗消毒和质量监测应符合医院消毒卫生标准（即GB15982-2012）的规定。</w:t>
      </w:r>
    </w:p>
    <w:p w14:paraId="6B22E6E2">
      <w:pPr>
        <w:pStyle w:val="9"/>
        <w:rPr>
          <w:rFonts w:hint="eastAsia"/>
          <w:lang w:val="en-US" w:eastAsia="zh-CN"/>
        </w:rPr>
      </w:pPr>
      <w:r>
        <w:rPr>
          <w:rFonts w:hint="eastAsia"/>
          <w:lang w:val="en-US" w:eastAsia="zh-CN"/>
        </w:rPr>
        <w:t>（7）为保证提供产品的质量，供应商设备应满足《医院消毒供应管理规范（编号 WS 310.1-2016）》的规定。</w:t>
      </w:r>
    </w:p>
    <w:p w14:paraId="51934AE9">
      <w:pPr>
        <w:pStyle w:val="9"/>
        <w:rPr>
          <w:rFonts w:hint="eastAsia"/>
          <w:lang w:val="en-US" w:eastAsia="zh-CN"/>
        </w:rPr>
      </w:pPr>
      <w:r>
        <w:rPr>
          <w:rFonts w:hint="eastAsia"/>
          <w:lang w:val="en-US" w:eastAsia="zh-CN"/>
        </w:rPr>
        <w:t>（8）为保证灭菌效果和降低湿包率，供应商所用的蒸汽必须为洁净蒸汽。</w:t>
      </w:r>
    </w:p>
    <w:p w14:paraId="361629BE">
      <w:pPr>
        <w:pStyle w:val="9"/>
        <w:rPr>
          <w:rFonts w:hint="eastAsia"/>
          <w:lang w:val="en-US" w:eastAsia="zh-CN"/>
        </w:rPr>
      </w:pPr>
      <w:r>
        <w:rPr>
          <w:rFonts w:hint="eastAsia"/>
          <w:lang w:val="en-US" w:eastAsia="zh-CN"/>
        </w:rPr>
        <w:t>（9）具备质量可追溯功能、具备被追溯物品编码的唯一性、具备生产环节的信息全记录、具备生产环节信息的有效记录。支持医院科室通过手机APP进行器械包的下单回收、访问消毒供应管理系统，查询各科室自己的器械包状态和当前所处的流程状态、登记病人的器械包使用信息，并记录使用时间，对于过期包、召回包系统会提示禁止使用登记。</w:t>
      </w:r>
    </w:p>
    <w:p w14:paraId="5957D97C">
      <w:pPr>
        <w:pStyle w:val="9"/>
        <w:numPr>
          <w:ilvl w:val="0"/>
          <w:numId w:val="0"/>
        </w:numPr>
        <w:ind w:firstLine="420" w:firstLineChars="0"/>
        <w:rPr>
          <w:rFonts w:hint="eastAsia"/>
          <w:lang w:val="en-US" w:eastAsia="zh-CN"/>
        </w:rPr>
      </w:pPr>
      <w:r>
        <w:rPr>
          <w:rFonts w:hint="eastAsia" w:ascii="宋体" w:hAnsi="宋体" w:eastAsia="仿宋_GB2312" w:cstheme="minorBidi"/>
          <w:kern w:val="2"/>
          <w:sz w:val="24"/>
          <w:szCs w:val="24"/>
          <w:lang w:val="en-US" w:eastAsia="zh-CN" w:bidi="ar-SA"/>
        </w:rPr>
        <w:t>（1</w:t>
      </w:r>
      <w:r>
        <w:rPr>
          <w:rFonts w:hint="eastAsia" w:cstheme="minorBidi"/>
          <w:kern w:val="2"/>
          <w:sz w:val="24"/>
          <w:szCs w:val="24"/>
          <w:lang w:val="en-US" w:eastAsia="zh-CN" w:bidi="ar-SA"/>
        </w:rPr>
        <w:t>0</w:t>
      </w:r>
      <w:r>
        <w:rPr>
          <w:rFonts w:hint="eastAsia" w:ascii="宋体" w:hAnsi="宋体" w:eastAsia="仿宋_GB2312" w:cstheme="minorBidi"/>
          <w:kern w:val="2"/>
          <w:sz w:val="24"/>
          <w:szCs w:val="24"/>
          <w:lang w:val="en-US" w:eastAsia="zh-CN" w:bidi="ar-SA"/>
        </w:rPr>
        <w:t>）</w:t>
      </w:r>
      <w:r>
        <w:rPr>
          <w:rFonts w:hint="eastAsia"/>
          <w:lang w:val="en-US" w:eastAsia="zh-CN"/>
        </w:rPr>
        <w:t>供应商不得丢失、损坏医院的回收器械和手术敷料，外送服务交接前丢失、损坏的污染器械和手术敷料，由医院承担，自然损坏由医院负责更换。外送服务交接后丢失、损坏的器械和手术敷料由供应商负责；根据生物监测结果及化学指示卡变色合格后方可送达医院使用。出现错包漏消供应商应及时协调及采取应预案，确保医院使用；出现灭菌不合格，供应商应及时召回，并通知医院停止使用，不作二次收费处理。因不合格物品发送到医院，造成感染事件由供应商负责。</w:t>
      </w:r>
    </w:p>
    <w:p w14:paraId="235F58A2">
      <w:pPr>
        <w:snapToGrid w:val="0"/>
        <w:spacing w:line="400" w:lineRule="exact"/>
        <w:ind w:firstLine="420" w:firstLineChars="0"/>
        <w:rPr>
          <w:rFonts w:hint="eastAsia" w:ascii="方正仿宋_GBK" w:hAnsi="宋体" w:eastAsia="方正仿宋_GBK"/>
          <w:sz w:val="24"/>
          <w:szCs w:val="24"/>
          <w:lang w:val="en-US" w:eastAsia="zh-CN"/>
        </w:rPr>
      </w:pPr>
      <w:r>
        <w:rPr>
          <w:rFonts w:hint="eastAsia" w:ascii="方正仿宋_GBK" w:hAnsi="宋体" w:eastAsia="方正仿宋_GBK"/>
          <w:sz w:val="24"/>
          <w:szCs w:val="24"/>
          <w:lang w:val="en-US" w:eastAsia="zh-CN"/>
        </w:rPr>
        <w:t>（11）供应商有满足清洗、消毒、灭菌要求的设备、设施与消毒剂（包括但不限于压力水枪、压力气枪、无油空气压缩机、干燥设备及相应清洗用品、扫码设备等）,按照行业规范对设备及消毒液进行检测或监测，并提供检测报告。</w:t>
      </w:r>
    </w:p>
    <w:p w14:paraId="46CBDE57">
      <w:pPr>
        <w:snapToGrid w:val="0"/>
        <w:spacing w:line="400" w:lineRule="exact"/>
        <w:ind w:firstLine="360" w:firstLineChars="150"/>
        <w:rPr>
          <w:rFonts w:hint="default" w:ascii="方正仿宋_GBK" w:hAnsi="宋体" w:eastAsia="方正仿宋_GBK"/>
          <w:sz w:val="24"/>
          <w:szCs w:val="24"/>
          <w:lang w:val="en-US" w:eastAsia="zh-CN"/>
        </w:rPr>
      </w:pPr>
    </w:p>
    <w:p w14:paraId="7335008D">
      <w:pPr>
        <w:snapToGrid w:val="0"/>
        <w:spacing w:line="400" w:lineRule="exact"/>
        <w:ind w:firstLine="360" w:firstLineChars="150"/>
        <w:rPr>
          <w:rFonts w:hint="eastAsia" w:ascii="方正仿宋_GBK" w:hAnsi="宋体" w:eastAsia="方正仿宋_GBK"/>
          <w:sz w:val="24"/>
          <w:szCs w:val="24"/>
          <w:lang w:val="en-US" w:eastAsia="zh-CN"/>
        </w:rPr>
      </w:pPr>
    </w:p>
    <w:p w14:paraId="52B7F137">
      <w:pPr>
        <w:snapToGrid w:val="0"/>
        <w:spacing w:line="400" w:lineRule="exact"/>
        <w:ind w:firstLine="360" w:firstLineChars="150"/>
        <w:rPr>
          <w:rFonts w:hint="eastAsia" w:ascii="方正仿宋_GBK" w:hAnsi="宋体" w:eastAsia="方正仿宋_GBK"/>
          <w:sz w:val="24"/>
          <w:szCs w:val="24"/>
          <w:lang w:val="en-US" w:eastAsia="zh-CN"/>
        </w:rPr>
      </w:pPr>
    </w:p>
    <w:p w14:paraId="3332C632">
      <w:pPr>
        <w:snapToGrid w:val="0"/>
        <w:spacing w:line="400" w:lineRule="exact"/>
        <w:ind w:firstLine="360" w:firstLineChars="150"/>
        <w:rPr>
          <w:rFonts w:hint="eastAsia" w:ascii="方正仿宋_GBK" w:hAnsi="宋体" w:eastAsia="方正仿宋_GBK"/>
          <w:sz w:val="24"/>
          <w:szCs w:val="24"/>
          <w:lang w:val="en-US" w:eastAsia="zh-CN"/>
        </w:rPr>
      </w:pPr>
    </w:p>
    <w:p w14:paraId="19DE524F">
      <w:pPr>
        <w:pStyle w:val="9"/>
        <w:rPr>
          <w:rFonts w:hint="eastAsia" w:ascii="方正仿宋_GBK" w:hAnsi="宋体" w:eastAsia="方正仿宋_GBK"/>
          <w:sz w:val="24"/>
          <w:szCs w:val="24"/>
          <w:lang w:val="en-US" w:eastAsia="zh-CN"/>
        </w:rPr>
      </w:pPr>
    </w:p>
    <w:p w14:paraId="1B4C4796">
      <w:pPr>
        <w:pStyle w:val="9"/>
        <w:rPr>
          <w:rFonts w:hint="eastAsia" w:ascii="方正仿宋_GBK" w:hAnsi="宋体" w:eastAsia="方正仿宋_GBK"/>
          <w:sz w:val="24"/>
          <w:szCs w:val="24"/>
          <w:lang w:val="en-US" w:eastAsia="zh-CN"/>
        </w:rPr>
      </w:pPr>
    </w:p>
    <w:p w14:paraId="03AF9D17">
      <w:pPr>
        <w:pStyle w:val="9"/>
        <w:rPr>
          <w:rFonts w:hint="eastAsia" w:ascii="方正仿宋_GBK" w:hAnsi="宋体" w:eastAsia="方正仿宋_GBK"/>
          <w:sz w:val="24"/>
          <w:szCs w:val="24"/>
          <w:lang w:val="en-US" w:eastAsia="zh-CN"/>
        </w:rPr>
      </w:pPr>
    </w:p>
    <w:p w14:paraId="0409BC2E">
      <w:pPr>
        <w:pStyle w:val="9"/>
        <w:rPr>
          <w:rFonts w:hint="eastAsia" w:ascii="方正仿宋_GBK" w:hAnsi="宋体" w:eastAsia="方正仿宋_GBK"/>
          <w:sz w:val="24"/>
          <w:szCs w:val="24"/>
          <w:lang w:val="en-US" w:eastAsia="zh-CN"/>
        </w:rPr>
      </w:pPr>
    </w:p>
    <w:p w14:paraId="6D2D7A6F">
      <w:pPr>
        <w:pStyle w:val="9"/>
        <w:rPr>
          <w:rFonts w:hint="eastAsia" w:ascii="方正仿宋_GBK" w:hAnsi="宋体" w:eastAsia="方正仿宋_GBK"/>
          <w:sz w:val="24"/>
          <w:szCs w:val="24"/>
          <w:lang w:val="en-US" w:eastAsia="zh-CN"/>
        </w:rPr>
      </w:pPr>
    </w:p>
    <w:p w14:paraId="381714D3">
      <w:pPr>
        <w:pStyle w:val="3"/>
        <w:spacing w:before="0" w:after="0" w:line="360" w:lineRule="auto"/>
        <w:jc w:val="center"/>
        <w:rPr>
          <w:rFonts w:hint="eastAsia" w:ascii="方正小标宋_GBK" w:eastAsia="方正小标宋_GBK"/>
          <w:b w:val="0"/>
          <w:sz w:val="36"/>
          <w:szCs w:val="30"/>
          <w:lang w:val="en-US" w:eastAsia="zh-CN"/>
        </w:rPr>
      </w:pPr>
      <w:bookmarkStart w:id="57" w:name="_Toc523"/>
      <w:bookmarkStart w:id="58" w:name="_Toc15492"/>
      <w:bookmarkStart w:id="59" w:name="_Toc65660341"/>
      <w:bookmarkStart w:id="60" w:name="_Toc106034781"/>
      <w:bookmarkStart w:id="61" w:name="_Toc15751"/>
      <w:bookmarkStart w:id="62" w:name="_Toc13356"/>
      <w:r>
        <w:rPr>
          <w:rFonts w:hint="eastAsia" w:ascii="方正小标宋_GBK" w:eastAsia="方正小标宋_GBK"/>
          <w:b w:val="0"/>
          <w:sz w:val="36"/>
          <w:szCs w:val="30"/>
        </w:rPr>
        <w:t>第三篇  询价项目服务</w:t>
      </w:r>
      <w:bookmarkEnd w:id="57"/>
      <w:bookmarkEnd w:id="58"/>
      <w:bookmarkEnd w:id="59"/>
      <w:bookmarkEnd w:id="60"/>
      <w:bookmarkEnd w:id="61"/>
      <w:bookmarkEnd w:id="62"/>
      <w:r>
        <w:rPr>
          <w:rFonts w:hint="eastAsia" w:ascii="方正小标宋_GBK" w:eastAsia="方正小标宋_GBK"/>
          <w:b w:val="0"/>
          <w:sz w:val="36"/>
          <w:szCs w:val="30"/>
          <w:lang w:val="en-US" w:eastAsia="zh-CN"/>
        </w:rPr>
        <w:t>说明</w:t>
      </w:r>
    </w:p>
    <w:p w14:paraId="7D2F792E">
      <w:pPr>
        <w:pStyle w:val="3"/>
        <w:adjustRightInd w:val="0"/>
        <w:snapToGrid w:val="0"/>
        <w:spacing w:before="0" w:after="0" w:line="400" w:lineRule="exact"/>
        <w:ind w:firstLine="482" w:firstLineChars="200"/>
        <w:rPr>
          <w:rFonts w:ascii="方正仿宋_GBK" w:hAnsi="宋体" w:eastAsia="方正仿宋_GBK"/>
          <w:sz w:val="24"/>
        </w:rPr>
      </w:pPr>
      <w:bookmarkStart w:id="63" w:name="_Toc12935"/>
      <w:bookmarkStart w:id="64" w:name="_Toc17750"/>
      <w:bookmarkStart w:id="65" w:name="_Toc106034782"/>
      <w:bookmarkStart w:id="66" w:name="_Toc13555"/>
      <w:bookmarkStart w:id="67" w:name="_Toc65660342"/>
      <w:bookmarkStart w:id="68" w:name="_Toc22326"/>
      <w:r>
        <w:rPr>
          <w:rFonts w:hint="eastAsia" w:ascii="方正仿宋_GBK" w:hAnsi="宋体" w:eastAsia="方正仿宋_GBK"/>
          <w:sz w:val="24"/>
        </w:rPr>
        <w:t>一、</w:t>
      </w:r>
      <w:r>
        <w:rPr>
          <w:rFonts w:hint="eastAsia" w:ascii="方正仿宋_GBK" w:hAnsi="宋体" w:eastAsia="方正仿宋_GBK"/>
          <w:sz w:val="24"/>
          <w:lang w:val="en-US" w:eastAsia="zh-CN"/>
        </w:rPr>
        <w:t>服务</w:t>
      </w:r>
      <w:r>
        <w:rPr>
          <w:rFonts w:hint="eastAsia" w:ascii="方正仿宋_GBK" w:hAnsi="宋体" w:eastAsia="方正仿宋_GBK"/>
          <w:sz w:val="24"/>
        </w:rPr>
        <w:t>时间、地点</w:t>
      </w:r>
      <w:bookmarkEnd w:id="63"/>
      <w:bookmarkEnd w:id="64"/>
      <w:bookmarkEnd w:id="65"/>
      <w:bookmarkEnd w:id="66"/>
      <w:bookmarkEnd w:id="67"/>
      <w:bookmarkEnd w:id="68"/>
    </w:p>
    <w:p w14:paraId="3CD28241">
      <w:pPr>
        <w:pStyle w:val="6"/>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（一）</w:t>
      </w:r>
      <w:r>
        <w:rPr>
          <w:rFonts w:hint="eastAsia" w:ascii="方正仿宋_GBK" w:hAnsi="宋体" w:eastAsia="方正仿宋_GBK"/>
          <w:sz w:val="24"/>
          <w:szCs w:val="24"/>
          <w:lang w:val="en-US" w:eastAsia="zh-CN"/>
        </w:rPr>
        <w:t>服务</w:t>
      </w:r>
      <w:r>
        <w:rPr>
          <w:rFonts w:hint="eastAsia" w:ascii="方正仿宋_GBK" w:hAnsi="宋体" w:eastAsia="方正仿宋_GBK"/>
          <w:sz w:val="24"/>
          <w:szCs w:val="24"/>
        </w:rPr>
        <w:t>时间</w:t>
      </w:r>
    </w:p>
    <w:p w14:paraId="2084CF92">
      <w:pPr>
        <w:pStyle w:val="6"/>
        <w:spacing w:line="400" w:lineRule="exact"/>
        <w:ind w:firstLine="360" w:firstLineChars="150"/>
        <w:outlineLvl w:val="2"/>
        <w:rPr>
          <w:rFonts w:hint="eastAsia" w:ascii="方正仿宋_GBK" w:hAnsi="宋体" w:eastAsia="方正仿宋_GBK"/>
          <w:sz w:val="24"/>
          <w:szCs w:val="24"/>
          <w:lang w:val="en-US" w:eastAsia="zh-CN"/>
        </w:rPr>
      </w:pPr>
      <w:r>
        <w:rPr>
          <w:rFonts w:hint="eastAsia" w:ascii="方正仿宋_GBK" w:hAnsi="宋体" w:eastAsia="方正仿宋_GBK"/>
          <w:sz w:val="24"/>
          <w:szCs w:val="24"/>
          <w:lang w:val="en-US" w:eastAsia="zh-CN"/>
        </w:rPr>
        <w:t>本合同采用年度签约制，在供应商履约评估合格且双方协商一致的前提下可逐年续延，自首次签约之日起累计有效期最长不超过三年。</w:t>
      </w:r>
    </w:p>
    <w:p w14:paraId="72A69D91">
      <w:pPr>
        <w:pStyle w:val="6"/>
        <w:spacing w:line="400" w:lineRule="exact"/>
        <w:ind w:firstLine="360" w:firstLineChars="150"/>
        <w:outlineLvl w:val="2"/>
        <w:rPr>
          <w:rFonts w:hint="eastAsia" w:ascii="方正仿宋_GBK" w:hAnsi="宋体" w:eastAsia="方正仿宋_GBK"/>
          <w:sz w:val="24"/>
          <w:szCs w:val="24"/>
        </w:rPr>
      </w:pPr>
      <w:r>
        <w:rPr>
          <w:rFonts w:hint="eastAsia" w:ascii="方正仿宋_GBK" w:hAnsi="宋体" w:eastAsia="方正仿宋_GBK"/>
          <w:sz w:val="24"/>
          <w:szCs w:val="24"/>
        </w:rPr>
        <w:t>（二）</w:t>
      </w:r>
      <w:r>
        <w:rPr>
          <w:rFonts w:hint="eastAsia" w:ascii="方正仿宋_GBK" w:hAnsi="宋体" w:eastAsia="方正仿宋_GBK"/>
          <w:sz w:val="24"/>
          <w:szCs w:val="24"/>
          <w:lang w:val="en-US" w:eastAsia="zh-CN"/>
        </w:rPr>
        <w:t>服务</w:t>
      </w:r>
      <w:r>
        <w:rPr>
          <w:rFonts w:hint="eastAsia" w:ascii="方正仿宋_GBK" w:hAnsi="宋体" w:eastAsia="方正仿宋_GBK"/>
          <w:sz w:val="24"/>
          <w:szCs w:val="24"/>
        </w:rPr>
        <w:t>地点</w:t>
      </w:r>
    </w:p>
    <w:p w14:paraId="0B4E89C7">
      <w:pPr>
        <w:spacing w:line="400" w:lineRule="exact"/>
        <w:ind w:firstLine="480" w:firstLineChars="200"/>
        <w:rPr>
          <w:rFonts w:hint="eastAsia" w:ascii="方正仿宋_GBK" w:hAnsi="宋体" w:eastAsia="方正仿宋_GBK"/>
          <w:sz w:val="24"/>
          <w:szCs w:val="24"/>
          <w:lang w:val="en-US" w:eastAsia="zh-CN"/>
        </w:rPr>
      </w:pPr>
      <w:r>
        <w:rPr>
          <w:rFonts w:hint="eastAsia" w:ascii="方正仿宋_GBK" w:hAnsi="宋体" w:eastAsia="方正仿宋_GBK"/>
          <w:sz w:val="24"/>
          <w:szCs w:val="24"/>
          <w:lang w:val="en-US" w:eastAsia="zh-CN"/>
        </w:rPr>
        <w:t>重庆市人口和计划生育科学技术研究院附属医院</w:t>
      </w:r>
    </w:p>
    <w:p w14:paraId="1F21907E">
      <w:pPr>
        <w:pStyle w:val="3"/>
        <w:adjustRightInd w:val="0"/>
        <w:snapToGrid w:val="0"/>
        <w:spacing w:before="0" w:after="0" w:line="400" w:lineRule="exact"/>
        <w:ind w:firstLine="482" w:firstLineChars="200"/>
        <w:rPr>
          <w:rFonts w:hint="eastAsia" w:ascii="方正仿宋_GBK" w:hAnsi="宋体" w:eastAsia="方正仿宋_GBK"/>
          <w:sz w:val="24"/>
        </w:rPr>
      </w:pPr>
      <w:bookmarkStart w:id="69" w:name="_Toc122"/>
      <w:bookmarkStart w:id="70" w:name="_Toc23680"/>
      <w:bookmarkStart w:id="71" w:name="_Toc106034784"/>
      <w:bookmarkStart w:id="72" w:name="_Toc16974"/>
      <w:bookmarkStart w:id="73" w:name="_Toc12184"/>
      <w:bookmarkStart w:id="74" w:name="_Toc65660344"/>
      <w:r>
        <w:rPr>
          <w:rFonts w:hint="eastAsia" w:ascii="方正仿宋_GBK" w:hAnsi="宋体" w:eastAsia="方正仿宋_GBK"/>
          <w:sz w:val="24"/>
          <w:lang w:val="en-US" w:eastAsia="zh-CN"/>
        </w:rPr>
        <w:t>二</w:t>
      </w:r>
      <w:r>
        <w:rPr>
          <w:rFonts w:hint="eastAsia" w:ascii="方正仿宋_GBK" w:hAnsi="宋体" w:eastAsia="方正仿宋_GBK"/>
          <w:sz w:val="24"/>
        </w:rPr>
        <w:t>、报价要求</w:t>
      </w:r>
      <w:bookmarkEnd w:id="69"/>
      <w:bookmarkEnd w:id="70"/>
      <w:bookmarkEnd w:id="71"/>
      <w:bookmarkEnd w:id="72"/>
      <w:bookmarkEnd w:id="73"/>
      <w:bookmarkEnd w:id="74"/>
    </w:p>
    <w:p w14:paraId="7B6B4610">
      <w:pPr>
        <w:spacing w:line="400" w:lineRule="exact"/>
        <w:ind w:firstLine="480" w:firstLineChars="200"/>
        <w:rPr>
          <w:rFonts w:hint="eastAsia" w:ascii="方正仿宋_GBK" w:hAnsi="宋体" w:eastAsia="方正仿宋_GBK"/>
          <w:sz w:val="24"/>
          <w:szCs w:val="24"/>
        </w:rPr>
      </w:pPr>
      <w:r>
        <w:rPr>
          <w:rFonts w:hint="eastAsia" w:ascii="方正仿宋_GBK" w:hAnsi="宋体" w:eastAsia="方正仿宋_GBK"/>
          <w:sz w:val="24"/>
          <w:szCs w:val="24"/>
        </w:rPr>
        <w:t>报价</w:t>
      </w:r>
      <w:r>
        <w:rPr>
          <w:rFonts w:hint="eastAsia" w:ascii="方正仿宋_GBK" w:hAnsi="宋体" w:eastAsia="方正仿宋_GBK" w:cs="宋体"/>
          <w:kern w:val="0"/>
          <w:sz w:val="24"/>
          <w:szCs w:val="24"/>
        </w:rPr>
        <w:t>须为人民币报价</w:t>
      </w:r>
      <w:r>
        <w:rPr>
          <w:rFonts w:hint="eastAsia" w:ascii="方正仿宋_GBK" w:hAnsi="宋体" w:eastAsia="方正仿宋_GBK"/>
          <w:sz w:val="24"/>
          <w:szCs w:val="24"/>
        </w:rPr>
        <w:t>，包括完成本项目所需的包含货物费、运输费、安装调试费、装卸费、培训费、</w:t>
      </w:r>
      <w:r>
        <w:rPr>
          <w:rFonts w:hint="eastAsia" w:ascii="方正仿宋_GBK" w:hAnsi="宋体" w:eastAsia="方正仿宋_GBK"/>
          <w:sz w:val="24"/>
          <w:szCs w:val="24"/>
          <w:lang w:val="en-US" w:eastAsia="zh-CN"/>
        </w:rPr>
        <w:t>加急费、</w:t>
      </w:r>
      <w:r>
        <w:rPr>
          <w:rFonts w:hint="eastAsia" w:ascii="方正仿宋_GBK" w:hAnsi="宋体" w:eastAsia="方正仿宋_GBK"/>
          <w:sz w:val="24"/>
          <w:szCs w:val="24"/>
        </w:rPr>
        <w:t>保险费及各种应纳的税费</w:t>
      </w:r>
      <w:r>
        <w:rPr>
          <w:rFonts w:hint="eastAsia" w:ascii="方正仿宋_GBK" w:hAnsi="宋体" w:eastAsia="方正仿宋_GBK"/>
          <w:sz w:val="24"/>
          <w:szCs w:val="24"/>
          <w:lang w:val="en-US" w:eastAsia="zh-CN"/>
        </w:rPr>
        <w:t>等</w:t>
      </w:r>
      <w:r>
        <w:rPr>
          <w:rFonts w:hint="eastAsia" w:ascii="方正仿宋_GBK" w:hAnsi="宋体" w:eastAsia="方正仿宋_GBK"/>
          <w:sz w:val="24"/>
          <w:szCs w:val="24"/>
        </w:rPr>
        <w:t>所有费用。因成交供应商自身原因造成漏报、少报皆由其自行承担责任，采购人不再补偿。</w:t>
      </w:r>
    </w:p>
    <w:p w14:paraId="39A4741C">
      <w:pPr>
        <w:pStyle w:val="3"/>
        <w:adjustRightInd w:val="0"/>
        <w:snapToGrid w:val="0"/>
        <w:spacing w:before="0" w:after="0" w:line="400" w:lineRule="exact"/>
        <w:ind w:firstLine="482" w:firstLineChars="200"/>
        <w:rPr>
          <w:rFonts w:hint="eastAsia" w:ascii="方正仿宋_GBK" w:hAnsi="宋体" w:eastAsia="方正仿宋_GBK"/>
          <w:sz w:val="24"/>
        </w:rPr>
      </w:pPr>
      <w:bookmarkStart w:id="75" w:name="_Toc106034785"/>
      <w:bookmarkStart w:id="76" w:name="_Toc9192"/>
      <w:bookmarkStart w:id="77" w:name="_Toc11000"/>
      <w:bookmarkStart w:id="78" w:name="_Toc65660345"/>
      <w:bookmarkStart w:id="79" w:name="_Toc7562"/>
      <w:bookmarkStart w:id="80" w:name="_Toc9595"/>
      <w:r>
        <w:rPr>
          <w:rFonts w:hint="eastAsia" w:ascii="方正仿宋_GBK" w:hAnsi="宋体" w:eastAsia="方正仿宋_GBK"/>
          <w:sz w:val="24"/>
          <w:lang w:val="en-US" w:eastAsia="zh-CN"/>
        </w:rPr>
        <w:t>三</w:t>
      </w:r>
      <w:r>
        <w:rPr>
          <w:rFonts w:hint="eastAsia" w:ascii="方正仿宋_GBK" w:hAnsi="宋体" w:eastAsia="方正仿宋_GBK"/>
          <w:sz w:val="24"/>
        </w:rPr>
        <w:t>、付款方式</w:t>
      </w:r>
      <w:bookmarkEnd w:id="75"/>
      <w:bookmarkEnd w:id="76"/>
      <w:bookmarkEnd w:id="77"/>
      <w:bookmarkEnd w:id="78"/>
      <w:bookmarkEnd w:id="79"/>
      <w:bookmarkEnd w:id="80"/>
    </w:p>
    <w:p w14:paraId="14AC4C5F">
      <w:pPr>
        <w:snapToGrid w:val="0"/>
        <w:spacing w:line="400" w:lineRule="exact"/>
        <w:ind w:firstLine="480" w:firstLineChars="200"/>
        <w:rPr>
          <w:rFonts w:hint="default" w:ascii="方正仿宋_GBK" w:hAnsi="宋体" w:eastAsia="方正仿宋_GBK"/>
          <w:sz w:val="24"/>
          <w:szCs w:val="24"/>
          <w:lang w:val="en-US" w:eastAsia="zh-CN"/>
        </w:rPr>
      </w:pPr>
      <w:r>
        <w:rPr>
          <w:rFonts w:hint="eastAsia" w:ascii="方正仿宋_GBK" w:hAnsi="宋体" w:eastAsia="方正仿宋_GBK"/>
          <w:sz w:val="24"/>
          <w:szCs w:val="24"/>
          <w:lang w:val="en-US" w:eastAsia="zh-CN"/>
        </w:rPr>
        <w:t>采购人</w:t>
      </w:r>
      <w:r>
        <w:rPr>
          <w:rFonts w:hint="eastAsia" w:ascii="方正仿宋_GBK" w:hAnsi="宋体" w:eastAsia="方正仿宋_GBK"/>
          <w:sz w:val="24"/>
          <w:szCs w:val="24"/>
        </w:rPr>
        <w:t>按季度</w:t>
      </w:r>
      <w:r>
        <w:rPr>
          <w:rFonts w:hint="eastAsia" w:ascii="方正仿宋_GBK" w:hAnsi="宋体" w:eastAsia="方正仿宋_GBK"/>
          <w:sz w:val="24"/>
          <w:szCs w:val="24"/>
          <w:lang w:val="en-US" w:eastAsia="zh-CN"/>
        </w:rPr>
        <w:t>进行</w:t>
      </w:r>
      <w:r>
        <w:rPr>
          <w:rFonts w:hint="eastAsia" w:ascii="方正仿宋_GBK" w:hAnsi="宋体" w:eastAsia="方正仿宋_GBK"/>
          <w:sz w:val="24"/>
          <w:szCs w:val="24"/>
        </w:rPr>
        <w:t>付款，每季度首月支付上一季度的费用</w:t>
      </w:r>
      <w:r>
        <w:rPr>
          <w:rFonts w:hint="eastAsia" w:ascii="方正仿宋_GBK" w:hAnsi="宋体" w:eastAsia="方正仿宋_GBK"/>
          <w:sz w:val="24"/>
          <w:szCs w:val="24"/>
          <w:lang w:eastAsia="zh-CN"/>
        </w:rPr>
        <w:t>。</w:t>
      </w:r>
      <w:r>
        <w:rPr>
          <w:rFonts w:hint="eastAsia" w:ascii="方正仿宋_GBK" w:hAnsi="宋体" w:eastAsia="方正仿宋_GBK"/>
          <w:sz w:val="24"/>
          <w:szCs w:val="24"/>
          <w:lang w:val="en-US" w:eastAsia="zh-CN"/>
        </w:rPr>
        <w:t>采购人收到供应商提供的发票后15个工作日内进行支付。</w:t>
      </w:r>
    </w:p>
    <w:p w14:paraId="00370DBD">
      <w:pPr>
        <w:pStyle w:val="3"/>
        <w:adjustRightInd w:val="0"/>
        <w:snapToGrid w:val="0"/>
        <w:spacing w:before="0" w:after="0" w:line="400" w:lineRule="exact"/>
        <w:ind w:firstLine="482" w:firstLineChars="200"/>
        <w:rPr>
          <w:rFonts w:hint="eastAsia" w:ascii="方正仿宋_GBK" w:hAnsi="宋体" w:eastAsia="方正仿宋_GBK"/>
          <w:sz w:val="24"/>
        </w:rPr>
      </w:pPr>
      <w:bookmarkStart w:id="81" w:name="_Toc17897"/>
      <w:bookmarkStart w:id="82" w:name="_Toc65660346"/>
      <w:bookmarkStart w:id="83" w:name="_Toc106034786"/>
      <w:bookmarkStart w:id="84" w:name="_Toc24751"/>
      <w:bookmarkStart w:id="85" w:name="_Toc3786"/>
      <w:bookmarkStart w:id="86" w:name="_Toc7228"/>
      <w:r>
        <w:rPr>
          <w:rFonts w:hint="eastAsia" w:ascii="方正仿宋_GBK" w:hAnsi="宋体" w:eastAsia="方正仿宋_GBK"/>
          <w:sz w:val="24"/>
          <w:lang w:val="en-US" w:eastAsia="zh-CN"/>
        </w:rPr>
        <w:t>四</w:t>
      </w:r>
      <w:r>
        <w:rPr>
          <w:rFonts w:hint="eastAsia" w:ascii="方正仿宋_GBK" w:hAnsi="宋体" w:eastAsia="方正仿宋_GBK"/>
          <w:sz w:val="24"/>
        </w:rPr>
        <w:t>、知识产权</w:t>
      </w:r>
      <w:bookmarkEnd w:id="81"/>
      <w:bookmarkEnd w:id="82"/>
      <w:bookmarkEnd w:id="83"/>
      <w:bookmarkEnd w:id="84"/>
      <w:bookmarkEnd w:id="85"/>
      <w:bookmarkEnd w:id="86"/>
    </w:p>
    <w:p w14:paraId="742C3A5F">
      <w:pPr>
        <w:snapToGrid w:val="0"/>
        <w:spacing w:line="400" w:lineRule="exact"/>
        <w:ind w:firstLine="540"/>
        <w:rPr>
          <w:rFonts w:hint="eastAsia" w:ascii="方正仿宋_GBK" w:hAnsi="宋体" w:eastAsia="方正仿宋_GBK"/>
          <w:sz w:val="24"/>
          <w:szCs w:val="24"/>
        </w:rPr>
      </w:pPr>
      <w:r>
        <w:rPr>
          <w:rFonts w:hint="eastAsia" w:ascii="方正仿宋_GBK" w:hAnsi="宋体" w:eastAsia="方正仿宋_GBK"/>
          <w:sz w:val="24"/>
          <w:szCs w:val="24"/>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422154AA">
      <w:pPr>
        <w:pStyle w:val="2"/>
        <w:rPr>
          <w:rFonts w:hint="eastAsia"/>
          <w:lang w:val="en-US" w:eastAsia="zh-CN"/>
        </w:rPr>
      </w:pPr>
    </w:p>
    <w:p w14:paraId="4B0718C9">
      <w:pPr>
        <w:pStyle w:val="2"/>
        <w:rPr>
          <w:rFonts w:hint="default"/>
          <w:lang w:val="en-US"/>
        </w:rPr>
      </w:pPr>
    </w:p>
    <w:p w14:paraId="741575AF">
      <w:pPr>
        <w:pStyle w:val="9"/>
        <w:rPr>
          <w:rFonts w:hint="eastAsia" w:ascii="方正仿宋_GBK" w:hAnsi="宋体" w:eastAsia="方正仿宋_GBK"/>
          <w:sz w:val="24"/>
          <w:szCs w:val="24"/>
          <w:lang w:val="en-US" w:eastAsia="zh-CN"/>
        </w:rPr>
      </w:pPr>
    </w:p>
    <w:p w14:paraId="368AE725">
      <w:pPr>
        <w:pStyle w:val="9"/>
        <w:ind w:left="0" w:leftChars="0" w:firstLine="0" w:firstLineChars="0"/>
        <w:rPr>
          <w:rFonts w:hint="eastAsia" w:ascii="方正仿宋_GBK" w:hAnsi="宋体" w:eastAsia="方正仿宋_GBK"/>
          <w:sz w:val="24"/>
          <w:szCs w:val="24"/>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9A2A8">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07E746">
                          <w:pPr>
                            <w:pStyle w:val="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lSs7WAAAABgEAAA8AAAAAAAAAAQAgAAAAIgAAAGRycy9kb3ducmV2&#10;LnhtbFBLAQIUABQAAAAIAIdO4kAMiZEMNwIAAGsEAAAOAAAAAAAAAAEAIAAAACUBAABkcnMvZTJv&#10;RG9jLnhtbFBLBQYAAAAABgAGAFkBAADOBQAAAAA=&#10;">
              <v:fill on="f" focussize="0,0"/>
              <v:stroke on="f" weight="0.5pt"/>
              <v:imagedata o:title=""/>
              <o:lock v:ext="edit" aspectratio="f"/>
              <v:textbox inset="16pt,0mm,16pt,0mm" style="mso-fit-shape-to-text:t;">
                <w:txbxContent>
                  <w:p w14:paraId="7B07E746">
                    <w:pPr>
                      <w:pStyle w:val="7"/>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804B29"/>
    <w:rsid w:val="039D55F6"/>
    <w:rsid w:val="07397B77"/>
    <w:rsid w:val="08732C15"/>
    <w:rsid w:val="0B04049C"/>
    <w:rsid w:val="0B8E4AD7"/>
    <w:rsid w:val="0D9B7B45"/>
    <w:rsid w:val="15B0279D"/>
    <w:rsid w:val="1881137E"/>
    <w:rsid w:val="1E71779F"/>
    <w:rsid w:val="2492046F"/>
    <w:rsid w:val="253A13A7"/>
    <w:rsid w:val="258B73F0"/>
    <w:rsid w:val="2B4C1378"/>
    <w:rsid w:val="31A31F0E"/>
    <w:rsid w:val="32C4038E"/>
    <w:rsid w:val="32E61066"/>
    <w:rsid w:val="359526FD"/>
    <w:rsid w:val="386767B0"/>
    <w:rsid w:val="39253208"/>
    <w:rsid w:val="39A46823"/>
    <w:rsid w:val="3C552056"/>
    <w:rsid w:val="40632F94"/>
    <w:rsid w:val="42312C1E"/>
    <w:rsid w:val="43FD725B"/>
    <w:rsid w:val="46496788"/>
    <w:rsid w:val="46804B29"/>
    <w:rsid w:val="484B7FEF"/>
    <w:rsid w:val="4BA63E2A"/>
    <w:rsid w:val="4C0B36F2"/>
    <w:rsid w:val="508B3E41"/>
    <w:rsid w:val="52A631B4"/>
    <w:rsid w:val="55F52488"/>
    <w:rsid w:val="57911D3D"/>
    <w:rsid w:val="581D7A74"/>
    <w:rsid w:val="5E833CC0"/>
    <w:rsid w:val="614F47CA"/>
    <w:rsid w:val="67F7371C"/>
    <w:rsid w:val="68116E94"/>
    <w:rsid w:val="69643755"/>
    <w:rsid w:val="6A5512F0"/>
    <w:rsid w:val="6D94212F"/>
    <w:rsid w:val="6F1B2B08"/>
    <w:rsid w:val="6F343BCA"/>
    <w:rsid w:val="720420C9"/>
    <w:rsid w:val="7458686C"/>
    <w:rsid w:val="76D13197"/>
    <w:rsid w:val="79FA0CEA"/>
    <w:rsid w:val="7D981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4">
    <w:name w:val="Body Text"/>
    <w:basedOn w:val="1"/>
    <w:next w:val="1"/>
    <w:qFormat/>
    <w:uiPriority w:val="0"/>
    <w:rPr>
      <w:rFonts w:ascii="仿宋_GB2312" w:eastAsia="仿宋_GB2312"/>
      <w:sz w:val="32"/>
    </w:rPr>
  </w:style>
  <w:style w:type="paragraph" w:styleId="5">
    <w:name w:val="Body Text Indent"/>
    <w:basedOn w:val="1"/>
    <w:qFormat/>
    <w:uiPriority w:val="0"/>
    <w:pPr>
      <w:spacing w:line="700" w:lineRule="exact"/>
      <w:ind w:left="960"/>
    </w:pPr>
    <w:rPr>
      <w:sz w:val="44"/>
    </w:rPr>
  </w:style>
  <w:style w:type="paragraph" w:styleId="6">
    <w:name w:val="Body Text Indent 2"/>
    <w:basedOn w:val="1"/>
    <w:qFormat/>
    <w:uiPriority w:val="0"/>
    <w:pPr>
      <w:snapToGrid w:val="0"/>
      <w:spacing w:line="560" w:lineRule="atLeast"/>
      <w:ind w:firstLine="540"/>
    </w:p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w:basedOn w:val="4"/>
    <w:qFormat/>
    <w:uiPriority w:val="0"/>
    <w:pPr>
      <w:spacing w:line="360" w:lineRule="auto"/>
      <w:ind w:firstLine="420"/>
    </w:pPr>
    <w:rPr>
      <w:rFonts w:ascii="宋体" w:hAnsi="宋体"/>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2648</Words>
  <Characters>2743</Characters>
  <Lines>0</Lines>
  <Paragraphs>0</Paragraphs>
  <TotalTime>54</TotalTime>
  <ScaleCrop>false</ScaleCrop>
  <LinksUpToDate>false</LinksUpToDate>
  <CharactersWithSpaces>2767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2025-04-16T09:41:00Z</dcterms:created>
  <dc:creator>尹春</dc:creator>
  <cp:lastModifiedBy>尹春</cp:lastModifiedBy>
  <dcterms:modified xsi:type="dcterms:W3CDTF">2025-04-18T10:11:03Z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E1FA54AC6CCA48CB975606633D6AC9FE_11</vt:lpwstr>
  </property>
  <property fmtid="{D5CDD505-2E9C-101B-9397-08002B2CF9AE}" pid="4" name="KSOTemplateDocerSaveRecord">
    <vt:lpwstr>eyJoZGlkIjoiNDVmNjdmMjc1NTA3MGM5NjgwODljMzFlODNmMzc5MzAiLCJ1c2VySWQiOiIxNjM4OTU1NzA4In0=</vt:lpwstr>
  </property>
</Properties>
</file>