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F72C06">
      <w:pPr>
        <w:spacing w:line="360" w:lineRule="auto"/>
        <w:jc w:val="left"/>
        <w:outlineLvl w:val="0"/>
        <w:rPr>
          <w:rFonts w:hint="eastAsia" w:ascii="宋体" w:hAnsi="宋体" w:eastAsia="宋体" w:cs="宋体"/>
          <w:b/>
          <w:bCs/>
          <w:color w:val="auto"/>
          <w:sz w:val="36"/>
          <w:szCs w:val="36"/>
          <w:highlight w:val="none"/>
        </w:rPr>
      </w:pPr>
    </w:p>
    <w:p w14:paraId="228C8411">
      <w:pPr>
        <w:keepNext w:val="0"/>
        <w:keepLines w:val="0"/>
        <w:pageBreakBefore w:val="0"/>
        <w:widowControl w:val="0"/>
        <w:kinsoku/>
        <w:wordWrap/>
        <w:overflowPunct/>
        <w:topLinePunct w:val="0"/>
        <w:autoSpaceDE/>
        <w:autoSpaceDN/>
        <w:bidi w:val="0"/>
        <w:adjustRightInd/>
        <w:snapToGrid/>
        <w:spacing w:line="600" w:lineRule="exact"/>
        <w:ind w:firstLine="361" w:firstLineChars="100"/>
        <w:jc w:val="left"/>
        <w:textAlignment w:val="auto"/>
        <w:outlineLvl w:val="0"/>
        <w:rPr>
          <w:rFonts w:hint="eastAsia" w:ascii="宋体" w:hAnsi="宋体" w:cs="宋体"/>
          <w:b/>
          <w:bCs/>
          <w:color w:val="auto"/>
          <w:sz w:val="36"/>
          <w:szCs w:val="36"/>
          <w:highlight w:val="none"/>
          <w:lang w:eastAsia="zh-CN"/>
        </w:rPr>
      </w:pPr>
      <w:r>
        <w:rPr>
          <w:rFonts w:hint="eastAsia" w:ascii="宋体" w:hAnsi="宋体" w:eastAsia="宋体" w:cs="宋体"/>
          <w:b/>
          <w:bCs/>
          <w:color w:val="auto"/>
          <w:sz w:val="36"/>
          <w:szCs w:val="36"/>
          <w:highlight w:val="none"/>
        </w:rPr>
        <w:t>项目名称：</w:t>
      </w:r>
      <w:r>
        <w:rPr>
          <w:rFonts w:hint="eastAsia" w:ascii="宋体" w:hAnsi="宋体" w:cs="宋体"/>
          <w:b/>
          <w:bCs/>
          <w:color w:val="auto"/>
          <w:sz w:val="36"/>
          <w:szCs w:val="36"/>
          <w:highlight w:val="none"/>
          <w:lang w:eastAsia="zh-CN"/>
        </w:rPr>
        <w:t>重庆市大足区财政局购买食堂劳务服务</w:t>
      </w:r>
    </w:p>
    <w:p w14:paraId="4A6D8E1D">
      <w:pPr>
        <w:keepNext w:val="0"/>
        <w:keepLines w:val="0"/>
        <w:pageBreakBefore w:val="0"/>
        <w:widowControl w:val="0"/>
        <w:kinsoku/>
        <w:wordWrap/>
        <w:overflowPunct/>
        <w:topLinePunct w:val="0"/>
        <w:autoSpaceDE/>
        <w:autoSpaceDN/>
        <w:bidi w:val="0"/>
        <w:adjustRightInd/>
        <w:snapToGrid/>
        <w:spacing w:line="600" w:lineRule="exact"/>
        <w:ind w:firstLine="361" w:firstLineChars="100"/>
        <w:jc w:val="left"/>
        <w:textAlignment w:val="auto"/>
        <w:outlineLvl w:val="0"/>
        <w:rPr>
          <w:rFonts w:hint="default" w:ascii="宋体" w:hAnsi="宋体" w:eastAsia="宋体" w:cs="宋体"/>
          <w:b/>
          <w:bCs/>
          <w:color w:val="auto"/>
          <w:sz w:val="36"/>
          <w:szCs w:val="36"/>
          <w:highlight w:val="none"/>
          <w:lang w:val="en-US" w:eastAsia="zh-CN"/>
        </w:rPr>
      </w:pPr>
      <w:r>
        <w:rPr>
          <w:rFonts w:hint="eastAsia" w:ascii="宋体" w:hAnsi="宋体" w:cs="宋体"/>
          <w:b/>
          <w:bCs/>
          <w:color w:val="auto"/>
          <w:sz w:val="36"/>
          <w:szCs w:val="36"/>
          <w:highlight w:val="none"/>
          <w:lang w:val="en-US" w:eastAsia="zh-CN"/>
        </w:rPr>
        <w:t>项目</w:t>
      </w:r>
      <w:r>
        <w:rPr>
          <w:rFonts w:hint="eastAsia" w:ascii="宋体" w:hAnsi="宋体" w:eastAsia="宋体" w:cs="宋体"/>
          <w:b/>
          <w:bCs/>
          <w:color w:val="auto"/>
          <w:sz w:val="36"/>
          <w:szCs w:val="36"/>
          <w:highlight w:val="none"/>
        </w:rPr>
        <w:t>编号：</w:t>
      </w:r>
      <w:r>
        <w:rPr>
          <w:rFonts w:hint="eastAsia" w:ascii="宋体" w:hAnsi="宋体" w:cs="宋体"/>
          <w:b/>
          <w:bCs/>
          <w:color w:val="auto"/>
          <w:sz w:val="36"/>
          <w:szCs w:val="36"/>
          <w:highlight w:val="none"/>
          <w:lang w:val="en-US" w:eastAsia="zh-CN"/>
        </w:rPr>
        <w:t>CGZB25026</w:t>
      </w:r>
    </w:p>
    <w:p w14:paraId="10DBECFB">
      <w:pPr>
        <w:pStyle w:val="8"/>
        <w:rPr>
          <w:rFonts w:hint="eastAsia"/>
          <w:color w:val="auto"/>
          <w:highlight w:val="none"/>
        </w:rPr>
      </w:pPr>
    </w:p>
    <w:p w14:paraId="4ED2C167">
      <w:pPr>
        <w:jc w:val="center"/>
        <w:rPr>
          <w:rFonts w:hint="eastAsia" w:ascii="宋体" w:hAnsi="宋体" w:eastAsia="宋体" w:cs="宋体"/>
          <w:color w:val="auto"/>
          <w:highlight w:val="none"/>
        </w:rPr>
      </w:pPr>
    </w:p>
    <w:p w14:paraId="305A08C0">
      <w:pPr>
        <w:pStyle w:val="22"/>
        <w:rPr>
          <w:rFonts w:hint="eastAsia" w:ascii="宋体" w:hAnsi="宋体" w:eastAsia="宋体" w:cs="宋体"/>
          <w:color w:val="auto"/>
          <w:highlight w:val="none"/>
        </w:rPr>
      </w:pPr>
    </w:p>
    <w:p w14:paraId="0F3EA82C">
      <w:pPr>
        <w:rPr>
          <w:rFonts w:hint="eastAsia" w:ascii="宋体" w:hAnsi="宋体" w:eastAsia="宋体" w:cs="宋体"/>
          <w:color w:val="auto"/>
          <w:highlight w:val="none"/>
        </w:rPr>
      </w:pPr>
    </w:p>
    <w:p w14:paraId="012AB42C">
      <w:pPr>
        <w:pStyle w:val="8"/>
        <w:rPr>
          <w:rFonts w:hint="eastAsia"/>
          <w:color w:val="auto"/>
          <w:highlight w:val="none"/>
        </w:rPr>
      </w:pPr>
    </w:p>
    <w:p w14:paraId="16D8CE03">
      <w:pPr>
        <w:pStyle w:val="22"/>
        <w:rPr>
          <w:rFonts w:hint="eastAsia" w:ascii="宋体" w:hAnsi="宋体" w:eastAsia="宋体" w:cs="宋体"/>
          <w:color w:val="auto"/>
          <w:highlight w:val="none"/>
        </w:rPr>
      </w:pPr>
    </w:p>
    <w:p w14:paraId="0AE2B62E">
      <w:pPr>
        <w:rPr>
          <w:rFonts w:hint="eastAsia" w:ascii="宋体" w:hAnsi="宋体" w:eastAsia="宋体" w:cs="宋体"/>
          <w:color w:val="auto"/>
          <w:highlight w:val="none"/>
        </w:rPr>
      </w:pPr>
    </w:p>
    <w:p w14:paraId="68E2717E">
      <w:pPr>
        <w:pStyle w:val="22"/>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宋体" w:hAnsi="宋体" w:eastAsia="宋体" w:cs="宋体"/>
          <w:color w:val="auto"/>
          <w:highlight w:val="none"/>
        </w:rPr>
      </w:pPr>
    </w:p>
    <w:p w14:paraId="5A8DF6C0">
      <w:pPr>
        <w:keepNext w:val="0"/>
        <w:keepLines w:val="0"/>
        <w:pageBreakBefore w:val="0"/>
        <w:widowControl w:val="0"/>
        <w:kinsoku/>
        <w:wordWrap/>
        <w:overflowPunct/>
        <w:topLinePunct w:val="0"/>
        <w:autoSpaceDE/>
        <w:autoSpaceDN/>
        <w:bidi w:val="0"/>
        <w:adjustRightInd/>
        <w:snapToGrid/>
        <w:spacing w:line="1300" w:lineRule="exact"/>
        <w:jc w:val="center"/>
        <w:textAlignment w:val="auto"/>
        <w:rPr>
          <w:rFonts w:hint="eastAsia" w:ascii="宋体" w:hAnsi="宋体" w:eastAsia="宋体" w:cs="宋体"/>
          <w:color w:val="auto"/>
          <w:sz w:val="32"/>
          <w:highlight w:val="none"/>
        </w:rPr>
      </w:pPr>
      <w:r>
        <w:rPr>
          <w:rFonts w:hint="eastAsia" w:ascii="宋体" w:hAnsi="宋体" w:cs="宋体"/>
          <w:b/>
          <w:bCs/>
          <w:color w:val="auto"/>
          <w:sz w:val="120"/>
          <w:szCs w:val="120"/>
          <w:highlight w:val="none"/>
          <w:lang w:val="en-US" w:eastAsia="zh-CN"/>
        </w:rPr>
        <w:t>询比采购文件</w:t>
      </w:r>
    </w:p>
    <w:p w14:paraId="1A236B7D">
      <w:pPr>
        <w:pStyle w:val="22"/>
        <w:ind w:firstLine="0"/>
        <w:rPr>
          <w:rFonts w:hint="eastAsia" w:ascii="宋体" w:hAnsi="宋体" w:eastAsia="宋体" w:cs="宋体"/>
          <w:color w:val="auto"/>
          <w:highlight w:val="none"/>
        </w:rPr>
      </w:pPr>
    </w:p>
    <w:p w14:paraId="3A97482C">
      <w:pPr>
        <w:spacing w:line="500" w:lineRule="exact"/>
        <w:ind w:firstLine="2340" w:firstLineChars="650"/>
        <w:outlineLvl w:val="0"/>
        <w:rPr>
          <w:rFonts w:hint="eastAsia" w:ascii="宋体" w:hAnsi="宋体" w:eastAsia="宋体" w:cs="宋体"/>
          <w:color w:val="auto"/>
          <w:sz w:val="36"/>
          <w:szCs w:val="36"/>
          <w:highlight w:val="none"/>
        </w:rPr>
      </w:pPr>
    </w:p>
    <w:p w14:paraId="200D3DFF">
      <w:pPr>
        <w:spacing w:line="700" w:lineRule="exact"/>
        <w:jc w:val="center"/>
        <w:rPr>
          <w:rFonts w:hint="eastAsia" w:ascii="宋体" w:hAnsi="宋体" w:eastAsia="宋体" w:cs="宋体"/>
          <w:b/>
          <w:color w:val="auto"/>
          <w:sz w:val="36"/>
          <w:szCs w:val="36"/>
          <w:highlight w:val="none"/>
        </w:rPr>
      </w:pPr>
    </w:p>
    <w:p w14:paraId="13986EA4">
      <w:pPr>
        <w:pStyle w:val="9"/>
        <w:ind w:left="0" w:leftChars="0" w:firstLine="0" w:firstLineChars="0"/>
        <w:rPr>
          <w:rFonts w:hint="eastAsia" w:ascii="宋体" w:hAnsi="宋体" w:eastAsia="宋体" w:cs="宋体"/>
          <w:b/>
          <w:color w:val="auto"/>
          <w:sz w:val="36"/>
          <w:szCs w:val="36"/>
          <w:highlight w:val="none"/>
        </w:rPr>
      </w:pPr>
    </w:p>
    <w:p w14:paraId="7CF6DBAE">
      <w:pPr>
        <w:pStyle w:val="9"/>
        <w:rPr>
          <w:rFonts w:hint="eastAsia" w:ascii="宋体" w:hAnsi="宋体" w:eastAsia="宋体" w:cs="宋体"/>
          <w:b/>
          <w:color w:val="auto"/>
          <w:sz w:val="36"/>
          <w:szCs w:val="36"/>
          <w:highlight w:val="none"/>
        </w:rPr>
      </w:pPr>
    </w:p>
    <w:p w14:paraId="02D72891">
      <w:pPr>
        <w:pStyle w:val="9"/>
        <w:rPr>
          <w:rFonts w:hint="eastAsia" w:ascii="宋体" w:hAnsi="宋体" w:eastAsia="宋体" w:cs="宋体"/>
          <w:b/>
          <w:color w:val="auto"/>
          <w:sz w:val="36"/>
          <w:szCs w:val="36"/>
          <w:highlight w:val="none"/>
        </w:rPr>
      </w:pPr>
    </w:p>
    <w:p w14:paraId="134E83F2">
      <w:pPr>
        <w:pStyle w:val="22"/>
        <w:ind w:firstLine="0"/>
        <w:rPr>
          <w:rFonts w:hint="eastAsia" w:ascii="宋体" w:hAnsi="宋体" w:eastAsia="宋体" w:cs="宋体"/>
          <w:color w:val="auto"/>
          <w:sz w:val="36"/>
          <w:szCs w:val="36"/>
          <w:highlight w:val="none"/>
        </w:rPr>
      </w:pPr>
    </w:p>
    <w:p w14:paraId="2100D0B0">
      <w:pPr>
        <w:spacing w:line="500" w:lineRule="exact"/>
        <w:ind w:firstLine="1446" w:firstLineChars="400"/>
        <w:outlineLvl w:val="0"/>
        <w:rPr>
          <w:rFonts w:hint="eastAsia" w:ascii="宋体" w:hAnsi="宋体" w:eastAsia="宋体" w:cs="宋体"/>
          <w:b/>
          <w:bCs/>
          <w:color w:val="auto"/>
          <w:sz w:val="36"/>
          <w:szCs w:val="36"/>
          <w:highlight w:val="none"/>
          <w:lang w:eastAsia="zh-CN"/>
        </w:rPr>
      </w:pPr>
      <w:r>
        <w:rPr>
          <w:rFonts w:hint="eastAsia" w:ascii="宋体" w:hAnsi="宋体" w:eastAsia="宋体" w:cs="宋体"/>
          <w:b/>
          <w:bCs/>
          <w:color w:val="auto"/>
          <w:sz w:val="36"/>
          <w:szCs w:val="36"/>
          <w:highlight w:val="none"/>
        </w:rPr>
        <w:t>采购人：</w:t>
      </w:r>
      <w:r>
        <w:rPr>
          <w:rFonts w:hint="eastAsia" w:ascii="宋体" w:hAnsi="宋体" w:cs="宋体"/>
          <w:b/>
          <w:bCs/>
          <w:color w:val="auto"/>
          <w:sz w:val="36"/>
          <w:szCs w:val="36"/>
          <w:highlight w:val="none"/>
          <w:lang w:eastAsia="zh-CN"/>
        </w:rPr>
        <w:t>重庆市大足区财政局</w:t>
      </w:r>
    </w:p>
    <w:p w14:paraId="7D6B10EC">
      <w:pPr>
        <w:spacing w:line="700" w:lineRule="exact"/>
        <w:ind w:firstLine="1446" w:firstLineChars="400"/>
        <w:outlineLvl w:val="0"/>
        <w:rPr>
          <w:rFonts w:hint="eastAsia" w:ascii="宋体" w:hAnsi="宋体" w:eastAsia="宋体" w:cs="宋体"/>
          <w:b/>
          <w:bCs/>
          <w:color w:val="auto"/>
          <w:sz w:val="36"/>
          <w:szCs w:val="36"/>
          <w:highlight w:val="none"/>
          <w:lang w:eastAsia="zh-CN"/>
        </w:rPr>
      </w:pPr>
      <w:r>
        <w:rPr>
          <w:rFonts w:hint="eastAsia" w:ascii="宋体" w:hAnsi="宋体" w:eastAsia="宋体" w:cs="宋体"/>
          <w:b/>
          <w:bCs/>
          <w:color w:val="auto"/>
          <w:sz w:val="36"/>
          <w:szCs w:val="36"/>
          <w:highlight w:val="none"/>
        </w:rPr>
        <w:t>采购代理机构：</w:t>
      </w:r>
      <w:r>
        <w:rPr>
          <w:rFonts w:hint="eastAsia" w:ascii="宋体" w:hAnsi="宋体" w:cs="宋体"/>
          <w:b/>
          <w:bCs/>
          <w:color w:val="auto"/>
          <w:sz w:val="36"/>
          <w:szCs w:val="36"/>
          <w:highlight w:val="none"/>
          <w:lang w:eastAsia="zh-CN"/>
        </w:rPr>
        <w:t>重庆鸿兴招标代理有限公司</w:t>
      </w:r>
    </w:p>
    <w:p w14:paraId="7B6061B4">
      <w:pPr>
        <w:pStyle w:val="8"/>
        <w:rPr>
          <w:rFonts w:hint="eastAsia" w:ascii="宋体" w:hAnsi="宋体" w:eastAsia="宋体" w:cs="宋体"/>
          <w:color w:val="auto"/>
          <w:sz w:val="36"/>
          <w:szCs w:val="36"/>
          <w:highlight w:val="none"/>
        </w:rPr>
      </w:pPr>
    </w:p>
    <w:p w14:paraId="7149D245">
      <w:pPr>
        <w:spacing w:line="480" w:lineRule="exact"/>
        <w:jc w:val="center"/>
        <w:outlineLvl w:val="0"/>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rPr>
        <w:t>二〇二</w:t>
      </w:r>
      <w:r>
        <w:rPr>
          <w:rFonts w:hint="eastAsia" w:ascii="宋体" w:hAnsi="宋体" w:cs="宋体"/>
          <w:b/>
          <w:bCs/>
          <w:color w:val="auto"/>
          <w:sz w:val="36"/>
          <w:szCs w:val="36"/>
          <w:highlight w:val="none"/>
          <w:lang w:eastAsia="zh-CN"/>
        </w:rPr>
        <w:t>五</w:t>
      </w:r>
      <w:r>
        <w:rPr>
          <w:rFonts w:hint="eastAsia" w:ascii="宋体" w:hAnsi="宋体" w:eastAsia="宋体" w:cs="宋体"/>
          <w:b/>
          <w:bCs/>
          <w:color w:val="auto"/>
          <w:sz w:val="36"/>
          <w:szCs w:val="36"/>
          <w:highlight w:val="none"/>
        </w:rPr>
        <w:t>年</w:t>
      </w:r>
      <w:r>
        <w:rPr>
          <w:rFonts w:hint="eastAsia" w:ascii="宋体" w:hAnsi="宋体" w:cs="宋体"/>
          <w:b/>
          <w:bCs/>
          <w:color w:val="auto"/>
          <w:sz w:val="36"/>
          <w:szCs w:val="36"/>
          <w:highlight w:val="none"/>
          <w:lang w:val="en-US" w:eastAsia="zh-CN"/>
        </w:rPr>
        <w:t>六</w:t>
      </w:r>
      <w:r>
        <w:rPr>
          <w:rFonts w:hint="eastAsia" w:ascii="宋体" w:hAnsi="宋体" w:eastAsia="宋体" w:cs="宋体"/>
          <w:b/>
          <w:bCs/>
          <w:color w:val="auto"/>
          <w:sz w:val="36"/>
          <w:szCs w:val="36"/>
          <w:highlight w:val="none"/>
        </w:rPr>
        <w:t>月</w:t>
      </w:r>
    </w:p>
    <w:p w14:paraId="5ED27C0A">
      <w:pPr>
        <w:spacing w:line="480" w:lineRule="exact"/>
        <w:jc w:val="center"/>
        <w:outlineLvl w:val="0"/>
        <w:rPr>
          <w:rFonts w:hint="eastAsia" w:ascii="宋体" w:hAnsi="宋体" w:eastAsia="宋体" w:cs="宋体"/>
          <w:b/>
          <w:bCs/>
          <w:color w:val="auto"/>
          <w:sz w:val="44"/>
          <w:szCs w:val="44"/>
          <w:highlight w:val="none"/>
        </w:rPr>
      </w:pPr>
    </w:p>
    <w:p w14:paraId="29BBEBCF">
      <w:pPr>
        <w:spacing w:line="480" w:lineRule="exact"/>
        <w:jc w:val="center"/>
        <w:outlineLvl w:val="0"/>
        <w:rPr>
          <w:rFonts w:hint="eastAsia" w:ascii="宋体" w:hAnsi="宋体" w:eastAsia="宋体" w:cs="宋体"/>
          <w:b/>
          <w:bCs/>
          <w:color w:val="auto"/>
          <w:sz w:val="44"/>
          <w:szCs w:val="44"/>
          <w:highlight w:val="none"/>
        </w:rPr>
      </w:pPr>
    </w:p>
    <w:p w14:paraId="2BE25543">
      <w:pPr>
        <w:rPr>
          <w:rFonts w:hint="eastAsia" w:ascii="宋体" w:hAnsi="宋体" w:eastAsia="宋体" w:cs="宋体"/>
          <w:color w:val="auto"/>
          <w:sz w:val="44"/>
          <w:szCs w:val="28"/>
          <w:highlight w:val="none"/>
        </w:rPr>
      </w:pPr>
      <w:r>
        <w:rPr>
          <w:rFonts w:hint="eastAsia" w:ascii="宋体" w:hAnsi="宋体" w:eastAsia="宋体" w:cs="宋体"/>
          <w:color w:val="auto"/>
          <w:sz w:val="44"/>
          <w:szCs w:val="28"/>
          <w:highlight w:val="none"/>
        </w:rPr>
        <w:br w:type="page"/>
      </w:r>
    </w:p>
    <w:p w14:paraId="73148248">
      <w:pPr>
        <w:spacing w:line="480" w:lineRule="exact"/>
        <w:jc w:val="center"/>
        <w:outlineLvl w:val="0"/>
        <w:rPr>
          <w:rFonts w:hint="eastAsia" w:ascii="宋体" w:hAnsi="宋体" w:eastAsia="宋体" w:cs="宋体"/>
          <w:color w:val="auto"/>
          <w:sz w:val="44"/>
          <w:szCs w:val="28"/>
          <w:highlight w:val="none"/>
        </w:rPr>
      </w:pPr>
      <w:r>
        <w:rPr>
          <w:rFonts w:hint="eastAsia" w:ascii="宋体" w:hAnsi="宋体" w:eastAsia="宋体" w:cs="宋体"/>
          <w:color w:val="auto"/>
          <w:sz w:val="44"/>
          <w:szCs w:val="28"/>
          <w:highlight w:val="none"/>
        </w:rPr>
        <w:t>目   录</w:t>
      </w:r>
    </w:p>
    <w:p w14:paraId="6D277927">
      <w:pPr>
        <w:pStyle w:val="18"/>
        <w:tabs>
          <w:tab w:val="right" w:leader="dot" w:pos="9412"/>
        </w:tabs>
        <w:spacing w:line="480" w:lineRule="auto"/>
        <w:rPr>
          <w:color w:val="auto"/>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TOC \o "1-3" \h \z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_Toc17317 </w:instrText>
      </w:r>
      <w:r>
        <w:rPr>
          <w:rFonts w:hint="eastAsia" w:ascii="宋体" w:hAnsi="宋体" w:eastAsia="宋体" w:cs="宋体"/>
          <w:color w:val="auto"/>
          <w:szCs w:val="24"/>
          <w:highlight w:val="none"/>
        </w:rPr>
        <w:fldChar w:fldCharType="separate"/>
      </w:r>
      <w:r>
        <w:rPr>
          <w:rFonts w:hint="eastAsia" w:ascii="宋体" w:hAnsi="宋体" w:eastAsia="宋体" w:cs="宋体"/>
          <w:color w:val="auto"/>
          <w:szCs w:val="30"/>
          <w:highlight w:val="none"/>
        </w:rPr>
        <w:t xml:space="preserve">第一篇  </w:t>
      </w:r>
      <w:r>
        <w:rPr>
          <w:rFonts w:hint="eastAsia" w:ascii="宋体" w:hAnsi="宋体" w:cs="宋体"/>
          <w:color w:val="auto"/>
          <w:szCs w:val="30"/>
          <w:highlight w:val="none"/>
          <w:lang w:eastAsia="zh-CN"/>
        </w:rPr>
        <w:t>采购</w:t>
      </w:r>
      <w:r>
        <w:rPr>
          <w:rFonts w:hint="eastAsia" w:ascii="宋体" w:hAnsi="宋体" w:eastAsia="宋体" w:cs="宋体"/>
          <w:color w:val="auto"/>
          <w:szCs w:val="30"/>
          <w:highlight w:val="none"/>
        </w:rPr>
        <w:t>邀请书</w:t>
      </w:r>
      <w:r>
        <w:rPr>
          <w:color w:val="auto"/>
          <w:highlight w:val="none"/>
        </w:rPr>
        <w:tab/>
      </w:r>
      <w:r>
        <w:rPr>
          <w:color w:val="auto"/>
          <w:highlight w:val="none"/>
        </w:rPr>
        <w:fldChar w:fldCharType="begin"/>
      </w:r>
      <w:r>
        <w:rPr>
          <w:color w:val="auto"/>
          <w:highlight w:val="none"/>
        </w:rPr>
        <w:instrText xml:space="preserve"> PAGEREF _Toc17317 \h </w:instrText>
      </w:r>
      <w:r>
        <w:rPr>
          <w:color w:val="auto"/>
          <w:highlight w:val="none"/>
        </w:rPr>
        <w:fldChar w:fldCharType="separate"/>
      </w:r>
      <w:r>
        <w:rPr>
          <w:color w:val="auto"/>
          <w:highlight w:val="none"/>
        </w:rPr>
        <w:t>- 3 -</w:t>
      </w:r>
      <w:r>
        <w:rPr>
          <w:color w:val="auto"/>
          <w:highlight w:val="none"/>
        </w:rPr>
        <w:fldChar w:fldCharType="end"/>
      </w:r>
      <w:r>
        <w:rPr>
          <w:rFonts w:hint="eastAsia" w:ascii="宋体" w:hAnsi="宋体" w:eastAsia="宋体" w:cs="宋体"/>
          <w:color w:val="auto"/>
          <w:szCs w:val="24"/>
          <w:highlight w:val="none"/>
        </w:rPr>
        <w:fldChar w:fldCharType="end"/>
      </w:r>
    </w:p>
    <w:p w14:paraId="081EE494">
      <w:pPr>
        <w:pStyle w:val="18"/>
        <w:tabs>
          <w:tab w:val="right" w:leader="dot" w:pos="9412"/>
        </w:tabs>
        <w:spacing w:line="480" w:lineRule="auto"/>
        <w:rPr>
          <w:rFonts w:hint="eastAsia" w:eastAsia="宋体"/>
          <w:color w:val="auto"/>
          <w:highlight w:val="none"/>
          <w:lang w:val="en-US" w:eastAsia="zh-CN"/>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_Toc23299 </w:instrText>
      </w:r>
      <w:r>
        <w:rPr>
          <w:rFonts w:hint="eastAsia" w:ascii="宋体" w:hAnsi="宋体" w:eastAsia="宋体" w:cs="宋体"/>
          <w:color w:val="auto"/>
          <w:szCs w:val="24"/>
          <w:highlight w:val="none"/>
        </w:rPr>
        <w:fldChar w:fldCharType="separate"/>
      </w:r>
      <w:r>
        <w:rPr>
          <w:rFonts w:hint="eastAsia" w:ascii="宋体" w:hAnsi="宋体" w:eastAsia="宋体" w:cs="宋体"/>
          <w:color w:val="auto"/>
          <w:szCs w:val="30"/>
          <w:highlight w:val="none"/>
        </w:rPr>
        <w:t xml:space="preserve">第二篇  </w:t>
      </w:r>
      <w:r>
        <w:rPr>
          <w:rFonts w:hint="eastAsia" w:ascii="宋体" w:hAnsi="宋体" w:cs="宋体"/>
          <w:color w:val="auto"/>
          <w:szCs w:val="30"/>
          <w:highlight w:val="none"/>
          <w:lang w:eastAsia="zh-CN"/>
        </w:rPr>
        <w:t>项目服务需求</w:t>
      </w:r>
      <w:r>
        <w:rPr>
          <w:color w:val="auto"/>
          <w:highlight w:val="none"/>
        </w:rPr>
        <w:tab/>
      </w:r>
      <w:r>
        <w:rPr>
          <w:rFonts w:hint="eastAsia"/>
          <w:color w:val="auto"/>
          <w:highlight w:val="none"/>
          <w:lang w:val="en-US" w:eastAsia="zh-CN"/>
        </w:rPr>
        <w:t>-</w:t>
      </w:r>
      <w:r>
        <w:rPr>
          <w:color w:val="auto"/>
          <w:highlight w:val="none"/>
        </w:rPr>
        <w:fldChar w:fldCharType="begin"/>
      </w:r>
      <w:r>
        <w:rPr>
          <w:color w:val="auto"/>
          <w:highlight w:val="none"/>
        </w:rPr>
        <w:instrText xml:space="preserve"> PAGEREF _Toc23299 \h </w:instrText>
      </w:r>
      <w:r>
        <w:rPr>
          <w:color w:val="auto"/>
          <w:highlight w:val="none"/>
        </w:rPr>
        <w:fldChar w:fldCharType="separate"/>
      </w:r>
      <w:r>
        <w:rPr>
          <w:color w:val="auto"/>
          <w:highlight w:val="none"/>
        </w:rPr>
        <w:t>6</w:t>
      </w:r>
      <w:r>
        <w:rPr>
          <w:color w:val="auto"/>
          <w:highlight w:val="none"/>
        </w:rPr>
        <w:fldChar w:fldCharType="end"/>
      </w:r>
      <w:r>
        <w:rPr>
          <w:rFonts w:hint="eastAsia" w:ascii="宋体" w:hAnsi="宋体" w:eastAsia="宋体" w:cs="宋体"/>
          <w:color w:val="auto"/>
          <w:szCs w:val="24"/>
          <w:highlight w:val="none"/>
        </w:rPr>
        <w:fldChar w:fldCharType="end"/>
      </w:r>
      <w:r>
        <w:rPr>
          <w:rFonts w:hint="eastAsia" w:ascii="宋体" w:hAnsi="宋体" w:cs="宋体"/>
          <w:color w:val="auto"/>
          <w:szCs w:val="24"/>
          <w:highlight w:val="none"/>
          <w:lang w:val="en-US" w:eastAsia="zh-CN"/>
        </w:rPr>
        <w:t>-</w:t>
      </w:r>
    </w:p>
    <w:p w14:paraId="54DB6B59">
      <w:pPr>
        <w:pStyle w:val="18"/>
        <w:tabs>
          <w:tab w:val="right" w:leader="dot" w:pos="9412"/>
        </w:tabs>
        <w:spacing w:line="480" w:lineRule="auto"/>
        <w:rPr>
          <w:rFonts w:hint="eastAsia" w:eastAsia="宋体"/>
          <w:color w:val="auto"/>
          <w:highlight w:val="none"/>
          <w:lang w:val="en-US" w:eastAsia="zh-CN"/>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_Toc6175 </w:instrText>
      </w:r>
      <w:r>
        <w:rPr>
          <w:rFonts w:hint="eastAsia" w:ascii="宋体" w:hAnsi="宋体" w:eastAsia="宋体" w:cs="宋体"/>
          <w:color w:val="auto"/>
          <w:szCs w:val="24"/>
          <w:highlight w:val="none"/>
        </w:rPr>
        <w:fldChar w:fldCharType="separate"/>
      </w:r>
      <w:r>
        <w:rPr>
          <w:rFonts w:hint="eastAsia" w:ascii="宋体" w:hAnsi="宋体" w:eastAsia="宋体" w:cs="宋体"/>
          <w:color w:val="auto"/>
          <w:szCs w:val="30"/>
          <w:highlight w:val="none"/>
        </w:rPr>
        <w:t>第三篇  项目商务需求</w:t>
      </w:r>
      <w:r>
        <w:rPr>
          <w:color w:val="auto"/>
          <w:highlight w:val="none"/>
        </w:rPr>
        <w:tab/>
      </w:r>
      <w:r>
        <w:rPr>
          <w:rFonts w:hint="eastAsia"/>
          <w:color w:val="auto"/>
          <w:highlight w:val="none"/>
          <w:lang w:val="en-US" w:eastAsia="zh-CN"/>
        </w:rPr>
        <w:t>-</w:t>
      </w:r>
      <w:r>
        <w:rPr>
          <w:color w:val="auto"/>
          <w:highlight w:val="none"/>
        </w:rPr>
        <w:fldChar w:fldCharType="begin"/>
      </w:r>
      <w:r>
        <w:rPr>
          <w:color w:val="auto"/>
          <w:highlight w:val="none"/>
        </w:rPr>
        <w:instrText xml:space="preserve"> PAGEREF _Toc6175 \h </w:instrText>
      </w:r>
      <w:r>
        <w:rPr>
          <w:color w:val="auto"/>
          <w:highlight w:val="none"/>
        </w:rPr>
        <w:fldChar w:fldCharType="separate"/>
      </w:r>
      <w:r>
        <w:rPr>
          <w:color w:val="auto"/>
          <w:highlight w:val="none"/>
        </w:rPr>
        <w:t>6</w:t>
      </w:r>
      <w:r>
        <w:rPr>
          <w:color w:val="auto"/>
          <w:highlight w:val="none"/>
        </w:rPr>
        <w:fldChar w:fldCharType="end"/>
      </w:r>
      <w:r>
        <w:rPr>
          <w:rFonts w:hint="eastAsia" w:ascii="宋体" w:hAnsi="宋体" w:eastAsia="宋体" w:cs="宋体"/>
          <w:color w:val="auto"/>
          <w:szCs w:val="24"/>
          <w:highlight w:val="none"/>
        </w:rPr>
        <w:fldChar w:fldCharType="end"/>
      </w:r>
      <w:r>
        <w:rPr>
          <w:rFonts w:hint="eastAsia" w:ascii="宋体" w:hAnsi="宋体" w:cs="宋体"/>
          <w:color w:val="auto"/>
          <w:szCs w:val="24"/>
          <w:highlight w:val="none"/>
          <w:lang w:val="en-US" w:eastAsia="zh-CN"/>
        </w:rPr>
        <w:t>-</w:t>
      </w:r>
    </w:p>
    <w:p w14:paraId="3B0FF3D1">
      <w:pPr>
        <w:pStyle w:val="18"/>
        <w:tabs>
          <w:tab w:val="right" w:leader="dot" w:pos="9412"/>
        </w:tabs>
        <w:spacing w:line="480" w:lineRule="auto"/>
        <w:rPr>
          <w:rFonts w:hint="eastAsia" w:ascii="宋体" w:hAnsi="宋体" w:eastAsia="宋体" w:cs="宋体"/>
          <w:color w:val="auto"/>
          <w:szCs w:val="24"/>
          <w:highlight w:val="none"/>
          <w:lang w:val="en-US" w:eastAsia="zh-CN"/>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_Toc12201 </w:instrText>
      </w:r>
      <w:r>
        <w:rPr>
          <w:rFonts w:hint="eastAsia" w:ascii="宋体" w:hAnsi="宋体" w:eastAsia="宋体" w:cs="宋体"/>
          <w:color w:val="auto"/>
          <w:szCs w:val="24"/>
          <w:highlight w:val="none"/>
        </w:rPr>
        <w:fldChar w:fldCharType="separate"/>
      </w:r>
      <w:r>
        <w:rPr>
          <w:rFonts w:hint="eastAsia" w:ascii="宋体" w:hAnsi="宋体" w:eastAsia="宋体"/>
          <w:color w:val="auto"/>
          <w:szCs w:val="30"/>
          <w:highlight w:val="none"/>
        </w:rPr>
        <w:t>第四篇  开标程序及方法、评审标准、无效响应和</w:t>
      </w:r>
      <w:r>
        <w:rPr>
          <w:rFonts w:hint="eastAsia" w:ascii="宋体" w:hAnsi="宋体" w:eastAsia="宋体"/>
          <w:color w:val="auto"/>
          <w:szCs w:val="36"/>
          <w:highlight w:val="none"/>
        </w:rPr>
        <w:t>采购终止</w:t>
      </w:r>
      <w:r>
        <w:rPr>
          <w:color w:val="auto"/>
          <w:highlight w:val="none"/>
        </w:rPr>
        <w:tab/>
      </w:r>
      <w:r>
        <w:rPr>
          <w:rFonts w:hint="eastAsia"/>
          <w:color w:val="auto"/>
          <w:highlight w:val="none"/>
          <w:lang w:val="en-US" w:eastAsia="zh-CN"/>
        </w:rPr>
        <w:t>-</w:t>
      </w:r>
      <w:r>
        <w:rPr>
          <w:color w:val="auto"/>
          <w:highlight w:val="none"/>
        </w:rPr>
        <w:fldChar w:fldCharType="begin"/>
      </w:r>
      <w:r>
        <w:rPr>
          <w:color w:val="auto"/>
          <w:highlight w:val="none"/>
        </w:rPr>
        <w:instrText xml:space="preserve"> PAGEREF _Toc12201 \h </w:instrText>
      </w:r>
      <w:r>
        <w:rPr>
          <w:color w:val="auto"/>
          <w:highlight w:val="none"/>
        </w:rPr>
        <w:fldChar w:fldCharType="separate"/>
      </w:r>
      <w:r>
        <w:rPr>
          <w:color w:val="auto"/>
          <w:highlight w:val="none"/>
        </w:rPr>
        <w:t>9</w:t>
      </w:r>
      <w:r>
        <w:rPr>
          <w:color w:val="auto"/>
          <w:highlight w:val="none"/>
        </w:rPr>
        <w:fldChar w:fldCharType="end"/>
      </w:r>
      <w:r>
        <w:rPr>
          <w:rFonts w:hint="eastAsia" w:ascii="宋体" w:hAnsi="宋体" w:eastAsia="宋体" w:cs="宋体"/>
          <w:color w:val="auto"/>
          <w:szCs w:val="24"/>
          <w:highlight w:val="none"/>
        </w:rPr>
        <w:fldChar w:fldCharType="end"/>
      </w:r>
      <w:r>
        <w:rPr>
          <w:rFonts w:hint="eastAsia" w:ascii="宋体" w:hAnsi="宋体" w:cs="宋体"/>
          <w:color w:val="auto"/>
          <w:szCs w:val="24"/>
          <w:highlight w:val="none"/>
          <w:lang w:val="en-US" w:eastAsia="zh-CN"/>
        </w:rPr>
        <w:t>-</w:t>
      </w:r>
    </w:p>
    <w:p w14:paraId="51BBADC3">
      <w:pPr>
        <w:pStyle w:val="10"/>
        <w:tabs>
          <w:tab w:val="right" w:leader="dot" w:pos="9412"/>
        </w:tabs>
        <w:spacing w:line="480" w:lineRule="auto"/>
        <w:ind w:left="0" w:leftChars="0" w:firstLine="560" w:firstLineChars="200"/>
        <w:rPr>
          <w:color w:val="auto"/>
          <w:highlight w:val="none"/>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_Toc17949 </w:instrText>
      </w:r>
      <w:r>
        <w:rPr>
          <w:rFonts w:hint="eastAsia" w:ascii="宋体" w:hAnsi="宋体" w:eastAsia="宋体" w:cs="宋体"/>
          <w:color w:val="auto"/>
          <w:szCs w:val="24"/>
          <w:highlight w:val="none"/>
        </w:rPr>
        <w:fldChar w:fldCharType="separate"/>
      </w:r>
      <w:r>
        <w:rPr>
          <w:rFonts w:hint="eastAsia" w:ascii="宋体" w:hAnsi="宋体" w:eastAsia="宋体" w:cs="宋体"/>
          <w:color w:val="auto"/>
          <w:szCs w:val="30"/>
          <w:highlight w:val="none"/>
        </w:rPr>
        <w:t>第</w:t>
      </w:r>
      <w:r>
        <w:rPr>
          <w:rFonts w:hint="eastAsia" w:ascii="宋体" w:hAnsi="宋体" w:eastAsia="宋体" w:cs="宋体"/>
          <w:color w:val="auto"/>
          <w:szCs w:val="30"/>
          <w:highlight w:val="none"/>
          <w:lang w:eastAsia="zh-CN"/>
        </w:rPr>
        <w:t>五</w:t>
      </w:r>
      <w:r>
        <w:rPr>
          <w:rFonts w:hint="eastAsia" w:ascii="宋体" w:hAnsi="宋体" w:eastAsia="宋体" w:cs="宋体"/>
          <w:color w:val="auto"/>
          <w:szCs w:val="30"/>
          <w:highlight w:val="none"/>
        </w:rPr>
        <w:t xml:space="preserve">篇  </w:t>
      </w:r>
      <w:r>
        <w:rPr>
          <w:rFonts w:hint="eastAsia" w:ascii="宋体" w:hAnsi="宋体" w:eastAsia="宋体" w:cs="宋体"/>
          <w:color w:val="auto"/>
          <w:szCs w:val="30"/>
          <w:highlight w:val="none"/>
          <w:lang w:eastAsia="zh-CN"/>
        </w:rPr>
        <w:t>供应商须知</w:t>
      </w:r>
      <w:r>
        <w:rPr>
          <w:color w:val="auto"/>
          <w:highlight w:val="none"/>
        </w:rPr>
        <w:tab/>
      </w:r>
      <w:r>
        <w:rPr>
          <w:color w:val="auto"/>
          <w:highlight w:val="none"/>
        </w:rPr>
        <w:fldChar w:fldCharType="begin"/>
      </w:r>
      <w:r>
        <w:rPr>
          <w:color w:val="auto"/>
          <w:highlight w:val="none"/>
        </w:rPr>
        <w:instrText xml:space="preserve"> PAGEREF _Toc17949 \h </w:instrText>
      </w:r>
      <w:r>
        <w:rPr>
          <w:color w:val="auto"/>
          <w:highlight w:val="none"/>
        </w:rPr>
        <w:fldChar w:fldCharType="separate"/>
      </w:r>
      <w:r>
        <w:rPr>
          <w:color w:val="auto"/>
          <w:highlight w:val="none"/>
        </w:rPr>
        <w:t>- 17 -</w:t>
      </w:r>
      <w:r>
        <w:rPr>
          <w:color w:val="auto"/>
          <w:highlight w:val="none"/>
        </w:rPr>
        <w:fldChar w:fldCharType="end"/>
      </w:r>
      <w:r>
        <w:rPr>
          <w:rFonts w:hint="eastAsia" w:ascii="宋体" w:hAnsi="宋体" w:eastAsia="宋体" w:cs="宋体"/>
          <w:color w:val="auto"/>
          <w:szCs w:val="24"/>
          <w:highlight w:val="none"/>
        </w:rPr>
        <w:fldChar w:fldCharType="end"/>
      </w:r>
    </w:p>
    <w:p w14:paraId="77B6B8DD">
      <w:pPr>
        <w:pStyle w:val="18"/>
        <w:tabs>
          <w:tab w:val="right" w:leader="dot" w:pos="9412"/>
        </w:tabs>
        <w:spacing w:line="480" w:lineRule="auto"/>
        <w:rPr>
          <w:color w:val="auto"/>
          <w:highlight w:val="none"/>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_Toc17949 </w:instrText>
      </w:r>
      <w:r>
        <w:rPr>
          <w:rFonts w:hint="eastAsia" w:ascii="宋体" w:hAnsi="宋体" w:eastAsia="宋体" w:cs="宋体"/>
          <w:color w:val="auto"/>
          <w:szCs w:val="24"/>
          <w:highlight w:val="none"/>
        </w:rPr>
        <w:fldChar w:fldCharType="separate"/>
      </w:r>
      <w:r>
        <w:rPr>
          <w:rFonts w:hint="eastAsia" w:ascii="宋体" w:hAnsi="宋体" w:eastAsia="宋体" w:cs="宋体"/>
          <w:color w:val="auto"/>
          <w:szCs w:val="30"/>
          <w:highlight w:val="none"/>
        </w:rPr>
        <w:t>第</w:t>
      </w:r>
      <w:r>
        <w:rPr>
          <w:rFonts w:hint="eastAsia" w:ascii="宋体" w:hAnsi="宋体" w:eastAsia="宋体" w:cs="宋体"/>
          <w:color w:val="auto"/>
          <w:szCs w:val="30"/>
          <w:highlight w:val="none"/>
          <w:lang w:eastAsia="zh-CN"/>
        </w:rPr>
        <w:t>六</w:t>
      </w:r>
      <w:r>
        <w:rPr>
          <w:rFonts w:hint="eastAsia" w:ascii="宋体" w:hAnsi="宋体" w:eastAsia="宋体" w:cs="宋体"/>
          <w:color w:val="auto"/>
          <w:szCs w:val="30"/>
          <w:highlight w:val="none"/>
        </w:rPr>
        <w:t>篇  合同草案条款</w:t>
      </w:r>
      <w:r>
        <w:rPr>
          <w:color w:val="auto"/>
          <w:highlight w:val="none"/>
        </w:rPr>
        <w:tab/>
      </w:r>
      <w:r>
        <w:rPr>
          <w:color w:val="auto"/>
          <w:highlight w:val="none"/>
        </w:rPr>
        <w:fldChar w:fldCharType="begin"/>
      </w:r>
      <w:r>
        <w:rPr>
          <w:color w:val="auto"/>
          <w:highlight w:val="none"/>
        </w:rPr>
        <w:instrText xml:space="preserve"> PAGEREF _Toc17949 \h </w:instrText>
      </w:r>
      <w:r>
        <w:rPr>
          <w:color w:val="auto"/>
          <w:highlight w:val="none"/>
        </w:rPr>
        <w:fldChar w:fldCharType="separate"/>
      </w:r>
      <w:r>
        <w:rPr>
          <w:color w:val="auto"/>
          <w:highlight w:val="none"/>
        </w:rPr>
        <w:t>- 17 -</w:t>
      </w:r>
      <w:r>
        <w:rPr>
          <w:color w:val="auto"/>
          <w:highlight w:val="none"/>
        </w:rPr>
        <w:fldChar w:fldCharType="end"/>
      </w:r>
      <w:r>
        <w:rPr>
          <w:rFonts w:hint="eastAsia" w:ascii="宋体" w:hAnsi="宋体" w:eastAsia="宋体" w:cs="宋体"/>
          <w:color w:val="auto"/>
          <w:szCs w:val="24"/>
          <w:highlight w:val="none"/>
        </w:rPr>
        <w:fldChar w:fldCharType="end"/>
      </w:r>
    </w:p>
    <w:p w14:paraId="26915014">
      <w:pPr>
        <w:pStyle w:val="18"/>
        <w:tabs>
          <w:tab w:val="right" w:leader="dot" w:pos="9412"/>
        </w:tabs>
        <w:spacing w:line="480" w:lineRule="auto"/>
        <w:rPr>
          <w:color w:val="auto"/>
          <w:highlight w:val="none"/>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_Toc24744 </w:instrText>
      </w:r>
      <w:r>
        <w:rPr>
          <w:rFonts w:hint="eastAsia" w:ascii="宋体" w:hAnsi="宋体" w:eastAsia="宋体" w:cs="宋体"/>
          <w:color w:val="auto"/>
          <w:szCs w:val="24"/>
          <w:highlight w:val="none"/>
        </w:rPr>
        <w:fldChar w:fldCharType="separate"/>
      </w:r>
      <w:r>
        <w:rPr>
          <w:rFonts w:hint="eastAsia" w:ascii="宋体" w:hAnsi="宋体" w:eastAsia="宋体" w:cs="宋体"/>
          <w:color w:val="auto"/>
          <w:szCs w:val="30"/>
          <w:highlight w:val="none"/>
        </w:rPr>
        <w:t>第</w:t>
      </w:r>
      <w:r>
        <w:rPr>
          <w:rFonts w:hint="eastAsia" w:ascii="宋体" w:hAnsi="宋体" w:eastAsia="宋体" w:cs="宋体"/>
          <w:color w:val="auto"/>
          <w:szCs w:val="30"/>
          <w:highlight w:val="none"/>
          <w:lang w:eastAsia="zh-CN"/>
        </w:rPr>
        <w:t>七</w:t>
      </w:r>
      <w:r>
        <w:rPr>
          <w:rFonts w:hint="eastAsia" w:ascii="宋体" w:hAnsi="宋体" w:eastAsia="宋体" w:cs="宋体"/>
          <w:color w:val="auto"/>
          <w:szCs w:val="30"/>
          <w:highlight w:val="none"/>
        </w:rPr>
        <w:t>篇  响应文件格式要求</w:t>
      </w:r>
      <w:r>
        <w:rPr>
          <w:color w:val="auto"/>
          <w:highlight w:val="none"/>
        </w:rPr>
        <w:tab/>
      </w:r>
      <w:r>
        <w:rPr>
          <w:color w:val="auto"/>
          <w:highlight w:val="none"/>
        </w:rPr>
        <w:fldChar w:fldCharType="begin"/>
      </w:r>
      <w:r>
        <w:rPr>
          <w:color w:val="auto"/>
          <w:highlight w:val="none"/>
        </w:rPr>
        <w:instrText xml:space="preserve"> PAGEREF _Toc24744 \h </w:instrText>
      </w:r>
      <w:r>
        <w:rPr>
          <w:color w:val="auto"/>
          <w:highlight w:val="none"/>
        </w:rPr>
        <w:fldChar w:fldCharType="separate"/>
      </w:r>
      <w:r>
        <w:rPr>
          <w:color w:val="auto"/>
          <w:highlight w:val="none"/>
        </w:rPr>
        <w:t>- 18 -</w:t>
      </w:r>
      <w:r>
        <w:rPr>
          <w:color w:val="auto"/>
          <w:highlight w:val="none"/>
        </w:rPr>
        <w:fldChar w:fldCharType="end"/>
      </w:r>
      <w:r>
        <w:rPr>
          <w:rFonts w:hint="eastAsia" w:ascii="宋体" w:hAnsi="宋体" w:eastAsia="宋体" w:cs="宋体"/>
          <w:color w:val="auto"/>
          <w:szCs w:val="24"/>
          <w:highlight w:val="none"/>
        </w:rPr>
        <w:fldChar w:fldCharType="end"/>
      </w:r>
    </w:p>
    <w:p w14:paraId="3407068D">
      <w:pPr>
        <w:pStyle w:val="17"/>
        <w:tabs>
          <w:tab w:val="right" w:leader="dot" w:pos="9412"/>
        </w:tabs>
        <w:rPr>
          <w:color w:val="auto"/>
          <w:highlight w:val="none"/>
        </w:rPr>
      </w:pPr>
    </w:p>
    <w:p w14:paraId="6382ED34">
      <w:pPr>
        <w:pStyle w:val="18"/>
        <w:tabs>
          <w:tab w:val="right" w:leader="dot" w:pos="9402"/>
        </w:tabs>
        <w:spacing w:line="240" w:lineRule="auto"/>
        <w:ind w:left="0" w:leftChars="0"/>
        <w:rPr>
          <w:rFonts w:hint="eastAsia" w:ascii="宋体" w:hAnsi="宋体" w:eastAsia="宋体" w:cs="宋体"/>
          <w:color w:val="auto"/>
          <w:sz w:val="24"/>
          <w:szCs w:val="24"/>
          <w:highlight w:val="none"/>
        </w:rPr>
        <w:sectPr>
          <w:headerReference r:id="rId3" w:type="default"/>
          <w:footerReference r:id="rId4" w:type="default"/>
          <w:pgSz w:w="11907" w:h="16840"/>
          <w:pgMar w:top="1134" w:right="1191" w:bottom="1134" w:left="1304" w:header="851" w:footer="992" w:gutter="0"/>
          <w:pgBorders>
            <w:top w:val="none" w:sz="0" w:space="0"/>
            <w:left w:val="none" w:sz="0" w:space="0"/>
            <w:bottom w:val="none" w:sz="0" w:space="0"/>
            <w:right w:val="none" w:sz="0" w:space="0"/>
          </w:pgBorders>
          <w:pgNumType w:fmt="numberInDash" w:start="1"/>
          <w:cols w:space="720" w:num="1"/>
          <w:docGrid w:linePitch="381" w:charSpace="-5735"/>
        </w:sectPr>
      </w:pPr>
      <w:r>
        <w:rPr>
          <w:rFonts w:hint="eastAsia" w:ascii="宋体" w:hAnsi="宋体" w:eastAsia="宋体" w:cs="宋体"/>
          <w:color w:val="auto"/>
          <w:szCs w:val="24"/>
          <w:highlight w:val="none"/>
        </w:rPr>
        <w:fldChar w:fldCharType="end"/>
      </w:r>
    </w:p>
    <w:p w14:paraId="32ABB6A2">
      <w:pPr>
        <w:pStyle w:val="4"/>
        <w:spacing w:before="0" w:after="0" w:line="360" w:lineRule="auto"/>
        <w:jc w:val="center"/>
        <w:rPr>
          <w:rFonts w:hint="eastAsia" w:ascii="宋体" w:hAnsi="宋体" w:eastAsia="宋体" w:cs="宋体"/>
          <w:b w:val="0"/>
          <w:color w:val="auto"/>
          <w:sz w:val="36"/>
          <w:szCs w:val="30"/>
          <w:highlight w:val="none"/>
        </w:rPr>
      </w:pPr>
      <w:bookmarkStart w:id="0" w:name="_Toc12789052"/>
      <w:bookmarkStart w:id="1" w:name="_Toc17317"/>
      <w:bookmarkStart w:id="2" w:name="_Toc11641050"/>
      <w:r>
        <w:rPr>
          <w:rFonts w:hint="eastAsia" w:ascii="宋体" w:hAnsi="宋体" w:eastAsia="宋体" w:cs="宋体"/>
          <w:b/>
          <w:bCs/>
          <w:color w:val="auto"/>
          <w:sz w:val="36"/>
          <w:szCs w:val="30"/>
          <w:highlight w:val="none"/>
        </w:rPr>
        <w:t xml:space="preserve">第一篇  </w:t>
      </w:r>
      <w:r>
        <w:rPr>
          <w:rFonts w:hint="eastAsia" w:ascii="宋体" w:hAnsi="宋体" w:eastAsia="宋体" w:cs="宋体"/>
          <w:b/>
          <w:bCs/>
          <w:color w:val="auto"/>
          <w:sz w:val="36"/>
          <w:szCs w:val="30"/>
          <w:highlight w:val="none"/>
          <w:lang w:eastAsia="zh-CN"/>
        </w:rPr>
        <w:t>采购</w:t>
      </w:r>
      <w:r>
        <w:rPr>
          <w:rFonts w:hint="eastAsia" w:ascii="宋体" w:hAnsi="宋体" w:eastAsia="宋体" w:cs="宋体"/>
          <w:b/>
          <w:bCs/>
          <w:color w:val="auto"/>
          <w:sz w:val="36"/>
          <w:szCs w:val="30"/>
          <w:highlight w:val="none"/>
        </w:rPr>
        <w:t>邀请书</w:t>
      </w:r>
      <w:bookmarkEnd w:id="0"/>
      <w:bookmarkEnd w:id="1"/>
      <w:bookmarkEnd w:id="2"/>
    </w:p>
    <w:p w14:paraId="3547E15A">
      <w:pPr>
        <w:pStyle w:val="13"/>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u w:val="single"/>
          <w:lang w:val="en-US" w:eastAsia="zh-CN"/>
        </w:rPr>
        <w:t>重庆鸿兴招标代理有限公司</w:t>
      </w:r>
      <w:r>
        <w:rPr>
          <w:rFonts w:hint="eastAsia" w:ascii="宋体" w:hAnsi="宋体" w:eastAsia="宋体" w:cs="宋体"/>
          <w:color w:val="auto"/>
          <w:sz w:val="24"/>
          <w:szCs w:val="24"/>
          <w:highlight w:val="none"/>
        </w:rPr>
        <w:t>（以下简称：采购代理机构）接受</w:t>
      </w:r>
      <w:r>
        <w:rPr>
          <w:rFonts w:hint="eastAsia" w:ascii="宋体" w:hAnsi="宋体" w:cs="宋体"/>
          <w:color w:val="auto"/>
          <w:sz w:val="24"/>
          <w:szCs w:val="24"/>
          <w:highlight w:val="none"/>
          <w:u w:val="single"/>
          <w:lang w:val="en-US" w:eastAsia="zh-CN"/>
        </w:rPr>
        <w:t>重庆市大足区财政局</w:t>
      </w:r>
      <w:r>
        <w:rPr>
          <w:rFonts w:hint="eastAsia" w:ascii="宋体" w:hAnsi="宋体" w:eastAsia="宋体" w:cs="宋体"/>
          <w:color w:val="auto"/>
          <w:sz w:val="24"/>
          <w:szCs w:val="24"/>
          <w:highlight w:val="none"/>
        </w:rPr>
        <w:t>（以下简称：采购人）的委托，对</w:t>
      </w:r>
      <w:r>
        <w:rPr>
          <w:rFonts w:hint="eastAsia" w:ascii="宋体" w:hAnsi="宋体" w:cs="宋体"/>
          <w:color w:val="auto"/>
          <w:sz w:val="24"/>
          <w:szCs w:val="24"/>
          <w:highlight w:val="none"/>
          <w:u w:val="single"/>
          <w:lang w:eastAsia="zh-CN"/>
        </w:rPr>
        <w:t>重庆市大足区财政局购买食堂劳务服务</w:t>
      </w:r>
      <w:r>
        <w:rPr>
          <w:rFonts w:hint="eastAsia" w:ascii="宋体" w:hAnsi="宋体" w:eastAsia="宋体" w:cs="宋体"/>
          <w:color w:val="auto"/>
          <w:sz w:val="24"/>
          <w:szCs w:val="24"/>
          <w:highlight w:val="none"/>
        </w:rPr>
        <w:t>进行</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采购。欢迎有资格的供应商前来参加</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w:t>
      </w:r>
    </w:p>
    <w:p w14:paraId="783081B4">
      <w:pPr>
        <w:pStyle w:val="2"/>
        <w:numPr>
          <w:ilvl w:val="0"/>
          <w:numId w:val="1"/>
        </w:numPr>
        <w:adjustRightInd w:val="0"/>
        <w:snapToGrid w:val="0"/>
        <w:spacing w:before="0" w:after="0" w:line="400" w:lineRule="exact"/>
        <w:ind w:firstLine="482" w:firstLineChars="200"/>
        <w:rPr>
          <w:rFonts w:hint="eastAsia" w:ascii="宋体" w:hAnsi="宋体" w:eastAsia="宋体" w:cs="宋体"/>
          <w:color w:val="auto"/>
          <w:sz w:val="24"/>
          <w:szCs w:val="24"/>
          <w:highlight w:val="none"/>
        </w:rPr>
      </w:pPr>
      <w:bookmarkStart w:id="3" w:name="_Toc317775175"/>
      <w:bookmarkStart w:id="4" w:name="_Toc313893526"/>
      <w:bookmarkStart w:id="5" w:name="_Toc29871"/>
      <w:r>
        <w:rPr>
          <w:rFonts w:hint="eastAsia" w:ascii="宋体" w:hAnsi="宋体" w:eastAsia="宋体" w:cs="宋体"/>
          <w:color w:val="auto"/>
          <w:sz w:val="24"/>
          <w:szCs w:val="24"/>
          <w:highlight w:val="none"/>
        </w:rPr>
        <w:t>采购内容</w:t>
      </w:r>
      <w:bookmarkEnd w:id="3"/>
      <w:bookmarkEnd w:id="4"/>
      <w:bookmarkEnd w:id="5"/>
    </w:p>
    <w:tbl>
      <w:tblPr>
        <w:tblStyle w:val="24"/>
        <w:tblW w:w="93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86"/>
        <w:gridCol w:w="1521"/>
        <w:gridCol w:w="2074"/>
        <w:gridCol w:w="1956"/>
      </w:tblGrid>
      <w:tr w14:paraId="419E2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3786" w:type="dxa"/>
            <w:tcBorders>
              <w:top w:val="single" w:color="auto" w:sz="4" w:space="0"/>
              <w:left w:val="single" w:color="auto" w:sz="4" w:space="0"/>
              <w:right w:val="single" w:color="auto" w:sz="4" w:space="0"/>
            </w:tcBorders>
            <w:noWrap w:val="0"/>
            <w:vAlign w:val="center"/>
          </w:tcPr>
          <w:p w14:paraId="1FD21236">
            <w:pPr>
              <w:widowControl/>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名称</w:t>
            </w:r>
          </w:p>
        </w:tc>
        <w:tc>
          <w:tcPr>
            <w:tcW w:w="1521" w:type="dxa"/>
            <w:tcBorders>
              <w:top w:val="single" w:color="auto" w:sz="4" w:space="0"/>
              <w:left w:val="single" w:color="auto" w:sz="4" w:space="0"/>
              <w:right w:val="single" w:color="auto" w:sz="4" w:space="0"/>
            </w:tcBorders>
            <w:noWrap w:val="0"/>
            <w:vAlign w:val="center"/>
          </w:tcPr>
          <w:p w14:paraId="0BA938D1">
            <w:pPr>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最高限价</w:t>
            </w:r>
          </w:p>
          <w:p w14:paraId="76B18BD6">
            <w:pPr>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w:t>
            </w:r>
            <w:r>
              <w:rPr>
                <w:rFonts w:hint="eastAsia" w:ascii="宋体" w:hAnsi="宋体" w:cs="宋体"/>
                <w:b/>
                <w:bCs/>
                <w:color w:val="auto"/>
                <w:kern w:val="0"/>
                <w:sz w:val="24"/>
                <w:szCs w:val="24"/>
                <w:highlight w:val="none"/>
                <w:lang w:eastAsia="zh-CN"/>
              </w:rPr>
              <w:t>万</w:t>
            </w:r>
            <w:r>
              <w:rPr>
                <w:rFonts w:hint="eastAsia" w:ascii="宋体" w:hAnsi="宋体" w:eastAsia="宋体" w:cs="宋体"/>
                <w:b/>
                <w:bCs/>
                <w:color w:val="auto"/>
                <w:kern w:val="0"/>
                <w:sz w:val="24"/>
                <w:szCs w:val="24"/>
                <w:highlight w:val="none"/>
              </w:rPr>
              <w:t>元）</w:t>
            </w:r>
          </w:p>
        </w:tc>
        <w:tc>
          <w:tcPr>
            <w:tcW w:w="2074" w:type="dxa"/>
            <w:tcBorders>
              <w:top w:val="single" w:color="auto" w:sz="4" w:space="0"/>
              <w:left w:val="single" w:color="auto" w:sz="4" w:space="0"/>
              <w:right w:val="single" w:color="auto" w:sz="4" w:space="0"/>
            </w:tcBorders>
            <w:noWrap w:val="0"/>
            <w:vAlign w:val="center"/>
          </w:tcPr>
          <w:p w14:paraId="4168FDC6">
            <w:pPr>
              <w:jc w:val="center"/>
              <w:rPr>
                <w:rFonts w:hint="eastAsia" w:ascii="宋体" w:hAnsi="宋体" w:cs="宋体"/>
                <w:b/>
                <w:bCs/>
                <w:color w:val="auto"/>
                <w:kern w:val="0"/>
                <w:sz w:val="24"/>
                <w:szCs w:val="24"/>
                <w:highlight w:val="none"/>
                <w:lang w:eastAsia="zh-CN"/>
              </w:rPr>
            </w:pPr>
            <w:r>
              <w:rPr>
                <w:rFonts w:hint="eastAsia" w:ascii="宋体" w:hAnsi="宋体" w:cs="宋体"/>
                <w:b/>
                <w:bCs/>
                <w:color w:val="auto"/>
                <w:kern w:val="0"/>
                <w:sz w:val="24"/>
                <w:szCs w:val="24"/>
                <w:highlight w:val="none"/>
                <w:lang w:eastAsia="zh-CN"/>
              </w:rPr>
              <w:t>询比保证金</w:t>
            </w:r>
          </w:p>
          <w:p w14:paraId="7A44B699">
            <w:pPr>
              <w:jc w:val="center"/>
              <w:rPr>
                <w:rFonts w:hint="eastAsia" w:ascii="宋体" w:hAnsi="宋体" w:eastAsia="宋体" w:cs="宋体"/>
                <w:b/>
                <w:bCs/>
                <w:color w:val="auto"/>
                <w:kern w:val="0"/>
                <w:sz w:val="24"/>
                <w:szCs w:val="24"/>
                <w:highlight w:val="none"/>
                <w:lang w:eastAsia="zh-CN"/>
              </w:rPr>
            </w:pP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万元</w:t>
            </w:r>
            <w:r>
              <w:rPr>
                <w:rFonts w:hint="eastAsia" w:ascii="宋体" w:hAnsi="宋体" w:cs="宋体"/>
                <w:b/>
                <w:bCs/>
                <w:color w:val="auto"/>
                <w:kern w:val="0"/>
                <w:sz w:val="24"/>
                <w:szCs w:val="24"/>
                <w:highlight w:val="none"/>
                <w:lang w:eastAsia="zh-CN"/>
              </w:rPr>
              <w:t>）</w:t>
            </w:r>
          </w:p>
        </w:tc>
        <w:tc>
          <w:tcPr>
            <w:tcW w:w="1956" w:type="dxa"/>
            <w:tcBorders>
              <w:top w:val="single" w:color="auto" w:sz="4" w:space="0"/>
              <w:left w:val="single" w:color="auto" w:sz="4" w:space="0"/>
              <w:right w:val="single" w:color="auto" w:sz="4" w:space="0"/>
            </w:tcBorders>
            <w:noWrap w:val="0"/>
            <w:vAlign w:val="center"/>
          </w:tcPr>
          <w:p w14:paraId="77356C45">
            <w:pPr>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成交供应商数量（名）</w:t>
            </w:r>
          </w:p>
        </w:tc>
      </w:tr>
      <w:tr w14:paraId="1F741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3786" w:type="dxa"/>
            <w:tcBorders>
              <w:top w:val="single" w:color="auto" w:sz="4" w:space="0"/>
              <w:left w:val="single" w:color="auto" w:sz="4" w:space="0"/>
              <w:bottom w:val="single" w:color="auto" w:sz="4" w:space="0"/>
              <w:right w:val="single" w:color="auto" w:sz="4" w:space="0"/>
            </w:tcBorders>
            <w:noWrap w:val="0"/>
            <w:vAlign w:val="center"/>
          </w:tcPr>
          <w:p w14:paraId="665D3EDF">
            <w:pPr>
              <w:widowControl/>
              <w:ind w:left="0" w:leftChars="0" w:right="0" w:rightChars="0" w:firstLine="0" w:firstLineChars="0"/>
              <w:jc w:val="center"/>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lang w:eastAsia="zh-CN"/>
              </w:rPr>
              <w:t>重庆市大足区财政局购买食堂劳务服务</w:t>
            </w:r>
          </w:p>
        </w:tc>
        <w:tc>
          <w:tcPr>
            <w:tcW w:w="1521" w:type="dxa"/>
            <w:tcBorders>
              <w:top w:val="single" w:color="auto" w:sz="4" w:space="0"/>
              <w:left w:val="single" w:color="auto" w:sz="4" w:space="0"/>
              <w:bottom w:val="single" w:color="auto" w:sz="4" w:space="0"/>
              <w:right w:val="single" w:color="auto" w:sz="4" w:space="0"/>
            </w:tcBorders>
            <w:noWrap w:val="0"/>
            <w:vAlign w:val="center"/>
          </w:tcPr>
          <w:p w14:paraId="0E8FDBB1">
            <w:pPr>
              <w:widowControl/>
              <w:ind w:left="0" w:leftChars="0" w:right="0" w:rightChars="0" w:firstLine="0" w:firstLineChars="0"/>
              <w:jc w:val="center"/>
              <w:rPr>
                <w:rFonts w:hint="default"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39.9</w:t>
            </w:r>
          </w:p>
        </w:tc>
        <w:tc>
          <w:tcPr>
            <w:tcW w:w="2074" w:type="dxa"/>
            <w:tcBorders>
              <w:top w:val="single" w:color="auto" w:sz="4" w:space="0"/>
              <w:left w:val="single" w:color="auto" w:sz="4" w:space="0"/>
              <w:bottom w:val="single" w:color="auto" w:sz="4" w:space="0"/>
              <w:right w:val="single" w:color="auto" w:sz="4" w:space="0"/>
            </w:tcBorders>
            <w:noWrap w:val="0"/>
            <w:vAlign w:val="center"/>
          </w:tcPr>
          <w:p w14:paraId="67822470">
            <w:pPr>
              <w:widowControl/>
              <w:ind w:left="0" w:leftChars="0" w:right="0" w:rightChars="0" w:firstLine="0" w:firstLineChars="0"/>
              <w:jc w:val="center"/>
              <w:rPr>
                <w:rFonts w:hint="default" w:ascii="宋体" w:hAnsi="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0.7</w:t>
            </w:r>
          </w:p>
        </w:tc>
        <w:tc>
          <w:tcPr>
            <w:tcW w:w="1956" w:type="dxa"/>
            <w:tcBorders>
              <w:top w:val="single" w:color="auto" w:sz="4" w:space="0"/>
              <w:left w:val="single" w:color="auto" w:sz="4" w:space="0"/>
              <w:bottom w:val="single" w:color="auto" w:sz="4" w:space="0"/>
              <w:right w:val="single" w:color="auto" w:sz="4" w:space="0"/>
            </w:tcBorders>
            <w:noWrap w:val="0"/>
            <w:vAlign w:val="center"/>
          </w:tcPr>
          <w:p w14:paraId="572CCB56">
            <w:pPr>
              <w:widowControl/>
              <w:ind w:left="0" w:leftChars="0" w:right="0" w:rightChars="0" w:firstLine="0" w:firstLineChars="0"/>
              <w:jc w:val="center"/>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1</w:t>
            </w:r>
          </w:p>
        </w:tc>
      </w:tr>
    </w:tbl>
    <w:p w14:paraId="41D769E6">
      <w:pPr>
        <w:pStyle w:val="2"/>
        <w:adjustRightInd w:val="0"/>
        <w:snapToGrid w:val="0"/>
        <w:spacing w:before="0" w:after="0" w:line="400" w:lineRule="exact"/>
        <w:ind w:firstLine="482" w:firstLineChars="200"/>
        <w:rPr>
          <w:rFonts w:hint="eastAsia" w:ascii="宋体" w:hAnsi="宋体" w:eastAsia="宋体" w:cs="宋体"/>
          <w:color w:val="auto"/>
          <w:sz w:val="24"/>
          <w:szCs w:val="24"/>
          <w:highlight w:val="none"/>
        </w:rPr>
      </w:pPr>
      <w:bookmarkStart w:id="6" w:name="_Toc27165"/>
      <w:bookmarkStart w:id="7" w:name="_Toc373860293"/>
      <w:bookmarkStart w:id="8" w:name="_Toc317775178"/>
      <w:r>
        <w:rPr>
          <w:rFonts w:hint="eastAsia" w:ascii="宋体" w:hAnsi="宋体" w:eastAsia="宋体" w:cs="宋体"/>
          <w:color w:val="auto"/>
          <w:sz w:val="24"/>
          <w:szCs w:val="24"/>
          <w:highlight w:val="none"/>
        </w:rPr>
        <w:t>二、资金来源</w:t>
      </w:r>
      <w:bookmarkEnd w:id="6"/>
    </w:p>
    <w:p w14:paraId="166D4C91">
      <w:pPr>
        <w:spacing w:line="400" w:lineRule="exact"/>
        <w:ind w:firstLine="480" w:firstLineChars="200"/>
        <w:rPr>
          <w:rFonts w:hint="eastAsia" w:ascii="宋体" w:hAnsi="宋体" w:eastAsia="宋体" w:cs="宋体"/>
          <w:color w:val="auto"/>
          <w:sz w:val="24"/>
          <w:szCs w:val="24"/>
          <w:highlight w:val="none"/>
        </w:rPr>
      </w:pPr>
      <w:bookmarkStart w:id="9" w:name="_Toc14941"/>
      <w:r>
        <w:rPr>
          <w:rFonts w:hint="eastAsia" w:ascii="宋体" w:hAnsi="宋体" w:cs="宋体"/>
          <w:color w:val="auto"/>
          <w:sz w:val="24"/>
          <w:szCs w:val="24"/>
          <w:highlight w:val="none"/>
          <w:lang w:eastAsia="zh-CN"/>
        </w:rPr>
        <w:t>财政预算</w:t>
      </w:r>
      <w:r>
        <w:rPr>
          <w:rFonts w:hint="eastAsia" w:ascii="宋体" w:hAnsi="宋体" w:eastAsia="宋体" w:cs="宋体"/>
          <w:color w:val="auto"/>
          <w:sz w:val="24"/>
          <w:szCs w:val="24"/>
          <w:highlight w:val="none"/>
        </w:rPr>
        <w:t>资金</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预算金额为</w:t>
      </w:r>
      <w:r>
        <w:rPr>
          <w:rFonts w:hint="eastAsia" w:ascii="宋体" w:hAnsi="宋体" w:cs="宋体"/>
          <w:color w:val="auto"/>
          <w:kern w:val="0"/>
          <w:sz w:val="24"/>
          <w:szCs w:val="24"/>
          <w:highlight w:val="none"/>
          <w:lang w:val="en-US" w:eastAsia="zh-CN"/>
        </w:rPr>
        <w:t xml:space="preserve"> 39.9万</w:t>
      </w:r>
      <w:r>
        <w:rPr>
          <w:rFonts w:hint="eastAsia" w:ascii="宋体" w:hAnsi="宋体" w:eastAsia="宋体" w:cs="宋体"/>
          <w:color w:val="auto"/>
          <w:sz w:val="24"/>
          <w:szCs w:val="24"/>
          <w:highlight w:val="none"/>
        </w:rPr>
        <w:t>元。</w:t>
      </w:r>
    </w:p>
    <w:p w14:paraId="5DF4C024">
      <w:pPr>
        <w:pStyle w:val="2"/>
        <w:adjustRightInd w:val="0"/>
        <w:snapToGrid w:val="0"/>
        <w:spacing w:before="0" w:after="0" w:line="400" w:lineRule="exact"/>
        <w:ind w:firstLine="482"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三、供应商资格条件</w:t>
      </w:r>
      <w:bookmarkEnd w:id="9"/>
    </w:p>
    <w:p w14:paraId="34B456C6">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（一）满足《中华人民共和国政府采购法》第二十二条规定；</w:t>
      </w:r>
    </w:p>
    <w:p w14:paraId="6450D0CB">
      <w:pPr>
        <w:snapToGrid w:val="0"/>
        <w:spacing w:line="400" w:lineRule="exact"/>
        <w:ind w:firstLine="480" w:firstLineChars="200"/>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（二）落实政府采购政策需满足的资格要求：</w:t>
      </w:r>
      <w:r>
        <w:rPr>
          <w:rFonts w:hint="eastAsia" w:ascii="宋体" w:hAnsi="宋体" w:cs="宋体"/>
          <w:color w:val="auto"/>
          <w:sz w:val="24"/>
          <w:szCs w:val="24"/>
          <w:highlight w:val="none"/>
          <w:lang w:eastAsia="zh-CN"/>
        </w:rPr>
        <w:t>无。</w:t>
      </w:r>
    </w:p>
    <w:p w14:paraId="67661C7D">
      <w:pPr>
        <w:snapToGrid w:val="0"/>
        <w:spacing w:line="400" w:lineRule="exact"/>
        <w:ind w:firstLine="480" w:firstLineChars="200"/>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rPr>
        <w:t>（三）本项目的特定资格要求：</w:t>
      </w:r>
      <w:bookmarkStart w:id="10" w:name="_Toc6513"/>
      <w:r>
        <w:rPr>
          <w:rFonts w:hint="eastAsia" w:ascii="宋体" w:hAnsi="宋体" w:cs="宋体"/>
          <w:color w:val="auto"/>
          <w:sz w:val="24"/>
          <w:szCs w:val="24"/>
          <w:highlight w:val="none"/>
          <w:lang w:val="en-US" w:eastAsia="zh-CN"/>
        </w:rPr>
        <w:t>无。</w:t>
      </w:r>
    </w:p>
    <w:p w14:paraId="0B5BC5DE">
      <w:pPr>
        <w:pStyle w:val="2"/>
        <w:adjustRightInd w:val="0"/>
        <w:snapToGrid w:val="0"/>
        <w:spacing w:before="0" w:after="0" w:line="400" w:lineRule="exact"/>
        <w:ind w:firstLine="482"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有关说明</w:t>
      </w:r>
      <w:bookmarkEnd w:id="7"/>
      <w:bookmarkEnd w:id="10"/>
    </w:p>
    <w:bookmarkEnd w:id="8"/>
    <w:p w14:paraId="374B75CC">
      <w:pPr>
        <w:snapToGrid w:val="0"/>
        <w:spacing w:line="400" w:lineRule="exact"/>
        <w:ind w:firstLine="480" w:firstLineChars="200"/>
        <w:rPr>
          <w:rFonts w:ascii="宋体" w:hAnsi="宋体" w:cs="宋体"/>
          <w:color w:val="auto"/>
          <w:sz w:val="24"/>
          <w:szCs w:val="24"/>
          <w:highlight w:val="none"/>
        </w:rPr>
      </w:pPr>
      <w:bookmarkStart w:id="11" w:name="_Toc525047161"/>
      <w:bookmarkStart w:id="12" w:name="_Toc521053053"/>
      <w:bookmarkStart w:id="13" w:name="_Toc373860294"/>
      <w:r>
        <w:rPr>
          <w:rFonts w:hint="eastAsia" w:ascii="宋体" w:hAnsi="宋体" w:cs="宋体"/>
          <w:color w:val="auto"/>
          <w:sz w:val="24"/>
          <w:szCs w:val="24"/>
          <w:highlight w:val="none"/>
        </w:rPr>
        <w:t>（一）供应商需通过行采家（https://www.gec123.com/）进行注册，登记加入“行采家供应商库”。</w:t>
      </w:r>
    </w:p>
    <w:p w14:paraId="60407837">
      <w:pPr>
        <w:snapToGrid w:val="0"/>
        <w:spacing w:line="4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w:t>
      </w:r>
      <w:r>
        <w:rPr>
          <w:rFonts w:hint="eastAsia" w:ascii="宋体" w:hAnsi="宋体" w:eastAsia="宋体" w:cs="宋体"/>
          <w:color w:val="auto"/>
          <w:spacing w:val="-20"/>
          <w:sz w:val="24"/>
          <w:szCs w:val="24"/>
          <w:highlight w:val="none"/>
        </w:rPr>
        <w:t>凡有意参加本次采购的供应商，请在</w:t>
      </w:r>
      <w:r>
        <w:rPr>
          <w:rFonts w:hint="eastAsia" w:ascii="宋体" w:hAnsi="宋体" w:cs="宋体"/>
          <w:color w:val="auto"/>
          <w:spacing w:val="-20"/>
          <w:sz w:val="24"/>
          <w:szCs w:val="24"/>
          <w:highlight w:val="none"/>
          <w:lang w:eastAsia="zh-CN"/>
        </w:rPr>
        <w:t>行采家</w:t>
      </w:r>
      <w:r>
        <w:rPr>
          <w:rFonts w:hint="eastAsia" w:ascii="宋体" w:hAnsi="宋体" w:cs="宋体"/>
          <w:color w:val="auto"/>
          <w:spacing w:val="-20"/>
          <w:sz w:val="24"/>
          <w:szCs w:val="24"/>
          <w:highlight w:val="none"/>
          <w:lang w:val="en-US" w:eastAsia="zh-CN"/>
        </w:rPr>
        <w:t>·电子竞采</w:t>
      </w:r>
      <w:r>
        <w:rPr>
          <w:rFonts w:hint="eastAsia" w:ascii="宋体" w:hAnsi="宋体" w:cs="宋体"/>
          <w:color w:val="auto"/>
          <w:spacing w:val="-20"/>
          <w:sz w:val="24"/>
          <w:szCs w:val="24"/>
          <w:highlight w:val="none"/>
          <w:lang w:eastAsia="zh-CN"/>
        </w:rPr>
        <w:t>（https://www.gec123.com/xe/）</w:t>
      </w:r>
      <w:r>
        <w:rPr>
          <w:rFonts w:hint="eastAsia" w:ascii="宋体" w:hAnsi="宋体" w:eastAsia="宋体" w:cs="宋体"/>
          <w:color w:val="auto"/>
          <w:sz w:val="24"/>
          <w:szCs w:val="24"/>
          <w:highlight w:val="none"/>
        </w:rPr>
        <w:t>上下载或到采购代理机构处领取本项目</w:t>
      </w: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rPr>
        <w:t>以及澄清等</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前公布的所有项目资料，无论供应商下载或领取与否，均视为已知晓所有</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实质性要求内容。</w:t>
      </w:r>
    </w:p>
    <w:p w14:paraId="04CEC881">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（三）获取</w:t>
      </w:r>
      <w:r>
        <w:rPr>
          <w:rFonts w:hint="eastAsia" w:ascii="宋体" w:hAnsi="宋体" w:cs="宋体"/>
          <w:color w:val="auto"/>
          <w:sz w:val="24"/>
          <w:szCs w:val="24"/>
          <w:highlight w:val="none"/>
          <w:lang w:eastAsia="zh-CN"/>
        </w:rPr>
        <w:t>采购文件</w:t>
      </w:r>
      <w:r>
        <w:rPr>
          <w:rFonts w:hint="eastAsia" w:ascii="宋体" w:hAnsi="宋体" w:eastAsia="宋体" w:cs="宋体"/>
          <w:color w:val="auto"/>
          <w:sz w:val="24"/>
          <w:szCs w:val="24"/>
          <w:highlight w:val="none"/>
        </w:rPr>
        <w:t>期限：</w:t>
      </w:r>
    </w:p>
    <w:p w14:paraId="29D7610D">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eastAsia="zh-CN"/>
        </w:rPr>
        <w:t>采购文件</w:t>
      </w:r>
      <w:r>
        <w:rPr>
          <w:rFonts w:hint="eastAsia" w:ascii="宋体" w:hAnsi="宋体" w:eastAsia="宋体" w:cs="宋体"/>
          <w:color w:val="auto"/>
          <w:sz w:val="24"/>
          <w:szCs w:val="24"/>
          <w:highlight w:val="none"/>
        </w:rPr>
        <w:t>提供期限：</w:t>
      </w:r>
      <w:r>
        <w:rPr>
          <w:rFonts w:hint="eastAsia" w:ascii="宋体" w:hAnsi="宋体" w:eastAsia="宋体" w:cs="宋体"/>
          <w:color w:val="auto"/>
          <w:sz w:val="24"/>
          <w:szCs w:val="24"/>
          <w:highlight w:val="none"/>
          <w:lang w:eastAsia="zh-CN"/>
        </w:rPr>
        <w:t>同采购</w:t>
      </w:r>
      <w:r>
        <w:rPr>
          <w:rFonts w:hint="eastAsia" w:ascii="宋体" w:hAnsi="宋体" w:eastAsia="宋体" w:cs="宋体"/>
          <w:color w:val="auto"/>
          <w:sz w:val="24"/>
          <w:szCs w:val="24"/>
          <w:highlight w:val="none"/>
        </w:rPr>
        <w:t>公告</w:t>
      </w:r>
      <w:r>
        <w:rPr>
          <w:rFonts w:hint="eastAsia" w:ascii="宋体" w:hAnsi="宋体" w:eastAsia="宋体" w:cs="宋体"/>
          <w:color w:val="auto"/>
          <w:sz w:val="24"/>
          <w:szCs w:val="24"/>
          <w:highlight w:val="none"/>
          <w:lang w:eastAsia="zh-CN"/>
        </w:rPr>
        <w:t>期限（</w:t>
      </w:r>
      <w:r>
        <w:rPr>
          <w:rFonts w:hint="eastAsia" w:ascii="宋体" w:hAnsi="宋体" w:eastAsia="宋体" w:cs="宋体"/>
          <w:color w:val="auto"/>
          <w:sz w:val="24"/>
          <w:szCs w:val="24"/>
          <w:highlight w:val="none"/>
        </w:rPr>
        <w:t>发布之日起</w:t>
      </w:r>
      <w:r>
        <w:rPr>
          <w:rFonts w:hint="eastAsia" w:ascii="宋体" w:hAnsi="宋体" w:cs="宋体"/>
          <w:color w:val="auto"/>
          <w:sz w:val="24"/>
          <w:szCs w:val="24"/>
          <w:highlight w:val="none"/>
          <w:lang w:eastAsia="zh-CN"/>
        </w:rPr>
        <w:t>三</w:t>
      </w:r>
      <w:r>
        <w:rPr>
          <w:rFonts w:hint="eastAsia" w:ascii="宋体" w:hAnsi="宋体" w:eastAsia="宋体" w:cs="宋体"/>
          <w:color w:val="auto"/>
          <w:sz w:val="24"/>
          <w:szCs w:val="24"/>
          <w:highlight w:val="none"/>
        </w:rPr>
        <w:t>个工作日</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w:t>
      </w:r>
    </w:p>
    <w:p w14:paraId="6AE02770">
      <w:pPr>
        <w:snapToGrid w:val="0"/>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2.文件售价：500.00元</w:t>
      </w:r>
    </w:p>
    <w:p w14:paraId="00084EA8">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.报名时间：</w:t>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"mailto:2023年7月XX日至2023年7月XX日，在报名时间内，供应商将《网上竞采项目报名登记表》加盖供应商公章扫描后发送至656258653@qq.com。"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16</w:t>
      </w:r>
      <w:r>
        <w:rPr>
          <w:rFonts w:hint="eastAsia" w:ascii="宋体" w:hAnsi="宋体" w:eastAsia="宋体" w:cs="宋体"/>
          <w:color w:val="auto"/>
          <w:sz w:val="24"/>
          <w:szCs w:val="24"/>
          <w:highlight w:val="none"/>
        </w:rPr>
        <w:t>日至202</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19</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fldChar w:fldCharType="end"/>
      </w:r>
    </w:p>
    <w:p w14:paraId="28CC26D5">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.报名方式：在规定的报名时间内，供应商</w:t>
      </w:r>
      <w:r>
        <w:rPr>
          <w:rFonts w:hint="eastAsia" w:ascii="宋体" w:hAnsi="宋体" w:cs="宋体"/>
          <w:color w:val="auto"/>
          <w:sz w:val="24"/>
          <w:szCs w:val="24"/>
          <w:highlight w:val="none"/>
          <w:lang w:eastAsia="zh-CN"/>
        </w:rPr>
        <w:t>到重庆鸿兴招标代理有限公司现场登记递交</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采购文件发售登记表</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（格式详见附件）</w:t>
      </w:r>
      <w:r>
        <w:rPr>
          <w:rFonts w:hint="eastAsia" w:ascii="宋体" w:hAnsi="宋体" w:eastAsia="宋体" w:cs="宋体"/>
          <w:color w:val="auto"/>
          <w:sz w:val="24"/>
          <w:szCs w:val="24"/>
          <w:highlight w:val="none"/>
        </w:rPr>
        <w:t>，未在规定时间内报名的供应商，响应文件恕不接收。</w:t>
      </w:r>
    </w:p>
    <w:p w14:paraId="365BD97F">
      <w:pPr>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eastAsia="zh-CN"/>
        </w:rPr>
        <w:t>（四）线上报价截止时间：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20</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10:00</w:t>
      </w:r>
    </w:p>
    <w:p w14:paraId="7DEBC45A">
      <w:pPr>
        <w:spacing w:line="400" w:lineRule="exact"/>
        <w:ind w:firstLine="482" w:firstLineChars="200"/>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rPr>
        <w:t>注：供应商线上报价时需上传盖章后的电子文档（PDF）格式一份。上传电子文档必须按照要求制作，规定签字、盖章的地方必须按其规定签字、盖章，未按要求制作响应文件的</w:t>
      </w:r>
      <w:r>
        <w:rPr>
          <w:rFonts w:hint="eastAsia" w:ascii="宋体" w:hAnsi="宋体" w:cs="宋体"/>
          <w:b/>
          <w:bCs/>
          <w:color w:val="auto"/>
          <w:sz w:val="24"/>
          <w:szCs w:val="24"/>
          <w:highlight w:val="none"/>
          <w:lang w:val="en-US" w:eastAsia="zh-CN"/>
        </w:rPr>
        <w:t>按无效响应</w:t>
      </w:r>
      <w:r>
        <w:rPr>
          <w:rFonts w:hint="eastAsia" w:ascii="宋体" w:hAnsi="宋体" w:eastAsia="宋体" w:cs="宋体"/>
          <w:b/>
          <w:bCs/>
          <w:color w:val="auto"/>
          <w:sz w:val="24"/>
          <w:szCs w:val="24"/>
          <w:highlight w:val="none"/>
        </w:rPr>
        <w:t>处理。电子文档</w:t>
      </w:r>
      <w:r>
        <w:rPr>
          <w:rFonts w:hint="eastAsia" w:ascii="宋体" w:hAnsi="宋体" w:cs="宋体"/>
          <w:b/>
          <w:bCs/>
          <w:color w:val="auto"/>
          <w:sz w:val="24"/>
          <w:szCs w:val="24"/>
          <w:highlight w:val="none"/>
          <w:lang w:eastAsia="zh-CN"/>
        </w:rPr>
        <w:t>与纸质正本不一致时，以纸质正本文件为准。</w:t>
      </w:r>
    </w:p>
    <w:p w14:paraId="7994A5B2">
      <w:pPr>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五</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线下</w:t>
      </w:r>
      <w:r>
        <w:rPr>
          <w:rFonts w:hint="eastAsia" w:ascii="宋体" w:hAnsi="宋体" w:eastAsia="宋体" w:cs="宋体"/>
          <w:color w:val="auto"/>
          <w:sz w:val="24"/>
          <w:szCs w:val="24"/>
          <w:highlight w:val="none"/>
        </w:rPr>
        <w:t>递交响应文件</w:t>
      </w:r>
      <w:r>
        <w:rPr>
          <w:rFonts w:hint="eastAsia" w:ascii="宋体" w:hAnsi="宋体" w:cs="宋体"/>
          <w:color w:val="auto"/>
          <w:sz w:val="24"/>
          <w:szCs w:val="24"/>
          <w:highlight w:val="none"/>
          <w:lang w:eastAsia="zh-CN"/>
        </w:rPr>
        <w:t>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20</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09:30-10:00</w:t>
      </w:r>
      <w:r>
        <w:rPr>
          <w:rFonts w:hint="eastAsia" w:ascii="宋体" w:hAnsi="宋体" w:eastAsia="宋体" w:cs="宋体"/>
          <w:color w:val="auto"/>
          <w:sz w:val="24"/>
          <w:szCs w:val="24"/>
          <w:highlight w:val="none"/>
        </w:rPr>
        <w:t>。</w:t>
      </w:r>
    </w:p>
    <w:p w14:paraId="47403E9A">
      <w:pPr>
        <w:snapToGrid w:val="0"/>
        <w:spacing w:line="400" w:lineRule="exact"/>
        <w:ind w:firstLine="482" w:firstLineChars="200"/>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注：供应商提交响应文件时，一并提交以下资料：</w:t>
      </w:r>
    </w:p>
    <w:p w14:paraId="7B10C55F">
      <w:pPr>
        <w:snapToGrid w:val="0"/>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1.提交报名费缴纳凭据复印件，加盖供应商公章；</w:t>
      </w:r>
    </w:p>
    <w:p w14:paraId="4E8284DD">
      <w:pPr>
        <w:snapToGrid w:val="0"/>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2.提交询比保证金银行转账凭据，加盖供应商公章；</w:t>
      </w:r>
    </w:p>
    <w:p w14:paraId="024F7F20">
      <w:pPr>
        <w:snapToGrid w:val="0"/>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3.递交“供应商信息卡”（格式详见附件），内容填写完整，加盖供应商公章；</w:t>
      </w:r>
    </w:p>
    <w:p w14:paraId="4FEAAD73">
      <w:pPr>
        <w:snapToGrid w:val="0"/>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4.递交供应商银行“基本账户信息”或“开户许可证”复印件，加盖供应商公章；</w:t>
      </w:r>
    </w:p>
    <w:p w14:paraId="28B02E91">
      <w:pPr>
        <w:snapToGrid w:val="0"/>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5.递交</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采购文件发售登记表</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（格式详见附件）</w:t>
      </w:r>
      <w:r>
        <w:rPr>
          <w:rFonts w:hint="eastAsia" w:ascii="宋体" w:hAnsi="宋体" w:eastAsia="宋体" w:cs="宋体"/>
          <w:color w:val="auto"/>
          <w:sz w:val="24"/>
          <w:szCs w:val="24"/>
          <w:highlight w:val="none"/>
          <w:lang w:val="en-US" w:eastAsia="zh-CN"/>
        </w:rPr>
        <w:t>，加盖供应商公章；</w:t>
      </w:r>
    </w:p>
    <w:p w14:paraId="33097BBB">
      <w:pPr>
        <w:spacing w:line="400" w:lineRule="exact"/>
        <w:ind w:firstLine="482" w:firstLineChars="200"/>
        <w:rPr>
          <w:rFonts w:hint="eastAsia" w:ascii="宋体" w:hAnsi="宋体" w:eastAsia="宋体" w:cs="宋体"/>
          <w:b/>
          <w:bCs/>
          <w:color w:val="auto"/>
          <w:sz w:val="24"/>
          <w:szCs w:val="24"/>
          <w:highlight w:val="none"/>
          <w:lang w:eastAsia="zh-CN"/>
        </w:rPr>
      </w:pPr>
      <w:r>
        <w:rPr>
          <w:rFonts w:hint="eastAsia" w:ascii="宋体" w:hAnsi="宋体" w:cs="宋体"/>
          <w:b/>
          <w:bCs/>
          <w:color w:val="auto"/>
          <w:sz w:val="24"/>
          <w:szCs w:val="24"/>
          <w:highlight w:val="none"/>
          <w:lang w:eastAsia="zh-CN"/>
        </w:rPr>
        <w:t>说明：以上资料为手持件，不得密封。</w:t>
      </w:r>
    </w:p>
    <w:p w14:paraId="77A68009">
      <w:pPr>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六</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线下</w:t>
      </w:r>
      <w:r>
        <w:rPr>
          <w:rFonts w:hint="eastAsia" w:ascii="宋体" w:hAnsi="宋体" w:eastAsia="宋体" w:cs="宋体"/>
          <w:color w:val="auto"/>
          <w:sz w:val="24"/>
          <w:szCs w:val="24"/>
          <w:highlight w:val="none"/>
        </w:rPr>
        <w:t>递交响应文件</w:t>
      </w:r>
      <w:r>
        <w:rPr>
          <w:rFonts w:hint="eastAsia" w:ascii="宋体" w:hAnsi="宋体" w:cs="宋体"/>
          <w:color w:val="auto"/>
          <w:sz w:val="24"/>
          <w:szCs w:val="24"/>
          <w:highlight w:val="none"/>
          <w:lang w:eastAsia="zh-CN"/>
        </w:rPr>
        <w:t>地点</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重庆市大足区宏声北路</w:t>
      </w:r>
      <w:r>
        <w:rPr>
          <w:rFonts w:hint="eastAsia" w:ascii="宋体" w:hAnsi="宋体" w:cs="宋体"/>
          <w:color w:val="auto"/>
          <w:sz w:val="24"/>
          <w:szCs w:val="24"/>
          <w:highlight w:val="none"/>
          <w:lang w:val="en-US" w:eastAsia="zh-CN"/>
        </w:rPr>
        <w:t>12号</w:t>
      </w:r>
    </w:p>
    <w:bookmarkEnd w:id="11"/>
    <w:bookmarkEnd w:id="12"/>
    <w:bookmarkEnd w:id="13"/>
    <w:p w14:paraId="2F55473B">
      <w:pPr>
        <w:spacing w:line="400" w:lineRule="exact"/>
        <w:ind w:firstLine="480" w:firstLineChars="200"/>
        <w:rPr>
          <w:rFonts w:hint="default" w:ascii="宋体" w:hAnsi="宋体" w:cs="宋体"/>
          <w:color w:val="auto"/>
          <w:sz w:val="24"/>
          <w:szCs w:val="24"/>
          <w:highlight w:val="none"/>
          <w:lang w:val="en-US" w:eastAsia="zh-CN"/>
        </w:rPr>
      </w:pPr>
      <w:bookmarkStart w:id="14" w:name="_Toc16269"/>
      <w:bookmarkStart w:id="15" w:name="_Toc6563"/>
      <w:bookmarkStart w:id="16" w:name="_Toc26051"/>
      <w:bookmarkStart w:id="17" w:name="_Toc65660336"/>
      <w:bookmarkStart w:id="18" w:name="_Toc25546"/>
      <w:bookmarkStart w:id="19" w:name="_Toc525047163"/>
      <w:bookmarkStart w:id="20" w:name="_Toc521053055"/>
      <w:bookmarkStart w:id="21" w:name="_Toc102227313"/>
      <w:r>
        <w:rPr>
          <w:rFonts w:hint="eastAsia" w:ascii="宋体" w:hAnsi="宋体" w:cs="宋体"/>
          <w:color w:val="auto"/>
          <w:sz w:val="24"/>
          <w:szCs w:val="24"/>
          <w:highlight w:val="none"/>
          <w:lang w:val="en-US" w:eastAsia="zh-CN"/>
        </w:rPr>
        <w:t>（七）询比开始时间：2025年6月20日10:00</w:t>
      </w:r>
    </w:p>
    <w:p w14:paraId="6AC09DE8">
      <w:pPr>
        <w:pStyle w:val="4"/>
        <w:adjustRightInd w:val="0"/>
        <w:snapToGrid w:val="0"/>
        <w:spacing w:before="0" w:after="0" w:line="400" w:lineRule="exact"/>
        <w:ind w:firstLine="482"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六</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保证金</w:t>
      </w:r>
    </w:p>
    <w:p w14:paraId="0A8DD28B">
      <w:pPr>
        <w:snapToGrid w:val="0"/>
        <w:spacing w:line="400" w:lineRule="exact"/>
        <w:ind w:firstLine="480" w:firstLineChars="200"/>
        <w:outlineLvl w:val="2"/>
        <w:rPr>
          <w:rFonts w:ascii="宋体" w:hAnsi="宋体" w:cs="宋体"/>
          <w:color w:val="auto"/>
          <w:sz w:val="24"/>
          <w:szCs w:val="24"/>
          <w:highlight w:val="none"/>
        </w:rPr>
      </w:pPr>
      <w:r>
        <w:rPr>
          <w:rFonts w:hint="eastAsia" w:ascii="宋体" w:hAnsi="宋体" w:cs="宋体"/>
          <w:color w:val="auto"/>
          <w:sz w:val="24"/>
          <w:szCs w:val="24"/>
          <w:highlight w:val="none"/>
        </w:rPr>
        <w:t>（一）保证金递交</w:t>
      </w:r>
    </w:p>
    <w:p w14:paraId="6849FE8A">
      <w:pPr>
        <w:snapToGrid w:val="0"/>
        <w:spacing w:line="400" w:lineRule="exact"/>
        <w:ind w:firstLine="480" w:firstLineChars="200"/>
        <w:rPr>
          <w:rFonts w:ascii="宋体" w:hAnsi="宋体" w:eastAsia="宋体" w:cs="宋体"/>
          <w:b/>
          <w:bCs/>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1.供应商应足额交纳保证金（保证金金额详见本篇，一、采购内容），并汇至下列账户，</w:t>
      </w:r>
      <w:r>
        <w:rPr>
          <w:rFonts w:hint="eastAsia" w:ascii="宋体" w:hAnsi="宋体" w:eastAsia="宋体" w:cs="宋体"/>
          <w:b/>
          <w:bCs/>
          <w:color w:val="auto"/>
          <w:kern w:val="2"/>
          <w:sz w:val="24"/>
          <w:szCs w:val="24"/>
          <w:highlight w:val="none"/>
          <w:lang w:val="en-US" w:eastAsia="zh-CN" w:bidi="ar-SA"/>
        </w:rPr>
        <w:t>保证金的到账截止时间同响应文件开始提交时间一致。</w:t>
      </w:r>
    </w:p>
    <w:p w14:paraId="64F4EBAC">
      <w:pPr>
        <w:pageBreakBefore w:val="0"/>
        <w:widowControl/>
        <w:kinsoku/>
        <w:wordWrap w:val="0"/>
        <w:overflowPunct/>
        <w:topLinePunct w:val="0"/>
        <w:autoSpaceDE/>
        <w:autoSpaceDN/>
        <w:bidi w:val="0"/>
        <w:spacing w:line="400" w:lineRule="exact"/>
        <w:ind w:firstLine="480"/>
        <w:textAlignment w:val="auto"/>
        <w:rPr>
          <w:rFonts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保证金账户：</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6"/>
        <w:gridCol w:w="6103"/>
      </w:tblGrid>
      <w:tr w14:paraId="125D9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776" w:type="dxa"/>
            <w:noWrap w:val="0"/>
            <w:vAlign w:val="center"/>
          </w:tcPr>
          <w:p w14:paraId="789BF5A4">
            <w:pPr>
              <w:widowControl w:val="0"/>
              <w:snapToGrid w:val="0"/>
              <w:spacing w:line="400" w:lineRule="exact"/>
              <w:ind w:firstLine="0"/>
              <w:jc w:val="center"/>
              <w:rPr>
                <w:rFonts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户  名</w:t>
            </w:r>
          </w:p>
        </w:tc>
        <w:tc>
          <w:tcPr>
            <w:tcW w:w="6103" w:type="dxa"/>
            <w:noWrap w:val="0"/>
            <w:vAlign w:val="center"/>
          </w:tcPr>
          <w:p w14:paraId="4F7C2190">
            <w:pPr>
              <w:widowControl w:val="0"/>
              <w:snapToGrid w:val="0"/>
              <w:spacing w:line="400" w:lineRule="exact"/>
              <w:ind w:firstLine="1200" w:firstLineChars="500"/>
              <w:jc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重庆鸿兴招标代理有限公司</w:t>
            </w:r>
          </w:p>
        </w:tc>
      </w:tr>
      <w:tr w14:paraId="722C0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776" w:type="dxa"/>
            <w:noWrap w:val="0"/>
            <w:vAlign w:val="center"/>
          </w:tcPr>
          <w:p w14:paraId="7B025203">
            <w:pPr>
              <w:widowControl w:val="0"/>
              <w:snapToGrid w:val="0"/>
              <w:spacing w:line="400" w:lineRule="exact"/>
              <w:ind w:firstLine="0"/>
              <w:jc w:val="center"/>
              <w:rPr>
                <w:rFonts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开户行</w:t>
            </w:r>
          </w:p>
        </w:tc>
        <w:tc>
          <w:tcPr>
            <w:tcW w:w="6103" w:type="dxa"/>
            <w:noWrap w:val="0"/>
            <w:vAlign w:val="center"/>
          </w:tcPr>
          <w:p w14:paraId="044DEC61">
            <w:pPr>
              <w:snapToGrid w:val="0"/>
              <w:spacing w:line="400" w:lineRule="exact"/>
              <w:ind w:firstLine="480" w:firstLineChars="200"/>
              <w:jc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rPr>
              <w:t>建行重庆大足支行</w:t>
            </w:r>
          </w:p>
        </w:tc>
      </w:tr>
      <w:tr w14:paraId="17141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76" w:type="dxa"/>
            <w:noWrap w:val="0"/>
            <w:vAlign w:val="center"/>
          </w:tcPr>
          <w:p w14:paraId="46096946">
            <w:pPr>
              <w:widowControl w:val="0"/>
              <w:snapToGrid w:val="0"/>
              <w:spacing w:line="400" w:lineRule="exact"/>
              <w:ind w:firstLine="0"/>
              <w:jc w:val="center"/>
              <w:rPr>
                <w:rFonts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账  号</w:t>
            </w:r>
          </w:p>
        </w:tc>
        <w:tc>
          <w:tcPr>
            <w:tcW w:w="6103" w:type="dxa"/>
            <w:noWrap w:val="0"/>
            <w:vAlign w:val="center"/>
          </w:tcPr>
          <w:p w14:paraId="35444F84">
            <w:pPr>
              <w:widowControl w:val="0"/>
              <w:snapToGrid w:val="0"/>
              <w:spacing w:line="400" w:lineRule="exact"/>
              <w:ind w:firstLine="1200" w:firstLineChars="500"/>
              <w:jc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rPr>
              <w:t>50050100434100000290</w:t>
            </w:r>
          </w:p>
        </w:tc>
      </w:tr>
    </w:tbl>
    <w:p w14:paraId="20685FD1">
      <w:pPr>
        <w:widowControl w:val="0"/>
        <w:snapToGrid w:val="0"/>
        <w:spacing w:line="400" w:lineRule="exact"/>
        <w:ind w:firstLine="480" w:firstLineChars="200"/>
        <w:jc w:val="both"/>
        <w:rPr>
          <w:rFonts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2.各供应商在银行转账（电汇）时，须充分考虑银行转账（电汇）的时间差风险，如同城转账、异地转账或汇款、跨行转账或电汇的时间要求。</w:t>
      </w:r>
    </w:p>
    <w:p w14:paraId="2FA6FAAA">
      <w:pPr>
        <w:snapToGrid w:val="0"/>
        <w:spacing w:line="400" w:lineRule="exact"/>
        <w:ind w:firstLine="360" w:firstLineChars="150"/>
        <w:outlineLvl w:val="2"/>
        <w:rPr>
          <w:rFonts w:ascii="宋体" w:hAnsi="宋体" w:cs="宋体"/>
          <w:color w:val="auto"/>
          <w:sz w:val="24"/>
          <w:szCs w:val="24"/>
          <w:highlight w:val="none"/>
        </w:rPr>
      </w:pPr>
      <w:r>
        <w:rPr>
          <w:rFonts w:hint="eastAsia" w:ascii="宋体" w:hAnsi="宋体" w:cs="宋体"/>
          <w:color w:val="auto"/>
          <w:sz w:val="24"/>
          <w:szCs w:val="24"/>
          <w:highlight w:val="none"/>
        </w:rPr>
        <w:t>（二）保证金退还方式</w:t>
      </w:r>
    </w:p>
    <w:p w14:paraId="05F84762">
      <w:pPr>
        <w:snapToGrid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1.未成交供应商的保证金，在成交通知书发放后，</w:t>
      </w:r>
      <w:r>
        <w:rPr>
          <w:rFonts w:hint="eastAsia" w:ascii="宋体" w:hAnsi="宋体" w:cs="宋体"/>
          <w:color w:val="auto"/>
          <w:sz w:val="24"/>
          <w:szCs w:val="24"/>
          <w:highlight w:val="none"/>
          <w:lang w:eastAsia="zh-CN"/>
        </w:rPr>
        <w:t>重庆鸿兴招标代理有限公司</w:t>
      </w:r>
      <w:r>
        <w:rPr>
          <w:rFonts w:hint="eastAsia" w:ascii="宋体" w:hAnsi="宋体" w:cs="宋体"/>
          <w:color w:val="auto"/>
          <w:sz w:val="24"/>
          <w:szCs w:val="24"/>
          <w:highlight w:val="none"/>
        </w:rPr>
        <w:t>在五个工作日内按来款渠道直接退还。</w:t>
      </w:r>
    </w:p>
    <w:p w14:paraId="5A5371A7">
      <w:pPr>
        <w:snapToGrid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2.成交供应商的保证金，在成交供应商与采购人签订合同后，将合同原件送至代理机构备案；</w:t>
      </w:r>
      <w:r>
        <w:rPr>
          <w:rFonts w:hint="eastAsia" w:ascii="宋体" w:hAnsi="宋体" w:cs="宋体"/>
          <w:color w:val="auto"/>
          <w:sz w:val="24"/>
          <w:szCs w:val="24"/>
          <w:highlight w:val="none"/>
          <w:lang w:eastAsia="zh-CN"/>
        </w:rPr>
        <w:t>重庆鸿兴招标代理有限公司</w:t>
      </w:r>
      <w:r>
        <w:rPr>
          <w:rFonts w:hint="eastAsia" w:ascii="宋体" w:hAnsi="宋体" w:cs="宋体"/>
          <w:color w:val="auto"/>
          <w:sz w:val="24"/>
          <w:szCs w:val="24"/>
          <w:highlight w:val="none"/>
        </w:rPr>
        <w:t>在收到合同之日起五个工作日内按资金来款渠道直接退还。</w:t>
      </w:r>
    </w:p>
    <w:p w14:paraId="0A44381B">
      <w:pPr>
        <w:snapToGrid w:val="0"/>
        <w:spacing w:line="400" w:lineRule="exact"/>
        <w:ind w:firstLine="480" w:firstLineChars="200"/>
        <w:rPr>
          <w:rFonts w:hint="eastAsia" w:cs="宋体"/>
          <w:b/>
          <w:bCs/>
          <w:color w:val="auto"/>
          <w:sz w:val="24"/>
          <w:highlight w:val="none"/>
        </w:rPr>
      </w:pPr>
      <w:r>
        <w:rPr>
          <w:rFonts w:hint="eastAsia" w:ascii="宋体" w:hAnsi="宋体" w:cs="宋体"/>
          <w:color w:val="auto"/>
          <w:sz w:val="24"/>
          <w:szCs w:val="24"/>
          <w:highlight w:val="none"/>
          <w:lang w:eastAsia="zh-CN"/>
        </w:rPr>
        <w:t>重庆鸿兴招标代理有限公司</w:t>
      </w:r>
      <w:r>
        <w:rPr>
          <w:rFonts w:hint="eastAsia" w:ascii="宋体" w:hAnsi="宋体" w:cs="宋体"/>
          <w:color w:val="auto"/>
          <w:sz w:val="24"/>
          <w:szCs w:val="24"/>
          <w:highlight w:val="none"/>
        </w:rPr>
        <w:t>财务咨询电话：</w:t>
      </w:r>
      <w:r>
        <w:rPr>
          <w:rFonts w:hint="eastAsia" w:ascii="宋体" w:hAnsi="宋体" w:cs="宋体"/>
          <w:color w:val="auto"/>
          <w:sz w:val="24"/>
          <w:szCs w:val="24"/>
          <w:highlight w:val="none"/>
          <w:lang w:eastAsia="zh-CN"/>
        </w:rPr>
        <w:t>黄</w:t>
      </w:r>
      <w:r>
        <w:rPr>
          <w:rFonts w:hint="eastAsia" w:ascii="宋体" w:hAnsi="宋体" w:cs="宋体"/>
          <w:color w:val="auto"/>
          <w:sz w:val="24"/>
          <w:szCs w:val="24"/>
          <w:highlight w:val="none"/>
        </w:rPr>
        <w:t>老师023-43300991</w:t>
      </w:r>
    </w:p>
    <w:p w14:paraId="435442C9">
      <w:pPr>
        <w:pStyle w:val="4"/>
        <w:adjustRightInd w:val="0"/>
        <w:snapToGrid w:val="0"/>
        <w:spacing w:before="0" w:after="0" w:line="400" w:lineRule="exact"/>
        <w:ind w:firstLine="482"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六</w:t>
      </w:r>
      <w:r>
        <w:rPr>
          <w:rFonts w:hint="eastAsia" w:ascii="宋体" w:hAnsi="宋体" w:eastAsia="宋体" w:cs="宋体"/>
          <w:color w:val="auto"/>
          <w:sz w:val="24"/>
          <w:szCs w:val="24"/>
          <w:highlight w:val="none"/>
        </w:rPr>
        <w:t>、其它有关规定</w:t>
      </w:r>
      <w:bookmarkEnd w:id="14"/>
      <w:bookmarkEnd w:id="15"/>
      <w:bookmarkEnd w:id="16"/>
      <w:bookmarkEnd w:id="17"/>
      <w:bookmarkEnd w:id="18"/>
      <w:bookmarkEnd w:id="19"/>
      <w:bookmarkEnd w:id="20"/>
    </w:p>
    <w:p w14:paraId="1DEB17A8">
      <w:pPr>
        <w:snapToGrid w:val="0"/>
        <w:spacing w:line="40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（一）单位负责人为同一人或者存在直接控股、管理关系的不同供应商，不得参加同一合同项（包）下的</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活动，否则均为无效。</w:t>
      </w:r>
    </w:p>
    <w:p w14:paraId="7CA9FB99">
      <w:pPr>
        <w:snapToGrid w:val="0"/>
        <w:spacing w:line="40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（二）为采购项目提供整体设计、规范编制或者项目管理、监理、检测等服务的供应商，不得再参加该采购项目的</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活动。</w:t>
      </w:r>
    </w:p>
    <w:p w14:paraId="4494DEC8">
      <w:pPr>
        <w:snapToGrid w:val="0"/>
        <w:spacing w:line="40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（三）本项目在响应文件提交截止时间前发布的</w:t>
      </w: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rPr>
        <w:t>及补遗文件（如果有）一律在行采家·电子竞采（https://www.gec123.com/xe/）上发布，请各供应商无论下载与否，均视同供应商已知晓本项目</w:t>
      </w: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rPr>
        <w:t>、补遗文件（如果有）的内容。</w:t>
      </w:r>
    </w:p>
    <w:p w14:paraId="71EDF5E3">
      <w:pPr>
        <w:snapToGrid w:val="0"/>
        <w:spacing w:line="40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（五）超过响应文件截止时间递交的响应文件，恕不接收。</w:t>
      </w:r>
    </w:p>
    <w:p w14:paraId="7C9BC1D1">
      <w:pPr>
        <w:snapToGrid w:val="0"/>
        <w:spacing w:line="40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费用：无论</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结果如何，供应商参与本项目</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的所有费用均应由供应商自行承担。</w:t>
      </w:r>
    </w:p>
    <w:p w14:paraId="696CD8EF">
      <w:pPr>
        <w:snapToGrid w:val="0"/>
        <w:spacing w:line="40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（七）本项目不接受联合体参与，否则按无效处理。</w:t>
      </w:r>
    </w:p>
    <w:p w14:paraId="76C15C35">
      <w:pPr>
        <w:snapToGrid w:val="0"/>
        <w:spacing w:line="40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（八）本项目不接受合同分包，否则按无效处理。</w:t>
      </w:r>
    </w:p>
    <w:p w14:paraId="3FC1C246">
      <w:pPr>
        <w:snapToGrid w:val="0"/>
        <w:spacing w:line="40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九）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p>
    <w:p w14:paraId="172699DD">
      <w:pPr>
        <w:pStyle w:val="4"/>
        <w:adjustRightInd w:val="0"/>
        <w:snapToGrid w:val="0"/>
        <w:spacing w:before="0" w:after="0" w:line="400" w:lineRule="exact"/>
        <w:ind w:firstLine="482" w:firstLineChars="200"/>
        <w:rPr>
          <w:rFonts w:hint="eastAsia" w:ascii="宋体" w:hAnsi="宋体" w:eastAsia="宋体" w:cs="宋体"/>
          <w:color w:val="auto"/>
          <w:sz w:val="24"/>
          <w:szCs w:val="24"/>
          <w:highlight w:val="none"/>
        </w:rPr>
      </w:pPr>
      <w:bookmarkStart w:id="22" w:name="_Toc525047164"/>
      <w:bookmarkStart w:id="23" w:name="_Toc10415"/>
      <w:bookmarkStart w:id="24" w:name="_Toc65660337"/>
      <w:bookmarkStart w:id="25" w:name="_Toc1733"/>
      <w:bookmarkStart w:id="26" w:name="_Toc4826"/>
      <w:bookmarkStart w:id="27" w:name="_Toc521053056"/>
      <w:bookmarkStart w:id="28" w:name="_Toc29174"/>
      <w:r>
        <w:rPr>
          <w:rFonts w:hint="eastAsia" w:ascii="宋体" w:hAnsi="宋体" w:eastAsia="宋体" w:cs="宋体"/>
          <w:color w:val="auto"/>
          <w:sz w:val="24"/>
          <w:szCs w:val="24"/>
          <w:highlight w:val="none"/>
        </w:rPr>
        <w:t>七、联系方式</w:t>
      </w:r>
      <w:bookmarkEnd w:id="22"/>
      <w:bookmarkEnd w:id="23"/>
      <w:bookmarkEnd w:id="24"/>
      <w:bookmarkEnd w:id="25"/>
      <w:bookmarkEnd w:id="26"/>
      <w:bookmarkEnd w:id="27"/>
      <w:bookmarkEnd w:id="28"/>
    </w:p>
    <w:p w14:paraId="2CF5DD68">
      <w:pPr>
        <w:snapToGrid w:val="0"/>
        <w:spacing w:line="400" w:lineRule="exact"/>
        <w:ind w:firstLine="360" w:firstLineChars="15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（一）采购人：</w:t>
      </w:r>
      <w:r>
        <w:rPr>
          <w:rFonts w:hint="eastAsia" w:ascii="宋体" w:hAnsi="宋体" w:cs="宋体"/>
          <w:color w:val="auto"/>
          <w:sz w:val="24"/>
          <w:szCs w:val="24"/>
          <w:highlight w:val="none"/>
          <w:lang w:eastAsia="zh-CN"/>
        </w:rPr>
        <w:t>重庆市大足区财政局</w:t>
      </w:r>
    </w:p>
    <w:p w14:paraId="3CDFEB42">
      <w:pPr>
        <w:snapToGrid w:val="0"/>
        <w:spacing w:line="400" w:lineRule="exact"/>
        <w:ind w:firstLine="360" w:firstLineChars="15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联系人：</w:t>
      </w:r>
      <w:r>
        <w:rPr>
          <w:rFonts w:hint="eastAsia" w:ascii="宋体" w:hAnsi="宋体" w:cs="宋体"/>
          <w:color w:val="auto"/>
          <w:sz w:val="24"/>
          <w:szCs w:val="24"/>
          <w:highlight w:val="none"/>
          <w:lang w:eastAsia="zh-CN"/>
        </w:rPr>
        <w:t>姜老师</w:t>
      </w:r>
    </w:p>
    <w:p w14:paraId="03490B13">
      <w:pPr>
        <w:snapToGrid w:val="0"/>
        <w:spacing w:line="400" w:lineRule="exact"/>
        <w:ind w:firstLine="360" w:firstLineChars="15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电  话：</w:t>
      </w:r>
      <w:r>
        <w:rPr>
          <w:rFonts w:hint="eastAsia" w:ascii="宋体" w:hAnsi="宋体" w:cs="宋体"/>
          <w:color w:val="auto"/>
          <w:sz w:val="24"/>
          <w:szCs w:val="24"/>
          <w:highlight w:val="none"/>
          <w:lang w:val="en-US" w:eastAsia="zh-CN"/>
        </w:rPr>
        <w:t>18996299949</w:t>
      </w:r>
    </w:p>
    <w:p w14:paraId="6058FC00">
      <w:pPr>
        <w:snapToGrid w:val="0"/>
        <w:spacing w:line="40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  址：重庆市大足区龙岗街道报恩路230号</w:t>
      </w:r>
    </w:p>
    <w:p w14:paraId="58C963DC">
      <w:pPr>
        <w:snapToGrid w:val="0"/>
        <w:spacing w:line="400" w:lineRule="exact"/>
        <w:ind w:firstLine="360" w:firstLineChars="15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（二）采购代理机构：</w:t>
      </w:r>
      <w:r>
        <w:rPr>
          <w:rFonts w:hint="eastAsia" w:ascii="宋体" w:hAnsi="宋体" w:cs="宋体"/>
          <w:color w:val="auto"/>
          <w:sz w:val="24"/>
          <w:szCs w:val="24"/>
          <w:highlight w:val="none"/>
          <w:lang w:eastAsia="zh-CN"/>
        </w:rPr>
        <w:t>重庆鸿兴招标代理有限公司</w:t>
      </w:r>
    </w:p>
    <w:p w14:paraId="0E1E3093">
      <w:pPr>
        <w:snapToGrid w:val="0"/>
        <w:spacing w:line="400" w:lineRule="exact"/>
        <w:ind w:firstLine="360" w:firstLineChars="15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联系人：</w:t>
      </w:r>
      <w:r>
        <w:rPr>
          <w:rFonts w:hint="eastAsia" w:ascii="宋体" w:hAnsi="宋体" w:cs="宋体"/>
          <w:color w:val="auto"/>
          <w:sz w:val="24"/>
          <w:szCs w:val="24"/>
          <w:highlight w:val="none"/>
          <w:lang w:val="en-US" w:eastAsia="zh-CN"/>
        </w:rPr>
        <w:t>于</w:t>
      </w:r>
      <w:bookmarkStart w:id="189" w:name="_GoBack"/>
      <w:bookmarkEnd w:id="189"/>
      <w:r>
        <w:rPr>
          <w:rFonts w:hint="eastAsia" w:ascii="宋体" w:hAnsi="宋体" w:eastAsia="宋体" w:cs="宋体"/>
          <w:color w:val="auto"/>
          <w:sz w:val="24"/>
          <w:szCs w:val="24"/>
          <w:highlight w:val="none"/>
          <w:lang w:eastAsia="zh-CN"/>
        </w:rPr>
        <w:t>老师</w:t>
      </w:r>
    </w:p>
    <w:p w14:paraId="677B64EC">
      <w:pPr>
        <w:snapToGrid w:val="0"/>
        <w:spacing w:line="400" w:lineRule="exact"/>
        <w:ind w:firstLine="360" w:firstLineChars="15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lang w:val="en-US" w:eastAsia="zh-CN"/>
        </w:rPr>
        <w:t>023-43764688</w:t>
      </w:r>
      <w:r>
        <w:rPr>
          <w:rFonts w:hint="eastAsia" w:ascii="宋体" w:hAnsi="宋体" w:cs="宋体"/>
          <w:color w:val="auto"/>
          <w:sz w:val="24"/>
          <w:szCs w:val="24"/>
          <w:highlight w:val="none"/>
          <w:lang w:val="en-US" w:eastAsia="zh-CN"/>
        </w:rPr>
        <w:t xml:space="preserve"> 19942219281</w:t>
      </w:r>
    </w:p>
    <w:p w14:paraId="4A5C2BC2">
      <w:pPr>
        <w:snapToGrid w:val="0"/>
        <w:spacing w:line="400" w:lineRule="exact"/>
        <w:ind w:firstLine="360" w:firstLineChars="15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地  址：</w:t>
      </w:r>
      <w:r>
        <w:rPr>
          <w:rFonts w:hint="eastAsia" w:ascii="宋体" w:hAnsi="宋体" w:eastAsia="宋体" w:cs="宋体"/>
          <w:color w:val="auto"/>
          <w:sz w:val="24"/>
          <w:szCs w:val="24"/>
          <w:highlight w:val="none"/>
          <w:lang w:eastAsia="zh-CN"/>
        </w:rPr>
        <w:t>重庆市大足区宏声北路</w:t>
      </w:r>
      <w:r>
        <w:rPr>
          <w:rFonts w:hint="eastAsia" w:ascii="宋体" w:hAnsi="宋体" w:eastAsia="宋体" w:cs="宋体"/>
          <w:color w:val="auto"/>
          <w:sz w:val="24"/>
          <w:szCs w:val="24"/>
          <w:highlight w:val="none"/>
          <w:lang w:val="en-US" w:eastAsia="zh-CN"/>
        </w:rPr>
        <w:t>12号</w:t>
      </w:r>
    </w:p>
    <w:p w14:paraId="6F673F13">
      <w:pPr>
        <w:snapToGrid w:val="0"/>
        <w:spacing w:line="400" w:lineRule="exact"/>
        <w:ind w:firstLine="360" w:firstLineChars="150"/>
        <w:rPr>
          <w:rFonts w:hint="eastAsia" w:ascii="宋体" w:hAnsi="宋体" w:eastAsia="宋体" w:cs="宋体"/>
          <w:color w:val="auto"/>
          <w:sz w:val="24"/>
          <w:szCs w:val="24"/>
          <w:highlight w:val="none"/>
        </w:rPr>
        <w:sectPr>
          <w:headerReference r:id="rId5" w:type="default"/>
          <w:pgSz w:w="11907" w:h="16840"/>
          <w:pgMar w:top="1134" w:right="1418" w:bottom="1134" w:left="1418" w:header="964" w:footer="992" w:gutter="0"/>
          <w:pgBorders>
            <w:top w:val="none" w:sz="0" w:space="0"/>
            <w:left w:val="none" w:sz="0" w:space="0"/>
            <w:bottom w:val="none" w:sz="0" w:space="0"/>
            <w:right w:val="none" w:sz="0" w:space="0"/>
          </w:pgBorders>
          <w:pgNumType w:fmt="numberInDash"/>
          <w:cols w:space="720" w:num="1"/>
          <w:docGrid w:linePitch="312" w:charSpace="0"/>
        </w:sectPr>
      </w:pPr>
    </w:p>
    <w:p w14:paraId="5296B1D5">
      <w:pPr>
        <w:pStyle w:val="4"/>
        <w:spacing w:before="0" w:after="0" w:line="360" w:lineRule="auto"/>
        <w:jc w:val="center"/>
        <w:rPr>
          <w:rFonts w:hint="eastAsia" w:ascii="宋体" w:hAnsi="宋体" w:eastAsia="宋体" w:cs="宋体"/>
          <w:b/>
          <w:bCs/>
          <w:color w:val="auto"/>
          <w:sz w:val="36"/>
          <w:szCs w:val="30"/>
          <w:highlight w:val="none"/>
        </w:rPr>
      </w:pPr>
      <w:bookmarkStart w:id="29" w:name="_Toc23299"/>
      <w:r>
        <w:rPr>
          <w:rFonts w:hint="eastAsia" w:ascii="宋体" w:hAnsi="宋体" w:eastAsia="宋体" w:cs="宋体"/>
          <w:b/>
          <w:bCs/>
          <w:color w:val="auto"/>
          <w:sz w:val="36"/>
          <w:szCs w:val="30"/>
          <w:highlight w:val="none"/>
        </w:rPr>
        <w:t>第二篇  项目</w:t>
      </w:r>
      <w:r>
        <w:rPr>
          <w:rFonts w:hint="eastAsia" w:ascii="宋体" w:hAnsi="宋体" w:eastAsia="宋体" w:cs="宋体"/>
          <w:b/>
          <w:bCs/>
          <w:color w:val="auto"/>
          <w:sz w:val="36"/>
          <w:szCs w:val="30"/>
          <w:highlight w:val="none"/>
          <w:lang w:eastAsia="zh-CN"/>
        </w:rPr>
        <w:t>服务</w:t>
      </w:r>
      <w:r>
        <w:rPr>
          <w:rFonts w:hint="eastAsia" w:ascii="宋体" w:hAnsi="宋体" w:eastAsia="宋体" w:cs="宋体"/>
          <w:b/>
          <w:bCs/>
          <w:color w:val="auto"/>
          <w:sz w:val="36"/>
          <w:szCs w:val="30"/>
          <w:highlight w:val="none"/>
        </w:rPr>
        <w:t>需求</w:t>
      </w:r>
      <w:bookmarkEnd w:id="29"/>
    </w:p>
    <w:p w14:paraId="03F39455">
      <w:pPr>
        <w:spacing w:line="360" w:lineRule="auto"/>
        <w:rPr>
          <w:rFonts w:hint="eastAsia"/>
          <w:color w:val="auto"/>
          <w:highlight w:val="none"/>
        </w:rPr>
      </w:pPr>
      <w:r>
        <w:rPr>
          <w:rFonts w:hint="eastAsia" w:ascii="宋体" w:hAnsi="宋体" w:cs="宋体"/>
          <w:b/>
          <w:bCs/>
          <w:color w:val="auto"/>
          <w:sz w:val="24"/>
          <w:szCs w:val="24"/>
          <w:highlight w:val="none"/>
        </w:rPr>
        <w:t>注：本篇服务需求均为符合性审查中的实质性要求，响应文件若不满足按无效处理。</w:t>
      </w:r>
    </w:p>
    <w:p w14:paraId="64A7E6F2">
      <w:pPr>
        <w:pStyle w:val="4"/>
        <w:adjustRightInd w:val="0"/>
        <w:snapToGrid w:val="0"/>
        <w:spacing w:before="0" w:after="0" w:line="400" w:lineRule="exact"/>
        <w:ind w:firstLine="482" w:firstLineChars="200"/>
        <w:rPr>
          <w:rFonts w:hint="eastAsia" w:ascii="宋体" w:hAnsi="宋体" w:eastAsia="宋体" w:cs="宋体"/>
          <w:color w:val="auto"/>
          <w:sz w:val="24"/>
          <w:highlight w:val="none"/>
        </w:rPr>
      </w:pPr>
      <w:bookmarkStart w:id="30" w:name="_Toc18345"/>
      <w:r>
        <w:rPr>
          <w:rFonts w:hint="eastAsia" w:ascii="宋体" w:hAnsi="宋体" w:eastAsia="宋体" w:cs="宋体"/>
          <w:color w:val="auto"/>
          <w:sz w:val="24"/>
          <w:highlight w:val="none"/>
        </w:rPr>
        <w:t>一、项目基本概况</w:t>
      </w:r>
      <w:bookmarkEnd w:id="30"/>
    </w:p>
    <w:tbl>
      <w:tblPr>
        <w:tblStyle w:val="24"/>
        <w:tblW w:w="8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81"/>
        <w:gridCol w:w="2015"/>
        <w:gridCol w:w="1762"/>
      </w:tblGrid>
      <w:tr w14:paraId="4AC76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4881" w:type="dxa"/>
            <w:tcBorders>
              <w:top w:val="single" w:color="auto" w:sz="4" w:space="0"/>
              <w:left w:val="single" w:color="auto" w:sz="4" w:space="0"/>
              <w:bottom w:val="single" w:color="auto" w:sz="4" w:space="0"/>
              <w:right w:val="single" w:color="auto" w:sz="4" w:space="0"/>
            </w:tcBorders>
            <w:noWrap w:val="0"/>
            <w:vAlign w:val="center"/>
          </w:tcPr>
          <w:p w14:paraId="45BCCDDC">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kern w:val="0"/>
                <w:sz w:val="24"/>
                <w:szCs w:val="24"/>
                <w:highlight w:val="none"/>
                <w:lang w:val="en-US" w:eastAsia="zh-CN" w:bidi="ar-SA"/>
              </w:rPr>
            </w:pPr>
            <w:bookmarkStart w:id="31" w:name="_Toc513627036"/>
            <w:r>
              <w:rPr>
                <w:rFonts w:hint="eastAsia" w:ascii="宋体" w:hAnsi="宋体" w:eastAsia="宋体" w:cs="宋体"/>
                <w:b/>
                <w:bCs/>
                <w:color w:val="auto"/>
                <w:kern w:val="0"/>
                <w:sz w:val="24"/>
                <w:szCs w:val="24"/>
                <w:highlight w:val="none"/>
                <w:lang w:val="en-US" w:eastAsia="zh-CN" w:bidi="ar-SA"/>
              </w:rPr>
              <w:t>项目名称</w:t>
            </w:r>
          </w:p>
        </w:tc>
        <w:tc>
          <w:tcPr>
            <w:tcW w:w="2015" w:type="dxa"/>
            <w:tcBorders>
              <w:top w:val="single" w:color="auto" w:sz="4" w:space="0"/>
              <w:left w:val="nil"/>
              <w:bottom w:val="single" w:color="auto" w:sz="4" w:space="0"/>
              <w:right w:val="single" w:color="auto" w:sz="4" w:space="0"/>
            </w:tcBorders>
            <w:noWrap w:val="0"/>
            <w:vAlign w:val="center"/>
          </w:tcPr>
          <w:p w14:paraId="531479CF">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数量/单位</w:t>
            </w:r>
          </w:p>
        </w:tc>
        <w:tc>
          <w:tcPr>
            <w:tcW w:w="1762" w:type="dxa"/>
            <w:tcBorders>
              <w:top w:val="single" w:color="auto" w:sz="4" w:space="0"/>
              <w:left w:val="nil"/>
              <w:bottom w:val="single" w:color="auto" w:sz="4" w:space="0"/>
              <w:right w:val="single" w:color="auto" w:sz="4" w:space="0"/>
            </w:tcBorders>
            <w:noWrap w:val="0"/>
            <w:vAlign w:val="center"/>
          </w:tcPr>
          <w:p w14:paraId="2593A09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kern w:val="0"/>
                <w:sz w:val="24"/>
                <w:szCs w:val="24"/>
                <w:highlight w:val="none"/>
                <w:lang w:val="en-US" w:eastAsia="zh-CN" w:bidi="ar-SA"/>
              </w:rPr>
              <w:t>备注</w:t>
            </w:r>
          </w:p>
        </w:tc>
      </w:tr>
      <w:tr w14:paraId="2F4AA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4881" w:type="dxa"/>
            <w:tcBorders>
              <w:top w:val="single" w:color="auto" w:sz="4" w:space="0"/>
              <w:left w:val="single" w:color="auto" w:sz="4" w:space="0"/>
              <w:bottom w:val="single" w:color="auto" w:sz="4" w:space="0"/>
              <w:right w:val="single" w:color="auto" w:sz="4" w:space="0"/>
            </w:tcBorders>
            <w:noWrap w:val="0"/>
            <w:vAlign w:val="center"/>
          </w:tcPr>
          <w:p w14:paraId="5FBE81F9">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重庆市大足区财政局购买食堂劳务服务</w:t>
            </w:r>
          </w:p>
        </w:tc>
        <w:tc>
          <w:tcPr>
            <w:tcW w:w="2015" w:type="dxa"/>
            <w:tcBorders>
              <w:top w:val="single" w:color="auto" w:sz="4" w:space="0"/>
              <w:left w:val="nil"/>
              <w:bottom w:val="single" w:color="auto" w:sz="4" w:space="0"/>
              <w:right w:val="single" w:color="auto" w:sz="4" w:space="0"/>
            </w:tcBorders>
            <w:noWrap w:val="0"/>
            <w:vAlign w:val="center"/>
          </w:tcPr>
          <w:p w14:paraId="4492EF2E">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sz w:val="24"/>
                <w:szCs w:val="24"/>
                <w:highlight w:val="none"/>
                <w:lang w:val="en-US" w:eastAsia="zh-CN" w:bidi="ar-SA"/>
              </w:rPr>
            </w:pPr>
            <w:r>
              <w:rPr>
                <w:rFonts w:hint="eastAsia" w:ascii="宋体" w:hAnsi="宋体" w:cs="宋体"/>
                <w:color w:val="auto"/>
                <w:sz w:val="24"/>
                <w:szCs w:val="24"/>
                <w:highlight w:val="none"/>
                <w:lang w:val="en-US" w:eastAsia="zh-CN" w:bidi="ar-SA"/>
              </w:rPr>
              <w:t>1项</w:t>
            </w:r>
          </w:p>
        </w:tc>
        <w:tc>
          <w:tcPr>
            <w:tcW w:w="1762" w:type="dxa"/>
            <w:tcBorders>
              <w:top w:val="single" w:color="auto" w:sz="4" w:space="0"/>
              <w:left w:val="nil"/>
              <w:bottom w:val="single" w:color="auto" w:sz="4" w:space="0"/>
              <w:right w:val="single" w:color="auto" w:sz="4" w:space="0"/>
            </w:tcBorders>
            <w:noWrap w:val="0"/>
            <w:vAlign w:val="center"/>
          </w:tcPr>
          <w:p w14:paraId="0A0ECFD1">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lang w:val="en-US" w:eastAsia="zh-CN" w:bidi="ar-SA"/>
              </w:rPr>
            </w:pPr>
          </w:p>
        </w:tc>
      </w:tr>
      <w:bookmarkEnd w:id="31"/>
    </w:tbl>
    <w:p w14:paraId="3ECF9FC5">
      <w:pPr>
        <w:pStyle w:val="4"/>
        <w:pageBreakBefore w:val="0"/>
        <w:widowControl w:val="0"/>
        <w:kinsoku/>
        <w:wordWrap/>
        <w:overflowPunct/>
        <w:topLinePunct w:val="0"/>
        <w:bidi w:val="0"/>
        <w:adjustRightInd w:val="0"/>
        <w:snapToGrid w:val="0"/>
        <w:spacing w:before="0" w:after="0" w:line="400" w:lineRule="exact"/>
        <w:ind w:left="0" w:leftChars="0" w:firstLine="482"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二、采购需求内容</w:t>
      </w:r>
    </w:p>
    <w:p w14:paraId="3CDA1DB0">
      <w:pPr>
        <w:keepNext w:val="0"/>
        <w:keepLines w:val="0"/>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b/>
          <w:bCs/>
          <w:color w:val="auto"/>
          <w:sz w:val="24"/>
          <w:szCs w:val="18"/>
          <w:highlight w:val="none"/>
        </w:rPr>
      </w:pPr>
      <w:bookmarkStart w:id="32" w:name="_Toc6175"/>
      <w:r>
        <w:rPr>
          <w:rFonts w:hint="eastAsia" w:ascii="宋体" w:hAnsi="宋体" w:eastAsia="宋体" w:cs="宋体"/>
          <w:b/>
          <w:bCs/>
          <w:color w:val="auto"/>
          <w:sz w:val="24"/>
          <w:szCs w:val="18"/>
          <w:highlight w:val="none"/>
        </w:rPr>
        <w:t>（一）项目概况</w:t>
      </w:r>
    </w:p>
    <w:p w14:paraId="050B3FA6">
      <w:pPr>
        <w:keepNext w:val="0"/>
        <w:keepLines w:val="0"/>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rPr>
        <w:t>重庆市大足区财政局日用餐人数为100人左右。此次食堂劳务外包采取购买服务方式。采购方负责提供相关设施设备并及时进行维护维修、食品等原材料采购及库房管理；供应商按采购方案提供厨房员工服务，负责设施设备及餐具使用过程的清洁维护，负责原材料使用、食品加工和用餐服务，保证采购方人员按时就餐，做到及时、卫生、安全、营养、节约、热情、周到。</w:t>
      </w:r>
    </w:p>
    <w:p w14:paraId="5B22B5C1">
      <w:pPr>
        <w:keepNext w:val="0"/>
        <w:keepLines w:val="0"/>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b/>
          <w:bCs/>
          <w:color w:val="auto"/>
          <w:sz w:val="24"/>
          <w:szCs w:val="18"/>
          <w:highlight w:val="none"/>
        </w:rPr>
      </w:pPr>
      <w:r>
        <w:rPr>
          <w:rFonts w:hint="eastAsia" w:ascii="宋体" w:hAnsi="宋体" w:eastAsia="宋体" w:cs="宋体"/>
          <w:b/>
          <w:bCs/>
          <w:color w:val="auto"/>
          <w:sz w:val="24"/>
          <w:szCs w:val="18"/>
          <w:highlight w:val="none"/>
        </w:rPr>
        <w:t>（二）服务内容需求</w:t>
      </w:r>
    </w:p>
    <w:p w14:paraId="3637659D">
      <w:pPr>
        <w:keepNext w:val="0"/>
        <w:keepLines w:val="0"/>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rPr>
        <w:t xml:space="preserve"> 1.用餐类别</w:t>
      </w:r>
    </w:p>
    <w:p w14:paraId="1AC33547">
      <w:pPr>
        <w:keepNext w:val="0"/>
        <w:keepLines w:val="0"/>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rPr>
        <w:t>（1）日常就餐服务：工作日须提供职工餐厅的早、午餐。供餐任务根据需要可能变化、增加或节假日需提供服务，不另计费用。</w:t>
      </w:r>
    </w:p>
    <w:p w14:paraId="1E02090E">
      <w:pPr>
        <w:keepNext w:val="0"/>
        <w:keepLines w:val="0"/>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rPr>
        <w:t>（2）接待餐服务：中标人应做好接待餐服务，供餐和服务质量须满足招标单位要求。因需要节假日有临餐任务的，不另计费用。</w:t>
      </w:r>
    </w:p>
    <w:p w14:paraId="2F57A938">
      <w:pPr>
        <w:keepNext w:val="0"/>
        <w:keepLines w:val="0"/>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rPr>
        <w:t xml:space="preserve"> （3）应急保障就餐服务：如有突发状况需要安排供餐，或外出提供就餐服务的，中标商应及时进行供餐保障，不另计费用。</w:t>
      </w:r>
    </w:p>
    <w:p w14:paraId="5B8E5F1D">
      <w:pPr>
        <w:keepNext w:val="0"/>
        <w:keepLines w:val="0"/>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rPr>
        <w:t xml:space="preserve"> 2.用餐菜品及人员要求</w:t>
      </w:r>
    </w:p>
    <w:p w14:paraId="20294136">
      <w:pPr>
        <w:keepNext w:val="0"/>
        <w:keepLines w:val="0"/>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rPr>
        <w:t>（1）早餐要求</w:t>
      </w:r>
    </w:p>
    <w:p w14:paraId="5133CA3D">
      <w:pPr>
        <w:keepNext w:val="0"/>
        <w:keepLines w:val="0"/>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rPr>
        <w:t>早餐菜品：主食（面条、包子、馒头、稀饭等），副食（豆浆、鸡蛋、小菜、咸菜等）。</w:t>
      </w:r>
    </w:p>
    <w:p w14:paraId="2BE16406">
      <w:pPr>
        <w:keepNext w:val="0"/>
        <w:keepLines w:val="0"/>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rPr>
        <w:t>就餐时间：8:00-8:50</w:t>
      </w:r>
    </w:p>
    <w:p w14:paraId="29FE2EEF">
      <w:pPr>
        <w:keepNext w:val="0"/>
        <w:keepLines w:val="0"/>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rPr>
        <w:t>（2）午餐要求</w:t>
      </w:r>
    </w:p>
    <w:p w14:paraId="72066D66">
      <w:pPr>
        <w:keepNext w:val="0"/>
        <w:keepLines w:val="0"/>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rPr>
        <w:t>午餐菜品：主食（米饭、杂粮），副食（三荤</w:t>
      </w:r>
      <w:r>
        <w:rPr>
          <w:rFonts w:hint="eastAsia" w:ascii="宋体" w:hAnsi="宋体" w:eastAsia="宋体" w:cs="宋体"/>
          <w:color w:val="auto"/>
          <w:sz w:val="24"/>
          <w:szCs w:val="18"/>
          <w:highlight w:val="none"/>
          <w:lang w:eastAsia="zh-CN"/>
        </w:rPr>
        <w:t>二</w:t>
      </w:r>
      <w:r>
        <w:rPr>
          <w:rFonts w:hint="eastAsia" w:ascii="宋体" w:hAnsi="宋体" w:eastAsia="宋体" w:cs="宋体"/>
          <w:color w:val="auto"/>
          <w:sz w:val="24"/>
          <w:szCs w:val="18"/>
          <w:highlight w:val="none"/>
        </w:rPr>
        <w:t>素一汤）。</w:t>
      </w:r>
    </w:p>
    <w:p w14:paraId="3B1B0BB2">
      <w:pPr>
        <w:keepNext w:val="0"/>
        <w:keepLines w:val="0"/>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rPr>
        <w:t>就餐时间：12:10-12:40</w:t>
      </w:r>
    </w:p>
    <w:p w14:paraId="1154A834">
      <w:pPr>
        <w:keepNext w:val="0"/>
        <w:keepLines w:val="0"/>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lang w:val="en-US" w:eastAsia="zh-CN"/>
        </w:rPr>
        <w:t>3.</w:t>
      </w:r>
      <w:r>
        <w:rPr>
          <w:rFonts w:hint="eastAsia" w:ascii="宋体" w:hAnsi="宋体" w:eastAsia="宋体" w:cs="宋体"/>
          <w:color w:val="auto"/>
          <w:sz w:val="24"/>
          <w:szCs w:val="18"/>
          <w:highlight w:val="none"/>
        </w:rPr>
        <w:t>原材料及调味辅料购买方式</w:t>
      </w:r>
    </w:p>
    <w:p w14:paraId="12844903">
      <w:pPr>
        <w:keepNext w:val="0"/>
        <w:keepLines w:val="0"/>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rPr>
        <w:t>所有原材料、调味辅料及保洁器具均由采购方购买，</w:t>
      </w:r>
      <w:r>
        <w:rPr>
          <w:rFonts w:hint="eastAsia" w:ascii="宋体" w:hAnsi="宋体" w:eastAsia="宋体" w:cs="宋体"/>
          <w:color w:val="auto"/>
          <w:sz w:val="24"/>
          <w:szCs w:val="18"/>
          <w:highlight w:val="none"/>
          <w:lang w:eastAsia="zh-CN"/>
        </w:rPr>
        <w:t>供应商</w:t>
      </w:r>
      <w:r>
        <w:rPr>
          <w:rFonts w:hint="eastAsia" w:ascii="宋体" w:hAnsi="宋体" w:eastAsia="宋体" w:cs="宋体"/>
          <w:color w:val="auto"/>
          <w:sz w:val="24"/>
          <w:szCs w:val="18"/>
          <w:highlight w:val="none"/>
        </w:rPr>
        <w:t>须每周四提出下一周菜谱及采购计划。</w:t>
      </w:r>
    </w:p>
    <w:p w14:paraId="3631AC47">
      <w:pPr>
        <w:keepNext w:val="0"/>
        <w:keepLines w:val="0"/>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rPr>
        <w:t>4.供应商人员配置及团队管理要求</w:t>
      </w:r>
    </w:p>
    <w:p w14:paraId="1B17AC93">
      <w:pPr>
        <w:keepNext w:val="0"/>
        <w:keepLines w:val="0"/>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rPr>
        <w:t>（1）食堂</w:t>
      </w:r>
      <w:r>
        <w:rPr>
          <w:rFonts w:hint="eastAsia" w:ascii="宋体" w:hAnsi="宋体" w:eastAsia="宋体" w:cs="宋体"/>
          <w:color w:val="auto"/>
          <w:sz w:val="24"/>
          <w:szCs w:val="18"/>
          <w:highlight w:val="none"/>
          <w:lang w:eastAsia="zh-CN"/>
        </w:rPr>
        <w:t>团队</w:t>
      </w:r>
      <w:r>
        <w:rPr>
          <w:rFonts w:hint="eastAsia" w:ascii="宋体" w:hAnsi="宋体" w:eastAsia="宋体" w:cs="宋体"/>
          <w:color w:val="auto"/>
          <w:sz w:val="24"/>
          <w:szCs w:val="18"/>
          <w:highlight w:val="none"/>
        </w:rPr>
        <w:t>人员</w:t>
      </w:r>
      <w:r>
        <w:rPr>
          <w:rFonts w:hint="eastAsia" w:ascii="宋体" w:hAnsi="宋体" w:eastAsia="宋体" w:cs="宋体"/>
          <w:color w:val="auto"/>
          <w:sz w:val="24"/>
          <w:szCs w:val="18"/>
          <w:highlight w:val="none"/>
          <w:lang w:eastAsia="zh-CN"/>
        </w:rPr>
        <w:t>不少于</w:t>
      </w:r>
      <w:r>
        <w:rPr>
          <w:rFonts w:hint="eastAsia" w:ascii="宋体" w:hAnsi="宋体" w:eastAsia="宋体" w:cs="宋体"/>
          <w:color w:val="auto"/>
          <w:sz w:val="24"/>
          <w:szCs w:val="18"/>
          <w:highlight w:val="none"/>
          <w:lang w:val="en-US" w:eastAsia="zh-CN"/>
        </w:rPr>
        <w:t>4人</w:t>
      </w:r>
      <w:r>
        <w:rPr>
          <w:rFonts w:hint="eastAsia" w:ascii="宋体" w:hAnsi="宋体" w:cs="宋体"/>
          <w:color w:val="auto"/>
          <w:sz w:val="24"/>
          <w:szCs w:val="18"/>
          <w:highlight w:val="none"/>
          <w:lang w:val="en-US" w:eastAsia="zh-CN"/>
        </w:rPr>
        <w:t>，主厨需持有有效的厨师证。</w:t>
      </w:r>
    </w:p>
    <w:p w14:paraId="50A010A8">
      <w:pPr>
        <w:keepNext w:val="0"/>
        <w:keepLines w:val="0"/>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rPr>
        <w:t>（2）所有人员要求身体健康，并持有有效健康合格证，相关体检费用由供应商负责。</w:t>
      </w:r>
    </w:p>
    <w:p w14:paraId="77400B78">
      <w:pPr>
        <w:keepNext w:val="0"/>
        <w:keepLines w:val="0"/>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rPr>
        <w:t>（3）供应商应对所有员工登记造册进行档案管理，员工须统一着装。</w:t>
      </w:r>
    </w:p>
    <w:p w14:paraId="76E24350">
      <w:pPr>
        <w:keepNext w:val="0"/>
        <w:keepLines w:val="0"/>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b/>
          <w:bCs/>
          <w:color w:val="auto"/>
          <w:sz w:val="24"/>
          <w:szCs w:val="18"/>
          <w:highlight w:val="none"/>
          <w:lang w:eastAsia="zh-CN"/>
        </w:rPr>
      </w:pPr>
      <w:r>
        <w:rPr>
          <w:rFonts w:hint="eastAsia" w:ascii="宋体" w:hAnsi="宋体" w:eastAsia="宋体" w:cs="宋体"/>
          <w:b/>
          <w:bCs/>
          <w:color w:val="auto"/>
          <w:sz w:val="24"/>
          <w:szCs w:val="18"/>
          <w:highlight w:val="none"/>
          <w:lang w:eastAsia="zh-CN"/>
        </w:rPr>
        <w:t>（三）劳动纪律</w:t>
      </w:r>
    </w:p>
    <w:p w14:paraId="3C00ED98">
      <w:pPr>
        <w:keepNext w:val="0"/>
        <w:keepLines w:val="0"/>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4"/>
          <w:szCs w:val="18"/>
          <w:highlight w:val="none"/>
          <w:lang w:val="en-US" w:eastAsia="zh-CN"/>
        </w:rPr>
      </w:pPr>
      <w:r>
        <w:rPr>
          <w:rFonts w:hint="eastAsia" w:ascii="宋体" w:hAnsi="宋体" w:eastAsia="宋体" w:cs="宋体"/>
          <w:color w:val="auto"/>
          <w:sz w:val="24"/>
          <w:szCs w:val="18"/>
          <w:highlight w:val="none"/>
          <w:lang w:val="en-US" w:eastAsia="zh-CN"/>
        </w:rPr>
        <w:t>1.供应商应遵守国家法律、法规和采购人依法制定的各项规章制度；严格遵守劳动安全卫生，操作规程和工作规范；爱护采购人财产，遵守职业道德；服从采购人的管理。</w:t>
      </w:r>
    </w:p>
    <w:p w14:paraId="14FA95D3">
      <w:pPr>
        <w:keepNext w:val="0"/>
        <w:keepLines w:val="0"/>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4"/>
          <w:szCs w:val="18"/>
          <w:highlight w:val="none"/>
          <w:lang w:val="en-US" w:eastAsia="zh-CN"/>
        </w:rPr>
      </w:pPr>
      <w:r>
        <w:rPr>
          <w:rFonts w:hint="eastAsia" w:ascii="宋体" w:hAnsi="宋体" w:eastAsia="宋体" w:cs="宋体"/>
          <w:color w:val="auto"/>
          <w:sz w:val="24"/>
          <w:szCs w:val="18"/>
          <w:highlight w:val="none"/>
          <w:lang w:val="en-US" w:eastAsia="zh-CN"/>
        </w:rPr>
        <w:t>2.供应商违反劳动纪律，采购人可依据国家法律、法规和项目部相关规章制度，给予纪律处分、经济处分，直至解除劳务承包协议。</w:t>
      </w:r>
    </w:p>
    <w:p w14:paraId="7231A5D3">
      <w:pPr>
        <w:keepNext w:val="0"/>
        <w:keepLines w:val="0"/>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b/>
          <w:bCs/>
          <w:color w:val="auto"/>
          <w:sz w:val="24"/>
          <w:szCs w:val="18"/>
          <w:highlight w:val="none"/>
          <w:lang w:val="en-US" w:eastAsia="zh-CN"/>
        </w:rPr>
      </w:pPr>
      <w:r>
        <w:rPr>
          <w:rFonts w:hint="eastAsia" w:ascii="宋体" w:hAnsi="宋体" w:eastAsia="宋体" w:cs="宋体"/>
          <w:b/>
          <w:bCs/>
          <w:color w:val="auto"/>
          <w:sz w:val="24"/>
          <w:szCs w:val="18"/>
          <w:highlight w:val="none"/>
          <w:lang w:val="en-US" w:eastAsia="zh-CN"/>
        </w:rPr>
        <w:t>（四）其他要求</w:t>
      </w:r>
    </w:p>
    <w:p w14:paraId="01907015">
      <w:pPr>
        <w:keepNext w:val="0"/>
        <w:keepLines w:val="0"/>
        <w:pageBreakBefore w:val="0"/>
        <w:widowControl/>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lang w:val="en-US" w:eastAsia="zh-CN"/>
        </w:rPr>
        <w:t>1.供应商</w:t>
      </w:r>
      <w:r>
        <w:rPr>
          <w:rFonts w:hint="eastAsia" w:ascii="宋体" w:hAnsi="宋体" w:eastAsia="宋体" w:cs="宋体"/>
          <w:color w:val="auto"/>
          <w:sz w:val="24"/>
          <w:szCs w:val="18"/>
          <w:highlight w:val="none"/>
        </w:rPr>
        <w:t>承诺其身体健康，能够胜任食堂劳务工作，所有劳务人员每半年进行常规体检一次（向采购人提供体检报告）。</w:t>
      </w:r>
    </w:p>
    <w:p w14:paraId="51165C3A">
      <w:pPr>
        <w:keepNext w:val="0"/>
        <w:keepLines w:val="0"/>
        <w:pageBreakBefore w:val="0"/>
        <w:widowControl/>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lang w:val="en-US" w:eastAsia="zh-CN"/>
        </w:rPr>
        <w:t>2.供应商</w:t>
      </w:r>
      <w:r>
        <w:rPr>
          <w:rFonts w:hint="eastAsia" w:ascii="宋体" w:hAnsi="宋体" w:eastAsia="宋体" w:cs="宋体"/>
          <w:color w:val="auto"/>
          <w:sz w:val="24"/>
          <w:szCs w:val="18"/>
          <w:highlight w:val="none"/>
        </w:rPr>
        <w:t>保证食品的清洁、卫生、新鲜、无腐烂。如果因</w:t>
      </w:r>
      <w:r>
        <w:rPr>
          <w:rFonts w:hint="eastAsia" w:ascii="宋体" w:hAnsi="宋体" w:eastAsia="宋体" w:cs="宋体"/>
          <w:color w:val="auto"/>
          <w:sz w:val="24"/>
          <w:szCs w:val="18"/>
          <w:highlight w:val="none"/>
          <w:lang w:val="en-US" w:eastAsia="zh-CN"/>
        </w:rPr>
        <w:t>供应商</w:t>
      </w:r>
      <w:r>
        <w:rPr>
          <w:rFonts w:hint="eastAsia" w:ascii="宋体" w:hAnsi="宋体" w:eastAsia="宋体" w:cs="宋体"/>
          <w:color w:val="auto"/>
          <w:sz w:val="24"/>
          <w:szCs w:val="18"/>
          <w:highlight w:val="none"/>
        </w:rPr>
        <w:t>责任导致职工食物中毒，责任由</w:t>
      </w:r>
      <w:r>
        <w:rPr>
          <w:rFonts w:hint="eastAsia" w:ascii="宋体" w:hAnsi="宋体" w:eastAsia="宋体" w:cs="宋体"/>
          <w:color w:val="auto"/>
          <w:sz w:val="24"/>
          <w:szCs w:val="18"/>
          <w:highlight w:val="none"/>
          <w:lang w:val="en-US" w:eastAsia="zh-CN"/>
        </w:rPr>
        <w:t>供应商</w:t>
      </w:r>
      <w:r>
        <w:rPr>
          <w:rFonts w:hint="eastAsia" w:ascii="宋体" w:hAnsi="宋体" w:eastAsia="宋体" w:cs="宋体"/>
          <w:color w:val="auto"/>
          <w:sz w:val="24"/>
          <w:szCs w:val="18"/>
          <w:highlight w:val="none"/>
        </w:rPr>
        <w:t>全部承担。</w:t>
      </w:r>
    </w:p>
    <w:p w14:paraId="78EA1B68">
      <w:pPr>
        <w:keepNext w:val="0"/>
        <w:keepLines w:val="0"/>
        <w:pageBreakBefore w:val="0"/>
        <w:widowControl/>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lang w:val="en-US" w:eastAsia="zh-CN"/>
        </w:rPr>
        <w:t>3.</w:t>
      </w:r>
      <w:r>
        <w:rPr>
          <w:rFonts w:hint="eastAsia" w:ascii="宋体" w:hAnsi="宋体" w:eastAsia="宋体" w:cs="宋体"/>
          <w:color w:val="auto"/>
          <w:sz w:val="24"/>
          <w:szCs w:val="18"/>
          <w:highlight w:val="none"/>
        </w:rPr>
        <w:t>聘用期间如</w:t>
      </w:r>
      <w:r>
        <w:rPr>
          <w:rFonts w:hint="eastAsia" w:ascii="宋体" w:hAnsi="宋体" w:eastAsia="宋体" w:cs="宋体"/>
          <w:color w:val="auto"/>
          <w:sz w:val="24"/>
          <w:szCs w:val="18"/>
          <w:highlight w:val="none"/>
          <w:lang w:val="en-US" w:eastAsia="zh-CN"/>
        </w:rPr>
        <w:t>供应商</w:t>
      </w:r>
      <w:r>
        <w:rPr>
          <w:rFonts w:hint="eastAsia" w:ascii="宋体" w:hAnsi="宋体" w:eastAsia="宋体" w:cs="宋体"/>
          <w:color w:val="auto"/>
          <w:sz w:val="24"/>
          <w:szCs w:val="18"/>
          <w:highlight w:val="none"/>
        </w:rPr>
        <w:t>患病或非因公负伤的，医疗费用由</w:t>
      </w:r>
      <w:r>
        <w:rPr>
          <w:rFonts w:hint="eastAsia" w:ascii="宋体" w:hAnsi="宋体" w:eastAsia="宋体" w:cs="宋体"/>
          <w:color w:val="auto"/>
          <w:sz w:val="24"/>
          <w:szCs w:val="18"/>
          <w:highlight w:val="none"/>
          <w:lang w:val="en-US" w:eastAsia="zh-CN"/>
        </w:rPr>
        <w:t>供应商</w:t>
      </w:r>
      <w:r>
        <w:rPr>
          <w:rFonts w:hint="eastAsia" w:ascii="宋体" w:hAnsi="宋体" w:eastAsia="宋体" w:cs="宋体"/>
          <w:color w:val="auto"/>
          <w:sz w:val="24"/>
          <w:szCs w:val="18"/>
          <w:highlight w:val="none"/>
        </w:rPr>
        <w:t>自行承担。</w:t>
      </w:r>
    </w:p>
    <w:p w14:paraId="14A37861">
      <w:pPr>
        <w:keepNext w:val="0"/>
        <w:keepLines w:val="0"/>
        <w:pageBreakBefore w:val="0"/>
        <w:widowControl/>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lang w:val="en-US" w:eastAsia="zh-CN"/>
        </w:rPr>
        <w:t>4.</w:t>
      </w:r>
      <w:r>
        <w:rPr>
          <w:rFonts w:hint="eastAsia" w:ascii="宋体" w:hAnsi="宋体" w:eastAsia="宋体" w:cs="宋体"/>
          <w:color w:val="auto"/>
          <w:sz w:val="24"/>
          <w:szCs w:val="18"/>
          <w:highlight w:val="none"/>
        </w:rPr>
        <w:t>保证每月不少于一次对冰柜、冰箱的清理，应确保冰冻食品的卫生和合理使用，杜绝食品长时间积压不用现象的发生。</w:t>
      </w:r>
    </w:p>
    <w:p w14:paraId="120FC4C5">
      <w:pPr>
        <w:keepNext w:val="0"/>
        <w:keepLines w:val="0"/>
        <w:pageBreakBefore w:val="0"/>
        <w:widowControl/>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lang w:val="en-US" w:eastAsia="zh-CN"/>
        </w:rPr>
        <w:t>5.</w:t>
      </w:r>
      <w:r>
        <w:rPr>
          <w:rFonts w:hint="eastAsia" w:ascii="宋体" w:hAnsi="宋体" w:eastAsia="宋体" w:cs="宋体"/>
          <w:color w:val="auto"/>
          <w:sz w:val="24"/>
          <w:szCs w:val="18"/>
          <w:highlight w:val="none"/>
        </w:rPr>
        <w:t>掌握菜的份量，调配菜的品种，保证及时供饭、供菜。尽量经常变换饭菜的花色品种，菜肴用料、配料要恰当，做到味道适口，一菜多做</w:t>
      </w:r>
      <w:r>
        <w:rPr>
          <w:rFonts w:hint="eastAsia" w:ascii="宋体" w:hAnsi="宋体" w:eastAsia="宋体" w:cs="宋体"/>
          <w:color w:val="auto"/>
          <w:sz w:val="24"/>
          <w:szCs w:val="18"/>
          <w:highlight w:val="none"/>
          <w:lang w:eastAsia="zh-CN"/>
        </w:rPr>
        <w:t>；</w:t>
      </w:r>
      <w:r>
        <w:rPr>
          <w:rFonts w:hint="eastAsia" w:ascii="宋体" w:hAnsi="宋体" w:eastAsia="宋体" w:cs="宋体"/>
          <w:color w:val="auto"/>
          <w:sz w:val="24"/>
          <w:szCs w:val="18"/>
          <w:highlight w:val="none"/>
        </w:rPr>
        <w:t>工作时应注意个人卫生，接触食品前要洗手，操作时，严格掌握卫生要求。</w:t>
      </w:r>
    </w:p>
    <w:p w14:paraId="2C5B7CA6">
      <w:pPr>
        <w:keepNext w:val="0"/>
        <w:keepLines w:val="0"/>
        <w:pageBreakBefore w:val="0"/>
        <w:widowControl/>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lang w:val="en-US" w:eastAsia="zh-CN"/>
        </w:rPr>
        <w:t>6.</w:t>
      </w:r>
      <w:r>
        <w:rPr>
          <w:rFonts w:hint="eastAsia" w:ascii="宋体" w:hAnsi="宋体" w:eastAsia="宋体" w:cs="宋体"/>
          <w:color w:val="auto"/>
          <w:sz w:val="24"/>
          <w:szCs w:val="18"/>
          <w:highlight w:val="none"/>
        </w:rPr>
        <w:t>刀和砧板等工具用完后应洗净放回原位置，常用工具要定期沸水蒸煮消毒。因徇投标人私舞弊对招标人利益造成重大损害的，采购人可以随时解除本协议。</w:t>
      </w:r>
    </w:p>
    <w:p w14:paraId="0845B6F0">
      <w:pPr>
        <w:keepNext w:val="0"/>
        <w:keepLines w:val="0"/>
        <w:pageBreakBefore w:val="0"/>
        <w:widowControl/>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lang w:val="en-US" w:eastAsia="zh-CN"/>
        </w:rPr>
        <w:t>7.</w:t>
      </w:r>
      <w:r>
        <w:rPr>
          <w:rFonts w:hint="eastAsia" w:ascii="宋体" w:hAnsi="宋体" w:eastAsia="宋体" w:cs="宋体"/>
          <w:color w:val="auto"/>
          <w:sz w:val="24"/>
          <w:szCs w:val="18"/>
          <w:highlight w:val="none"/>
        </w:rPr>
        <w:t>负责打扫厨房卫生，保持食堂餐具、调味台、地面清洁卫生，尽量做到餐厅内无苍蝇、蚊、蟑螂等，餐厅不能留有卫生死角和灰色地带。</w:t>
      </w:r>
    </w:p>
    <w:p w14:paraId="2EB11A02">
      <w:pPr>
        <w:keepNext w:val="0"/>
        <w:keepLines w:val="0"/>
        <w:pageBreakBefore w:val="0"/>
        <w:widowControl/>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18"/>
          <w:highlight w:val="none"/>
        </w:rPr>
      </w:pPr>
      <w:r>
        <w:rPr>
          <w:rFonts w:hint="eastAsia" w:ascii="宋体" w:hAnsi="宋体" w:eastAsia="宋体" w:cs="宋体"/>
          <w:color w:val="auto"/>
          <w:sz w:val="24"/>
          <w:szCs w:val="18"/>
          <w:highlight w:val="none"/>
          <w:lang w:val="en-US" w:eastAsia="zh-CN"/>
        </w:rPr>
        <w:t>8.</w:t>
      </w:r>
      <w:r>
        <w:rPr>
          <w:rFonts w:hint="eastAsia" w:ascii="宋体" w:hAnsi="宋体" w:eastAsia="宋体" w:cs="宋体"/>
          <w:color w:val="auto"/>
          <w:sz w:val="24"/>
          <w:szCs w:val="18"/>
          <w:highlight w:val="none"/>
        </w:rPr>
        <w:t>保证职工能够准时就餐和完成单位领导临时交办的工作。</w:t>
      </w:r>
    </w:p>
    <w:p w14:paraId="317588A7">
      <w:pPr>
        <w:keepNext w:val="0"/>
        <w:keepLines w:val="0"/>
        <w:pageBreakBefore w:val="0"/>
        <w:widowControl/>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b/>
          <w:bCs w:val="0"/>
          <w:color w:val="auto"/>
          <w:kern w:val="2"/>
          <w:sz w:val="24"/>
          <w:szCs w:val="21"/>
          <w:highlight w:val="none"/>
          <w:lang w:val="en-US" w:eastAsia="zh-CN" w:bidi="ar-SA"/>
        </w:rPr>
      </w:pPr>
      <w:r>
        <w:rPr>
          <w:rFonts w:hint="eastAsia" w:ascii="宋体" w:hAnsi="宋体" w:eastAsia="宋体" w:cs="宋体"/>
          <w:color w:val="auto"/>
          <w:sz w:val="24"/>
          <w:szCs w:val="18"/>
          <w:highlight w:val="none"/>
          <w:lang w:val="en-US" w:eastAsia="zh-CN"/>
        </w:rPr>
        <w:t>9.供应商</w:t>
      </w:r>
      <w:r>
        <w:rPr>
          <w:rFonts w:hint="eastAsia" w:ascii="宋体" w:hAnsi="宋体" w:eastAsia="宋体" w:cs="宋体"/>
          <w:color w:val="auto"/>
          <w:sz w:val="24"/>
          <w:szCs w:val="18"/>
          <w:highlight w:val="none"/>
        </w:rPr>
        <w:t>负责厨房、餐厅食品的安全卫生清洁工作。如果达不到卫生防疫部门要求，</w:t>
      </w:r>
      <w:r>
        <w:rPr>
          <w:rFonts w:hint="eastAsia" w:ascii="宋体" w:hAnsi="宋体" w:eastAsia="宋体" w:cs="宋体"/>
          <w:color w:val="auto"/>
          <w:sz w:val="24"/>
          <w:szCs w:val="18"/>
          <w:highlight w:val="none"/>
          <w:lang w:val="en-US" w:eastAsia="zh-CN"/>
        </w:rPr>
        <w:t>供应商</w:t>
      </w:r>
      <w:r>
        <w:rPr>
          <w:rFonts w:hint="eastAsia" w:ascii="宋体" w:hAnsi="宋体" w:eastAsia="宋体" w:cs="宋体"/>
          <w:color w:val="auto"/>
          <w:sz w:val="24"/>
          <w:szCs w:val="18"/>
          <w:highlight w:val="none"/>
        </w:rPr>
        <w:t>按要求改正，并对所造成的一切损失承担责任。（硬件设施除外）。</w:t>
      </w:r>
    </w:p>
    <w:p w14:paraId="59103F56">
      <w:pPr>
        <w:pageBreakBefore w:val="0"/>
        <w:kinsoku/>
        <w:wordWrap/>
        <w:overflowPunct/>
        <w:topLinePunct w:val="0"/>
        <w:bidi w:val="0"/>
        <w:spacing w:line="400" w:lineRule="exact"/>
        <w:ind w:left="0" w:leftChars="0" w:firstLine="723" w:firstLineChars="200"/>
        <w:textAlignment w:val="auto"/>
        <w:rPr>
          <w:rFonts w:hint="eastAsia" w:ascii="宋体" w:hAnsi="宋体" w:eastAsia="宋体" w:cs="宋体"/>
          <w:b/>
          <w:bCs/>
          <w:color w:val="auto"/>
          <w:kern w:val="2"/>
          <w:sz w:val="36"/>
          <w:szCs w:val="30"/>
          <w:highlight w:val="none"/>
          <w:lang w:val="en-US" w:eastAsia="zh-CN" w:bidi="ar-SA"/>
        </w:rPr>
      </w:pPr>
      <w:r>
        <w:rPr>
          <w:rFonts w:hint="eastAsia" w:ascii="宋体" w:hAnsi="宋体" w:eastAsia="宋体" w:cs="宋体"/>
          <w:b/>
          <w:bCs/>
          <w:color w:val="auto"/>
          <w:kern w:val="2"/>
          <w:sz w:val="36"/>
          <w:szCs w:val="30"/>
          <w:highlight w:val="none"/>
          <w:lang w:val="en-US" w:eastAsia="zh-CN" w:bidi="ar-SA"/>
        </w:rPr>
        <w:br w:type="page"/>
      </w:r>
    </w:p>
    <w:p w14:paraId="35046CF2">
      <w:pPr>
        <w:pStyle w:val="4"/>
        <w:spacing w:before="0" w:after="0" w:line="360" w:lineRule="auto"/>
        <w:ind w:left="0" w:leftChars="0" w:right="0" w:rightChars="0" w:firstLine="0" w:firstLineChars="0"/>
        <w:jc w:val="center"/>
        <w:rPr>
          <w:rFonts w:hint="eastAsia" w:ascii="宋体" w:hAnsi="宋体" w:eastAsia="宋体" w:cs="宋体"/>
          <w:b w:val="0"/>
          <w:color w:val="auto"/>
          <w:sz w:val="36"/>
          <w:szCs w:val="30"/>
          <w:highlight w:val="none"/>
        </w:rPr>
      </w:pPr>
      <w:r>
        <w:rPr>
          <w:rFonts w:hint="eastAsia" w:ascii="宋体" w:hAnsi="宋体" w:eastAsia="宋体" w:cs="宋体"/>
          <w:b/>
          <w:bCs/>
          <w:color w:val="auto"/>
          <w:kern w:val="2"/>
          <w:sz w:val="36"/>
          <w:szCs w:val="30"/>
          <w:highlight w:val="none"/>
          <w:lang w:val="en-US" w:eastAsia="zh-CN" w:bidi="ar-SA"/>
        </w:rPr>
        <w:t xml:space="preserve">第三篇  </w:t>
      </w:r>
      <w:bookmarkEnd w:id="21"/>
      <w:r>
        <w:rPr>
          <w:rFonts w:hint="eastAsia" w:ascii="宋体" w:hAnsi="宋体" w:eastAsia="宋体" w:cs="宋体"/>
          <w:b/>
          <w:bCs/>
          <w:color w:val="auto"/>
          <w:kern w:val="2"/>
          <w:sz w:val="36"/>
          <w:szCs w:val="30"/>
          <w:highlight w:val="none"/>
          <w:lang w:val="en-US" w:eastAsia="zh-CN" w:bidi="ar-SA"/>
        </w:rPr>
        <w:t>项目商务需求</w:t>
      </w:r>
      <w:bookmarkEnd w:id="32"/>
    </w:p>
    <w:p w14:paraId="05341A04">
      <w:pPr>
        <w:spacing w:line="360" w:lineRule="auto"/>
        <w:ind w:firstLine="482" w:firstLineChars="200"/>
        <w:rPr>
          <w:rFonts w:hint="eastAsia" w:ascii="宋体" w:hAnsi="宋体" w:eastAsia="宋体" w:cs="宋体"/>
          <w:color w:val="auto"/>
          <w:sz w:val="24"/>
          <w:highlight w:val="none"/>
        </w:rPr>
      </w:pPr>
      <w:bookmarkStart w:id="33" w:name="_Toc858"/>
      <w:bookmarkStart w:id="34" w:name="_Toc342913389"/>
      <w:r>
        <w:rPr>
          <w:rFonts w:hint="eastAsia" w:ascii="宋体" w:hAnsi="宋体" w:cs="宋体"/>
          <w:b/>
          <w:bCs/>
          <w:color w:val="auto"/>
          <w:sz w:val="24"/>
          <w:szCs w:val="24"/>
          <w:highlight w:val="none"/>
        </w:rPr>
        <w:t>注：本篇</w:t>
      </w:r>
      <w:r>
        <w:rPr>
          <w:rFonts w:hint="eastAsia" w:ascii="宋体" w:hAnsi="宋体" w:cs="宋体"/>
          <w:b/>
          <w:bCs/>
          <w:color w:val="auto"/>
          <w:sz w:val="24"/>
          <w:szCs w:val="24"/>
          <w:highlight w:val="none"/>
          <w:lang w:eastAsia="zh-CN"/>
        </w:rPr>
        <w:t>商务</w:t>
      </w:r>
      <w:r>
        <w:rPr>
          <w:rFonts w:hint="eastAsia" w:ascii="宋体" w:hAnsi="宋体" w:cs="宋体"/>
          <w:b/>
          <w:bCs/>
          <w:color w:val="auto"/>
          <w:sz w:val="24"/>
          <w:szCs w:val="24"/>
          <w:highlight w:val="none"/>
        </w:rPr>
        <w:t>需求均为符合性审查中的实质性要求，响应文件若不满足按无效处理。</w:t>
      </w:r>
    </w:p>
    <w:p w14:paraId="0CCE68FC">
      <w:pPr>
        <w:pStyle w:val="4"/>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一、</w:t>
      </w:r>
      <w:r>
        <w:rPr>
          <w:rFonts w:hint="eastAsia" w:ascii="宋体" w:hAnsi="宋体" w:eastAsia="宋体" w:cs="宋体"/>
          <w:color w:val="auto"/>
          <w:sz w:val="24"/>
          <w:highlight w:val="none"/>
          <w:lang w:eastAsia="zh-CN"/>
        </w:rPr>
        <w:t>服务</w:t>
      </w:r>
      <w:r>
        <w:rPr>
          <w:rFonts w:hint="eastAsia" w:ascii="宋体" w:hAnsi="宋体" w:eastAsia="宋体" w:cs="宋体"/>
          <w:color w:val="auto"/>
          <w:sz w:val="24"/>
          <w:highlight w:val="none"/>
        </w:rPr>
        <w:t>期</w:t>
      </w:r>
      <w:r>
        <w:rPr>
          <w:rFonts w:hint="eastAsia" w:ascii="宋体" w:hAnsi="宋体" w:eastAsia="宋体" w:cs="宋体"/>
          <w:color w:val="auto"/>
          <w:sz w:val="24"/>
          <w:highlight w:val="none"/>
          <w:lang w:eastAsia="zh-CN"/>
        </w:rPr>
        <w:t>限</w:t>
      </w:r>
      <w:r>
        <w:rPr>
          <w:rFonts w:hint="eastAsia" w:ascii="宋体" w:hAnsi="宋体" w:eastAsia="宋体" w:cs="宋体"/>
          <w:color w:val="auto"/>
          <w:sz w:val="24"/>
          <w:highlight w:val="none"/>
        </w:rPr>
        <w:t>、地点及验收方式</w:t>
      </w:r>
      <w:bookmarkEnd w:id="33"/>
    </w:p>
    <w:p w14:paraId="51F0575D">
      <w:pPr>
        <w:pStyle w:val="4"/>
        <w:pageBreakBefore w:val="0"/>
        <w:widowControl w:val="0"/>
        <w:kinsoku/>
        <w:wordWrap/>
        <w:overflowPunct/>
        <w:topLinePunct w:val="0"/>
        <w:autoSpaceDE/>
        <w:autoSpaceDN/>
        <w:bidi w:val="0"/>
        <w:adjustRightInd w:val="0"/>
        <w:snapToGrid w:val="0"/>
        <w:spacing w:before="0" w:after="0" w:line="400" w:lineRule="exact"/>
        <w:ind w:firstLine="480" w:firstLineChars="200"/>
        <w:textAlignment w:val="auto"/>
        <w:rPr>
          <w:rFonts w:hint="eastAsia" w:ascii="宋体" w:hAnsi="宋体" w:eastAsia="宋体" w:cs="宋体"/>
          <w:b w:val="0"/>
          <w:bCs/>
          <w:color w:val="auto"/>
          <w:sz w:val="24"/>
          <w:highlight w:val="none"/>
        </w:rPr>
      </w:pPr>
      <w:bookmarkStart w:id="35" w:name="_Toc76462329"/>
      <w:bookmarkStart w:id="36" w:name="_Toc28053"/>
      <w:r>
        <w:rPr>
          <w:rFonts w:hint="eastAsia" w:ascii="宋体" w:hAnsi="宋体" w:eastAsia="宋体" w:cs="宋体"/>
          <w:b w:val="0"/>
          <w:bCs/>
          <w:color w:val="auto"/>
          <w:sz w:val="24"/>
          <w:highlight w:val="none"/>
        </w:rPr>
        <w:t>（一）服务时间：本项目自合同签订之日起服务期限二年。</w:t>
      </w:r>
    </w:p>
    <w:p w14:paraId="43A36C57">
      <w:pPr>
        <w:pStyle w:val="4"/>
        <w:pageBreakBefore w:val="0"/>
        <w:widowControl w:val="0"/>
        <w:kinsoku/>
        <w:wordWrap/>
        <w:overflowPunct/>
        <w:topLinePunct w:val="0"/>
        <w:autoSpaceDE/>
        <w:autoSpaceDN/>
        <w:bidi w:val="0"/>
        <w:adjustRightInd w:val="0"/>
        <w:snapToGrid w:val="0"/>
        <w:spacing w:before="0" w:after="0" w:line="400" w:lineRule="exact"/>
        <w:ind w:firstLine="480" w:firstLineChars="200"/>
        <w:textAlignment w:val="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（二）服务地点：</w:t>
      </w:r>
      <w:r>
        <w:rPr>
          <w:rFonts w:hint="eastAsia" w:ascii="宋体" w:hAnsi="宋体" w:eastAsia="宋体" w:cs="宋体"/>
          <w:b w:val="0"/>
          <w:bCs/>
          <w:color w:val="auto"/>
          <w:sz w:val="24"/>
          <w:highlight w:val="none"/>
          <w:lang w:eastAsia="zh-CN"/>
        </w:rPr>
        <w:t>重庆市大足区财政局</w:t>
      </w:r>
      <w:r>
        <w:rPr>
          <w:rFonts w:hint="eastAsia" w:ascii="宋体" w:hAnsi="宋体" w:eastAsia="宋体" w:cs="宋体"/>
          <w:b w:val="0"/>
          <w:bCs/>
          <w:color w:val="auto"/>
          <w:sz w:val="24"/>
          <w:highlight w:val="none"/>
        </w:rPr>
        <w:t xml:space="preserve"> </w:t>
      </w:r>
    </w:p>
    <w:p w14:paraId="01FD2B7E">
      <w:pPr>
        <w:pStyle w:val="4"/>
        <w:pageBreakBefore w:val="0"/>
        <w:widowControl w:val="0"/>
        <w:kinsoku/>
        <w:wordWrap/>
        <w:overflowPunct/>
        <w:topLinePunct w:val="0"/>
        <w:autoSpaceDE/>
        <w:autoSpaceDN/>
        <w:bidi w:val="0"/>
        <w:adjustRightInd w:val="0"/>
        <w:snapToGrid w:val="0"/>
        <w:spacing w:before="0" w:after="0" w:line="400" w:lineRule="exact"/>
        <w:ind w:firstLine="480" w:firstLineChars="200"/>
        <w:textAlignment w:val="auto"/>
        <w:rPr>
          <w:rFonts w:hint="eastAsia" w:ascii="宋体" w:hAnsi="宋体" w:eastAsia="宋体" w:cs="宋体"/>
          <w:b w:val="0"/>
          <w:bCs/>
          <w:color w:val="auto"/>
          <w:sz w:val="24"/>
          <w:highlight w:val="none"/>
          <w:lang w:eastAsia="zh-CN"/>
        </w:rPr>
      </w:pPr>
      <w:r>
        <w:rPr>
          <w:rFonts w:hint="eastAsia" w:ascii="宋体" w:hAnsi="宋体" w:eastAsia="宋体" w:cs="宋体"/>
          <w:b w:val="0"/>
          <w:bCs/>
          <w:color w:val="auto"/>
          <w:sz w:val="24"/>
          <w:highlight w:val="none"/>
        </w:rPr>
        <w:t>（三）验收方式</w:t>
      </w:r>
      <w:r>
        <w:rPr>
          <w:rFonts w:hint="eastAsia" w:ascii="宋体" w:hAnsi="宋体" w:eastAsia="宋体" w:cs="宋体"/>
          <w:b w:val="0"/>
          <w:bCs/>
          <w:color w:val="auto"/>
          <w:sz w:val="24"/>
          <w:highlight w:val="none"/>
          <w:lang w:eastAsia="zh-CN"/>
        </w:rPr>
        <w:t>：</w:t>
      </w:r>
    </w:p>
    <w:p w14:paraId="624503FF">
      <w:pPr>
        <w:pStyle w:val="4"/>
        <w:pageBreakBefore w:val="0"/>
        <w:widowControl w:val="0"/>
        <w:kinsoku/>
        <w:wordWrap/>
        <w:overflowPunct/>
        <w:topLinePunct w:val="0"/>
        <w:autoSpaceDE/>
        <w:autoSpaceDN/>
        <w:bidi w:val="0"/>
        <w:adjustRightInd w:val="0"/>
        <w:snapToGrid w:val="0"/>
        <w:spacing w:before="0" w:after="0" w:line="400" w:lineRule="exact"/>
        <w:ind w:firstLine="480" w:firstLineChars="200"/>
        <w:textAlignment w:val="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lang w:eastAsia="zh-CN"/>
        </w:rPr>
        <w:t>采购人每月对供应商提供的服务进行职工满意度调查，第一次职工满意度低于50%时，由采购人发出书面整改通知书，供应商需按照采购人要求进行整改，如职工满意度连续两月低于50%或者一次职工满意度低于60%，采购人有权终止合同，不支付余下款项。</w:t>
      </w:r>
    </w:p>
    <w:p w14:paraId="00E31471">
      <w:pPr>
        <w:pStyle w:val="4"/>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二、报价要求</w:t>
      </w:r>
      <w:bookmarkEnd w:id="35"/>
      <w:bookmarkEnd w:id="36"/>
    </w:p>
    <w:p w14:paraId="26873A2E">
      <w:pPr>
        <w:pageBreakBefore w:val="0"/>
        <w:widowControl/>
        <w:kinsoku/>
        <w:overflowPunct/>
        <w:topLinePunct w:val="0"/>
        <w:autoSpaceDE/>
        <w:autoSpaceDN/>
        <w:bidi w:val="0"/>
        <w:adjustRightInd/>
        <w:snapToGrid/>
        <w:spacing w:line="400" w:lineRule="exact"/>
        <w:ind w:left="0" w:leftChars="0" w:firstLine="480" w:firstLineChars="200"/>
        <w:jc w:val="both"/>
        <w:textAlignment w:val="auto"/>
        <w:outlineLvl w:val="0"/>
        <w:rPr>
          <w:rFonts w:hint="eastAsia" w:ascii="宋体" w:hAnsi="宋体" w:eastAsia="宋体" w:cs="宋体"/>
          <w:b w:val="0"/>
          <w:bCs/>
          <w:color w:val="auto"/>
          <w:sz w:val="24"/>
          <w:highlight w:val="none"/>
          <w:lang w:eastAsia="zh-CN"/>
        </w:rPr>
      </w:pPr>
      <w:bookmarkStart w:id="37" w:name="_Toc26438"/>
      <w:bookmarkStart w:id="38" w:name="_Toc344475122"/>
      <w:bookmarkStart w:id="39" w:name="_Toc76462330"/>
      <w:r>
        <w:rPr>
          <w:rFonts w:hint="eastAsia" w:ascii="宋体" w:hAnsi="宋体" w:eastAsia="宋体" w:cs="宋体"/>
          <w:b w:val="0"/>
          <w:bCs w:val="0"/>
          <w:color w:val="auto"/>
          <w:kern w:val="2"/>
          <w:sz w:val="24"/>
          <w:szCs w:val="24"/>
          <w:highlight w:val="none"/>
          <w:lang w:val="en-US" w:eastAsia="zh-CN" w:bidi="ar-SA"/>
        </w:rPr>
        <w:t>本次报价为人民币报价，报价应当包含人员工资、社会保险（包括养老、医疗、工伤、生育险、失业保险等）、福利、意外险、劳保用品等所有费用的总和，因供应商自身原因少报或者漏报，采购人均不做任何补偿，造成的损失由供应商自行承担。</w:t>
      </w:r>
    </w:p>
    <w:p w14:paraId="2789C305">
      <w:pPr>
        <w:pStyle w:val="4"/>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三</w:t>
      </w:r>
      <w:r>
        <w:rPr>
          <w:rFonts w:hint="eastAsia" w:ascii="宋体" w:hAnsi="宋体" w:eastAsia="宋体" w:cs="宋体"/>
          <w:color w:val="auto"/>
          <w:sz w:val="24"/>
          <w:highlight w:val="none"/>
        </w:rPr>
        <w:t>、付款方式</w:t>
      </w:r>
      <w:bookmarkEnd w:id="37"/>
      <w:bookmarkEnd w:id="38"/>
      <w:bookmarkEnd w:id="39"/>
    </w:p>
    <w:p w14:paraId="7EEEC198">
      <w:pPr>
        <w:pageBreakBefore w:val="0"/>
        <w:widowControl/>
        <w:kinsoku/>
        <w:overflowPunct/>
        <w:topLinePunct w:val="0"/>
        <w:autoSpaceDE/>
        <w:autoSpaceDN/>
        <w:bidi w:val="0"/>
        <w:adjustRightInd/>
        <w:snapToGrid/>
        <w:spacing w:line="400" w:lineRule="exact"/>
        <w:ind w:left="0" w:leftChars="0" w:firstLine="480" w:firstLineChars="200"/>
        <w:jc w:val="both"/>
        <w:textAlignment w:val="auto"/>
        <w:outlineLvl w:val="0"/>
        <w:rPr>
          <w:rFonts w:hint="eastAsia" w:ascii="宋体" w:hAnsi="宋体" w:eastAsia="宋体" w:cs="宋体"/>
          <w:b w:val="0"/>
          <w:bCs/>
          <w:color w:val="auto"/>
          <w:kern w:val="2"/>
          <w:sz w:val="24"/>
          <w:highlight w:val="none"/>
          <w:lang w:val="en-US" w:eastAsia="zh-CN" w:bidi="ar-SA"/>
        </w:rPr>
      </w:pPr>
      <w:bookmarkStart w:id="40" w:name="_Toc3640"/>
      <w:r>
        <w:rPr>
          <w:rFonts w:hint="eastAsia" w:ascii="宋体" w:hAnsi="宋体" w:eastAsia="宋体" w:cs="宋体"/>
          <w:b w:val="0"/>
          <w:bCs w:val="0"/>
          <w:color w:val="auto"/>
          <w:kern w:val="2"/>
          <w:sz w:val="24"/>
          <w:szCs w:val="24"/>
          <w:highlight w:val="none"/>
          <w:lang w:val="en-US" w:eastAsia="zh-CN" w:bidi="ar-SA"/>
        </w:rPr>
        <w:t>本项目按</w:t>
      </w:r>
      <w:r>
        <w:rPr>
          <w:rFonts w:hint="eastAsia" w:ascii="宋体" w:hAnsi="宋体" w:cs="宋体"/>
          <w:b w:val="0"/>
          <w:bCs w:val="0"/>
          <w:color w:val="auto"/>
          <w:kern w:val="2"/>
          <w:sz w:val="24"/>
          <w:szCs w:val="24"/>
          <w:highlight w:val="none"/>
          <w:lang w:val="en-US" w:eastAsia="zh-CN" w:bidi="ar-SA"/>
        </w:rPr>
        <w:t>成交</w:t>
      </w:r>
      <w:r>
        <w:rPr>
          <w:rFonts w:hint="eastAsia" w:ascii="宋体" w:hAnsi="宋体" w:eastAsia="宋体" w:cs="宋体"/>
          <w:b w:val="0"/>
          <w:bCs w:val="0"/>
          <w:color w:val="auto"/>
          <w:kern w:val="2"/>
          <w:sz w:val="24"/>
          <w:szCs w:val="24"/>
          <w:highlight w:val="none"/>
          <w:lang w:val="en-US" w:eastAsia="zh-CN" w:bidi="ar-SA"/>
        </w:rPr>
        <w:t>金额月平均额每月支付。</w:t>
      </w:r>
    </w:p>
    <w:p w14:paraId="3BF44B28">
      <w:pPr>
        <w:keepNext/>
        <w:keepLines/>
        <w:pageBreakBefore w:val="0"/>
        <w:widowControl w:val="0"/>
        <w:kinsoku/>
        <w:wordWrap/>
        <w:overflowPunct/>
        <w:topLinePunct w:val="0"/>
        <w:autoSpaceDE/>
        <w:autoSpaceDN/>
        <w:bidi w:val="0"/>
        <w:adjustRightInd/>
        <w:spacing w:before="0" w:beforeLines="0" w:beforeAutospacing="0" w:after="0" w:afterLines="0" w:afterAutospacing="0" w:line="400" w:lineRule="exact"/>
        <w:ind w:firstLine="482" w:firstLineChars="200"/>
        <w:jc w:val="both"/>
        <w:textAlignment w:val="auto"/>
        <w:outlineLvl w:val="1"/>
        <w:rPr>
          <w:rFonts w:hint="eastAsia" w:ascii="宋体" w:hAnsi="宋体" w:eastAsia="宋体" w:cs="宋体"/>
          <w:b/>
          <w:bCs/>
          <w:color w:val="auto"/>
          <w:kern w:val="2"/>
          <w:sz w:val="24"/>
          <w:szCs w:val="24"/>
          <w:highlight w:val="none"/>
          <w:lang w:val="en-US" w:eastAsia="zh-CN" w:bidi="ar-SA"/>
        </w:rPr>
      </w:pPr>
      <w:r>
        <w:rPr>
          <w:rFonts w:hint="eastAsia" w:ascii="宋体" w:hAnsi="宋体" w:cs="宋体"/>
          <w:b/>
          <w:bCs/>
          <w:color w:val="auto"/>
          <w:kern w:val="2"/>
          <w:sz w:val="24"/>
          <w:szCs w:val="24"/>
          <w:highlight w:val="none"/>
          <w:lang w:val="en-US" w:eastAsia="zh-CN" w:bidi="ar-SA"/>
        </w:rPr>
        <w:t>四</w:t>
      </w:r>
      <w:r>
        <w:rPr>
          <w:rFonts w:hint="eastAsia" w:ascii="宋体" w:hAnsi="宋体" w:eastAsia="宋体" w:cs="宋体"/>
          <w:b/>
          <w:bCs/>
          <w:color w:val="auto"/>
          <w:kern w:val="2"/>
          <w:sz w:val="24"/>
          <w:szCs w:val="24"/>
          <w:highlight w:val="none"/>
          <w:lang w:val="en-US" w:eastAsia="zh-CN" w:bidi="ar-SA"/>
        </w:rPr>
        <w:t>、知识产权</w:t>
      </w:r>
      <w:bookmarkEnd w:id="40"/>
    </w:p>
    <w:p w14:paraId="03596922">
      <w:pPr>
        <w:pageBreakBefore w:val="0"/>
        <w:widowControl w:val="0"/>
        <w:kinsoku/>
        <w:wordWrap/>
        <w:overflowPunct/>
        <w:topLinePunct w:val="0"/>
        <w:autoSpaceDE/>
        <w:autoSpaceDN/>
        <w:bidi w:val="0"/>
        <w:adjustRightInd/>
        <w:spacing w:before="0" w:beforeLines="0" w:after="0" w:afterLines="0" w:line="400" w:lineRule="exact"/>
        <w:ind w:firstLine="480" w:firstLineChars="200"/>
        <w:textAlignment w:val="auto"/>
        <w:outlineLvl w:val="9"/>
        <w:rPr>
          <w:rFonts w:hint="eastAsia" w:ascii="宋体" w:hAnsi="宋体" w:eastAsia="宋体" w:cs="宋体"/>
          <w:b w:val="0"/>
          <w:bCs w:val="0"/>
          <w:color w:val="auto"/>
          <w:sz w:val="24"/>
          <w:szCs w:val="24"/>
          <w:highlight w:val="none"/>
          <w:lang w:val="en-US" w:eastAsia="zh-CN"/>
        </w:rPr>
      </w:pPr>
      <w:bookmarkStart w:id="41" w:name="_Toc20895"/>
      <w:bookmarkStart w:id="42" w:name="_Toc3404"/>
      <w:bookmarkStart w:id="43" w:name="_Toc29615"/>
      <w:bookmarkStart w:id="44" w:name="_Toc31803"/>
      <w:bookmarkStart w:id="45" w:name="_Toc1026"/>
      <w:bookmarkStart w:id="46" w:name="_Toc4784"/>
      <w:bookmarkStart w:id="47" w:name="_Toc27637"/>
      <w:bookmarkStart w:id="48" w:name="_Toc1949"/>
      <w:bookmarkStart w:id="49" w:name="_Toc15548"/>
      <w:bookmarkStart w:id="50" w:name="_Toc15109"/>
      <w:bookmarkStart w:id="51" w:name="_Toc15159"/>
      <w:bookmarkStart w:id="52" w:name="_Toc26926"/>
      <w:bookmarkStart w:id="53" w:name="_Toc25464"/>
      <w:bookmarkStart w:id="54" w:name="_Toc75793514"/>
      <w:bookmarkStart w:id="55" w:name="_Toc267320053"/>
      <w:bookmarkStart w:id="56" w:name="_Toc121310794"/>
      <w:bookmarkStart w:id="57" w:name="_Toc7629"/>
      <w:bookmarkStart w:id="58" w:name="_Toc121315153"/>
      <w:r>
        <w:rPr>
          <w:rFonts w:hint="eastAsia" w:ascii="宋体" w:hAnsi="宋体" w:eastAsia="宋体" w:cs="宋体"/>
          <w:b w:val="0"/>
          <w:bCs w:val="0"/>
          <w:color w:val="auto"/>
          <w:sz w:val="24"/>
          <w:szCs w:val="24"/>
          <w:highlight w:val="none"/>
          <w:lang w:val="en-US" w:eastAsia="zh-CN"/>
        </w:rPr>
        <w:t>采购人在中华人民共和国境内使用供应商提供的服务时免受第三方提出的侵犯其专利权或其它知识产权的起诉。如果第三方提出侵权指控，</w:t>
      </w:r>
      <w:r>
        <w:rPr>
          <w:rFonts w:hint="eastAsia" w:ascii="宋体" w:hAnsi="宋体" w:cs="宋体"/>
          <w:b w:val="0"/>
          <w:bCs w:val="0"/>
          <w:color w:val="auto"/>
          <w:sz w:val="24"/>
          <w:szCs w:val="24"/>
          <w:highlight w:val="none"/>
          <w:lang w:val="en-US" w:eastAsia="zh-CN"/>
        </w:rPr>
        <w:t>成交供应商</w:t>
      </w:r>
      <w:r>
        <w:rPr>
          <w:rFonts w:hint="eastAsia" w:ascii="宋体" w:hAnsi="宋体" w:eastAsia="宋体" w:cs="宋体"/>
          <w:b w:val="0"/>
          <w:bCs w:val="0"/>
          <w:color w:val="auto"/>
          <w:sz w:val="24"/>
          <w:szCs w:val="24"/>
          <w:highlight w:val="none"/>
          <w:lang w:val="en-US" w:eastAsia="zh-CN"/>
        </w:rPr>
        <w:t>应承担由此而引起的一切法律责任和费用。</w:t>
      </w:r>
    </w:p>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35C88C59">
      <w:pPr>
        <w:pageBreakBefore w:val="0"/>
        <w:widowControl w:val="0"/>
        <w:kinsoku/>
        <w:wordWrap/>
        <w:overflowPunct/>
        <w:topLinePunct w:val="0"/>
        <w:autoSpaceDE/>
        <w:autoSpaceDN/>
        <w:bidi w:val="0"/>
        <w:adjustRightInd/>
        <w:spacing w:before="0" w:beforeLines="0" w:after="0" w:afterLines="0" w:line="400" w:lineRule="exact"/>
        <w:ind w:firstLine="480" w:firstLineChars="200"/>
        <w:textAlignment w:val="auto"/>
        <w:outlineLvl w:val="9"/>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本项目所涉及的知识产权归采购人所有。</w:t>
      </w:r>
    </w:p>
    <w:p w14:paraId="6A029963">
      <w:pPr>
        <w:keepNext/>
        <w:keepLines/>
        <w:pageBreakBefore w:val="0"/>
        <w:widowControl w:val="0"/>
        <w:kinsoku/>
        <w:wordWrap/>
        <w:overflowPunct/>
        <w:topLinePunct w:val="0"/>
        <w:autoSpaceDE/>
        <w:autoSpaceDN/>
        <w:bidi w:val="0"/>
        <w:adjustRightInd/>
        <w:spacing w:before="0" w:beforeLines="0" w:beforeAutospacing="0" w:after="0" w:afterLines="0" w:afterAutospacing="0" w:line="400" w:lineRule="exact"/>
        <w:ind w:firstLine="482" w:firstLineChars="200"/>
        <w:jc w:val="both"/>
        <w:textAlignment w:val="auto"/>
        <w:outlineLvl w:val="1"/>
        <w:rPr>
          <w:rFonts w:hint="eastAsia" w:ascii="宋体" w:hAnsi="宋体" w:eastAsia="宋体" w:cs="宋体"/>
          <w:b/>
          <w:bCs/>
          <w:color w:val="auto"/>
          <w:kern w:val="2"/>
          <w:sz w:val="24"/>
          <w:szCs w:val="24"/>
          <w:highlight w:val="none"/>
          <w:lang w:val="en-US" w:eastAsia="zh-CN" w:bidi="ar-SA"/>
        </w:rPr>
      </w:pPr>
      <w:r>
        <w:rPr>
          <w:rFonts w:hint="eastAsia" w:ascii="宋体" w:hAnsi="宋体" w:cs="宋体"/>
          <w:b/>
          <w:color w:val="auto"/>
          <w:kern w:val="2"/>
          <w:sz w:val="24"/>
          <w:highlight w:val="none"/>
          <w:lang w:val="en-US" w:eastAsia="zh-CN" w:bidi="ar-SA"/>
        </w:rPr>
        <w:t>五、</w:t>
      </w:r>
      <w:r>
        <w:rPr>
          <w:rFonts w:hint="eastAsia" w:ascii="宋体" w:hAnsi="宋体" w:eastAsia="宋体" w:cs="宋体"/>
          <w:b/>
          <w:bCs/>
          <w:color w:val="auto"/>
          <w:kern w:val="2"/>
          <w:sz w:val="24"/>
          <w:szCs w:val="24"/>
          <w:highlight w:val="none"/>
          <w:lang w:val="en-US" w:eastAsia="zh-CN" w:bidi="ar-SA"/>
        </w:rPr>
        <w:t>不可抗力</w:t>
      </w:r>
    </w:p>
    <w:p w14:paraId="5E267D1B">
      <w:pPr>
        <w:pageBreakBefore w:val="0"/>
        <w:widowControl w:val="0"/>
        <w:kinsoku/>
        <w:wordWrap/>
        <w:overflowPunct/>
        <w:topLinePunct w:val="0"/>
        <w:autoSpaceDE/>
        <w:autoSpaceDN/>
        <w:bidi w:val="0"/>
        <w:adjustRightInd/>
        <w:spacing w:before="0" w:beforeLines="0" w:after="0" w:afterLines="0" w:line="400" w:lineRule="exact"/>
        <w:ind w:firstLine="480" w:firstLineChars="200"/>
        <w:textAlignment w:val="auto"/>
        <w:outlineLvl w:val="9"/>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因相关政策调整等不可抗力原因致使项目取消或延期或调整的，或因客观原因致使合同无法订立或订立后因无法履行而解除的，采购人不承担任何责任。</w:t>
      </w:r>
    </w:p>
    <w:p w14:paraId="008FC929">
      <w:pPr>
        <w:keepNext/>
        <w:keepLines/>
        <w:pageBreakBefore w:val="0"/>
        <w:widowControl w:val="0"/>
        <w:kinsoku/>
        <w:wordWrap/>
        <w:overflowPunct/>
        <w:topLinePunct w:val="0"/>
        <w:autoSpaceDE/>
        <w:autoSpaceDN/>
        <w:bidi w:val="0"/>
        <w:adjustRightInd w:val="0"/>
        <w:snapToGrid w:val="0"/>
        <w:spacing w:before="0" w:after="0" w:line="400" w:lineRule="exact"/>
        <w:ind w:firstLine="482" w:firstLineChars="200"/>
        <w:jc w:val="both"/>
        <w:textAlignment w:val="auto"/>
        <w:outlineLvl w:val="1"/>
        <w:rPr>
          <w:rFonts w:hint="eastAsia" w:ascii="宋体" w:hAnsi="宋体" w:eastAsia="宋体" w:cs="宋体"/>
          <w:b/>
          <w:color w:val="auto"/>
          <w:kern w:val="2"/>
          <w:sz w:val="24"/>
          <w:highlight w:val="none"/>
          <w:lang w:val="en-US" w:eastAsia="zh-CN" w:bidi="ar-SA"/>
        </w:rPr>
      </w:pPr>
      <w:r>
        <w:rPr>
          <w:rFonts w:hint="eastAsia" w:ascii="宋体" w:hAnsi="宋体" w:cs="宋体"/>
          <w:b/>
          <w:color w:val="auto"/>
          <w:kern w:val="2"/>
          <w:sz w:val="24"/>
          <w:highlight w:val="none"/>
          <w:lang w:val="en-US" w:eastAsia="zh-CN" w:bidi="ar-SA"/>
        </w:rPr>
        <w:t>六</w:t>
      </w:r>
      <w:r>
        <w:rPr>
          <w:rFonts w:hint="eastAsia" w:ascii="宋体" w:hAnsi="宋体" w:eastAsia="宋体" w:cs="宋体"/>
          <w:b/>
          <w:color w:val="auto"/>
          <w:kern w:val="2"/>
          <w:sz w:val="24"/>
          <w:highlight w:val="none"/>
          <w:lang w:val="en-US" w:eastAsia="zh-CN" w:bidi="ar-SA"/>
        </w:rPr>
        <w:t>、其他</w:t>
      </w:r>
    </w:p>
    <w:p w14:paraId="5358107F">
      <w:pPr>
        <w:pStyle w:val="3"/>
        <w:keepLines w:val="0"/>
        <w:pageBreakBefore w:val="0"/>
        <w:widowControl w:val="0"/>
        <w:kinsoku/>
        <w:wordWrap/>
        <w:overflowPunct/>
        <w:topLinePunct w:val="0"/>
        <w:autoSpaceDE/>
        <w:autoSpaceDN/>
        <w:bidi w:val="0"/>
        <w:adjustRightInd/>
        <w:snapToGrid w:val="0"/>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其他未尽事宜由供需双方在采购合同中详细约定。</w:t>
      </w:r>
    </w:p>
    <w:p w14:paraId="6656C2BA">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bCs/>
          <w:color w:val="auto"/>
          <w:sz w:val="24"/>
          <w:szCs w:val="24"/>
          <w:highlight w:val="none"/>
        </w:rPr>
      </w:pPr>
    </w:p>
    <w:p w14:paraId="1F869BEB">
      <w:pPr>
        <w:pStyle w:val="13"/>
        <w:spacing w:line="400" w:lineRule="exact"/>
        <w:ind w:firstLine="480" w:firstLineChars="200"/>
        <w:rPr>
          <w:rFonts w:hint="eastAsia" w:ascii="宋体" w:hAnsi="宋体" w:eastAsia="宋体" w:cs="宋体"/>
          <w:bCs/>
          <w:color w:val="auto"/>
          <w:sz w:val="24"/>
          <w:szCs w:val="24"/>
          <w:highlight w:val="none"/>
        </w:rPr>
      </w:pPr>
    </w:p>
    <w:p w14:paraId="3AFB677B">
      <w:pPr>
        <w:jc w:val="center"/>
        <w:rPr>
          <w:rFonts w:hint="eastAsia" w:ascii="宋体" w:hAnsi="宋体" w:eastAsia="宋体" w:cs="宋体"/>
          <w:b/>
          <w:color w:val="auto"/>
          <w:sz w:val="24"/>
          <w:szCs w:val="24"/>
          <w:highlight w:val="none"/>
        </w:rPr>
      </w:pPr>
      <w:bookmarkStart w:id="59" w:name="_Toc6453"/>
      <w:bookmarkStart w:id="60" w:name="_Toc487204778"/>
      <w:bookmarkStart w:id="61" w:name="_Toc3115"/>
    </w:p>
    <w:p w14:paraId="4E14DC5B">
      <w:pPr>
        <w:jc w:val="both"/>
        <w:outlineLvl w:val="0"/>
        <w:rPr>
          <w:rFonts w:hint="eastAsia" w:ascii="宋体" w:hAnsi="宋体" w:eastAsia="宋体" w:cs="宋体"/>
          <w:color w:val="auto"/>
          <w:sz w:val="24"/>
          <w:szCs w:val="24"/>
          <w:highlight w:val="none"/>
        </w:rPr>
      </w:pPr>
    </w:p>
    <w:p w14:paraId="769BC871">
      <w:pPr>
        <w:rPr>
          <w:rFonts w:hint="eastAsia" w:ascii="宋体" w:hAnsi="宋体" w:eastAsia="宋体" w:cs="宋体"/>
          <w:color w:val="auto"/>
          <w:sz w:val="36"/>
          <w:szCs w:val="30"/>
          <w:highlight w:val="none"/>
        </w:rPr>
      </w:pPr>
      <w:r>
        <w:rPr>
          <w:rFonts w:hint="eastAsia" w:ascii="宋体" w:hAnsi="宋体" w:eastAsia="宋体" w:cs="宋体"/>
          <w:color w:val="auto"/>
          <w:sz w:val="36"/>
          <w:szCs w:val="30"/>
          <w:highlight w:val="none"/>
        </w:rPr>
        <w:br w:type="page"/>
      </w:r>
    </w:p>
    <w:bookmarkEnd w:id="59"/>
    <w:bookmarkEnd w:id="60"/>
    <w:bookmarkEnd w:id="61"/>
    <w:p w14:paraId="0AD4A9B4">
      <w:pPr>
        <w:pStyle w:val="4"/>
        <w:pageBreakBefore/>
        <w:snapToGrid w:val="0"/>
        <w:spacing w:before="0" w:after="0" w:line="360" w:lineRule="auto"/>
        <w:jc w:val="center"/>
        <w:rPr>
          <w:rFonts w:hint="eastAsia" w:ascii="宋体" w:hAnsi="宋体" w:eastAsia="宋体"/>
          <w:b w:val="0"/>
          <w:color w:val="auto"/>
          <w:sz w:val="36"/>
          <w:szCs w:val="30"/>
          <w:highlight w:val="none"/>
        </w:rPr>
      </w:pPr>
      <w:bookmarkStart w:id="62" w:name="_Toc12201"/>
      <w:bookmarkStart w:id="63" w:name="_Toc487204782"/>
      <w:bookmarkStart w:id="64" w:name="_Toc342913393"/>
      <w:bookmarkStart w:id="65" w:name="_Toc179714298"/>
      <w:bookmarkStart w:id="66" w:name="_Toc102227319"/>
      <w:bookmarkStart w:id="67" w:name="_Toc426965633"/>
      <w:bookmarkStart w:id="68" w:name="_Toc31795"/>
      <w:bookmarkStart w:id="69" w:name="_Toc31741"/>
      <w:r>
        <w:rPr>
          <w:rFonts w:hint="eastAsia" w:ascii="宋体" w:hAnsi="宋体" w:eastAsia="宋体"/>
          <w:b/>
          <w:bCs/>
          <w:color w:val="auto"/>
          <w:sz w:val="36"/>
          <w:szCs w:val="30"/>
          <w:highlight w:val="none"/>
        </w:rPr>
        <w:t>第四篇  开标程序及方法、评审标准、无效响应和</w:t>
      </w:r>
      <w:r>
        <w:rPr>
          <w:rFonts w:hint="eastAsia" w:ascii="宋体" w:hAnsi="宋体" w:eastAsia="宋体"/>
          <w:b/>
          <w:bCs/>
          <w:color w:val="auto"/>
          <w:sz w:val="36"/>
          <w:szCs w:val="36"/>
          <w:highlight w:val="none"/>
        </w:rPr>
        <w:t>采购终止</w:t>
      </w:r>
      <w:bookmarkEnd w:id="62"/>
    </w:p>
    <w:p w14:paraId="4B19F30F">
      <w:pPr>
        <w:pStyle w:val="2"/>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szCs w:val="24"/>
          <w:highlight w:val="none"/>
        </w:rPr>
      </w:pPr>
      <w:bookmarkStart w:id="70" w:name="_Toc24853"/>
      <w:r>
        <w:rPr>
          <w:rFonts w:hint="eastAsia" w:ascii="宋体" w:hAnsi="宋体" w:cs="宋体"/>
          <w:color w:val="auto"/>
          <w:sz w:val="24"/>
          <w:szCs w:val="24"/>
          <w:highlight w:val="none"/>
          <w:lang w:eastAsia="zh-CN"/>
        </w:rPr>
        <w:t>一</w:t>
      </w:r>
      <w:r>
        <w:rPr>
          <w:rFonts w:hint="eastAsia" w:ascii="宋体" w:hAnsi="宋体" w:eastAsia="宋体" w:cs="宋体"/>
          <w:color w:val="auto"/>
          <w:sz w:val="24"/>
          <w:szCs w:val="24"/>
          <w:highlight w:val="none"/>
        </w:rPr>
        <w:t>、</w:t>
      </w:r>
      <w:bookmarkEnd w:id="63"/>
      <w:bookmarkEnd w:id="64"/>
      <w:bookmarkEnd w:id="65"/>
      <w:bookmarkEnd w:id="66"/>
      <w:bookmarkEnd w:id="67"/>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程序及成交标准</w:t>
      </w:r>
      <w:bookmarkEnd w:id="68"/>
      <w:bookmarkEnd w:id="69"/>
      <w:bookmarkEnd w:id="70"/>
    </w:p>
    <w:p w14:paraId="6D49D0CA">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（一）本项目</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按照</w:t>
      </w: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rPr>
        <w:t>规定的时间和地点进行。</w:t>
      </w:r>
    </w:p>
    <w:p w14:paraId="781D100C">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（二）资格性符合性检查</w:t>
      </w:r>
    </w:p>
    <w:p w14:paraId="5AC3644D">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1.资格性检查。依据法律法规和</w:t>
      </w: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rPr>
        <w:t>的规定，对响应文件中的资格证明等进行审查，以确定供应商是否具备</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资格。资格性检查资料表如下：</w:t>
      </w:r>
    </w:p>
    <w:tbl>
      <w:tblPr>
        <w:tblStyle w:val="24"/>
        <w:tblW w:w="94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1195"/>
        <w:gridCol w:w="3664"/>
        <w:gridCol w:w="3827"/>
      </w:tblGrid>
      <w:tr w14:paraId="2D5FB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46" w:type="dxa"/>
            <w:vAlign w:val="center"/>
          </w:tcPr>
          <w:p w14:paraId="6E4BBC8D">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序号</w:t>
            </w:r>
          </w:p>
        </w:tc>
        <w:tc>
          <w:tcPr>
            <w:tcW w:w="4859" w:type="dxa"/>
            <w:gridSpan w:val="2"/>
            <w:vAlign w:val="center"/>
          </w:tcPr>
          <w:p w14:paraId="68C3BBE4">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检查因素</w:t>
            </w:r>
          </w:p>
        </w:tc>
        <w:tc>
          <w:tcPr>
            <w:tcW w:w="3827" w:type="dxa"/>
            <w:vAlign w:val="center"/>
          </w:tcPr>
          <w:p w14:paraId="4F196059">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检查内容</w:t>
            </w:r>
          </w:p>
        </w:tc>
      </w:tr>
      <w:tr w14:paraId="7D35D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46" w:type="dxa"/>
            <w:vMerge w:val="restart"/>
            <w:vAlign w:val="center"/>
          </w:tcPr>
          <w:p w14:paraId="23309A18">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195" w:type="dxa"/>
            <w:vMerge w:val="restart"/>
            <w:vAlign w:val="center"/>
          </w:tcPr>
          <w:p w14:paraId="37903E10">
            <w:pPr>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《中华人民共和国政府采购法》第二十二条规定</w:t>
            </w:r>
          </w:p>
        </w:tc>
        <w:tc>
          <w:tcPr>
            <w:tcW w:w="3664" w:type="dxa"/>
            <w:vAlign w:val="center"/>
          </w:tcPr>
          <w:p w14:paraId="2E94BAC1">
            <w:pPr>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（1）具有独立承担民事责任的能力</w:t>
            </w:r>
          </w:p>
        </w:tc>
        <w:tc>
          <w:tcPr>
            <w:tcW w:w="3827" w:type="dxa"/>
            <w:vAlign w:val="center"/>
          </w:tcPr>
          <w:p w14:paraId="7505018B">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1.供应商法人营业执照（副本）或事业单位法人证书（副本）或个体工商户营业执照或有效的自然人身份证明或社会团体法人登记证书（提供复印件）。 </w:t>
            </w:r>
          </w:p>
          <w:p w14:paraId="79104017">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2.供应商法定代表人身份证明和法定代表人授权代表委托书。</w:t>
            </w:r>
          </w:p>
        </w:tc>
      </w:tr>
      <w:tr w14:paraId="67028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46" w:type="dxa"/>
            <w:vMerge w:val="continue"/>
            <w:vAlign w:val="center"/>
          </w:tcPr>
          <w:p w14:paraId="53BC12A6">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p>
        </w:tc>
        <w:tc>
          <w:tcPr>
            <w:tcW w:w="1195" w:type="dxa"/>
            <w:vMerge w:val="continue"/>
            <w:vAlign w:val="center"/>
          </w:tcPr>
          <w:p w14:paraId="5FF4348A">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p>
        </w:tc>
        <w:tc>
          <w:tcPr>
            <w:tcW w:w="3664" w:type="dxa"/>
            <w:vAlign w:val="center"/>
          </w:tcPr>
          <w:p w14:paraId="4254EC64">
            <w:pPr>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t>（2）</w:t>
            </w:r>
            <w:r>
              <w:rPr>
                <w:rFonts w:hint="eastAsia" w:ascii="宋体" w:hAnsi="宋体" w:eastAsia="宋体" w:cs="宋体"/>
                <w:color w:val="auto"/>
                <w:sz w:val="24"/>
                <w:szCs w:val="24"/>
                <w:highlight w:val="none"/>
              </w:rPr>
              <w:t>具有良好的商业信誉和健全的财务会计制度</w:t>
            </w:r>
          </w:p>
        </w:tc>
        <w:tc>
          <w:tcPr>
            <w:tcW w:w="3827" w:type="dxa"/>
            <w:vMerge w:val="restart"/>
            <w:vAlign w:val="center"/>
          </w:tcPr>
          <w:p w14:paraId="18D74A14">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供应商提供“基本资格条件承诺函”（格式详见第七篇）</w:t>
            </w:r>
          </w:p>
        </w:tc>
      </w:tr>
      <w:tr w14:paraId="43362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46" w:type="dxa"/>
            <w:vMerge w:val="continue"/>
            <w:vAlign w:val="center"/>
          </w:tcPr>
          <w:p w14:paraId="345469FA">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p>
        </w:tc>
        <w:tc>
          <w:tcPr>
            <w:tcW w:w="1195" w:type="dxa"/>
            <w:vMerge w:val="continue"/>
            <w:vAlign w:val="center"/>
          </w:tcPr>
          <w:p w14:paraId="676B16FD">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p>
        </w:tc>
        <w:tc>
          <w:tcPr>
            <w:tcW w:w="3664" w:type="dxa"/>
            <w:vAlign w:val="center"/>
          </w:tcPr>
          <w:p w14:paraId="27564DA5">
            <w:pPr>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（3）具有履行合同所必需的设备和专业技术能力</w:t>
            </w:r>
          </w:p>
        </w:tc>
        <w:tc>
          <w:tcPr>
            <w:tcW w:w="3827" w:type="dxa"/>
            <w:vMerge w:val="continue"/>
            <w:vAlign w:val="center"/>
          </w:tcPr>
          <w:p w14:paraId="73C94F66">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p>
        </w:tc>
      </w:tr>
      <w:tr w14:paraId="2C413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46" w:type="dxa"/>
            <w:vMerge w:val="continue"/>
            <w:vAlign w:val="center"/>
          </w:tcPr>
          <w:p w14:paraId="5C41DFEA">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p>
        </w:tc>
        <w:tc>
          <w:tcPr>
            <w:tcW w:w="1195" w:type="dxa"/>
            <w:vMerge w:val="continue"/>
            <w:vAlign w:val="center"/>
          </w:tcPr>
          <w:p w14:paraId="300E67FC">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lang w:val="zh-CN"/>
              </w:rPr>
            </w:pPr>
          </w:p>
        </w:tc>
        <w:tc>
          <w:tcPr>
            <w:tcW w:w="3664" w:type="dxa"/>
            <w:vAlign w:val="center"/>
          </w:tcPr>
          <w:p w14:paraId="2F8048D6">
            <w:pPr>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（4）有依法缴纳税收和社会保障金的良好记录</w:t>
            </w:r>
          </w:p>
        </w:tc>
        <w:tc>
          <w:tcPr>
            <w:tcW w:w="3827" w:type="dxa"/>
            <w:vMerge w:val="continue"/>
            <w:vAlign w:val="center"/>
          </w:tcPr>
          <w:p w14:paraId="29D68666">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p>
        </w:tc>
      </w:tr>
      <w:tr w14:paraId="185DF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46" w:type="dxa"/>
            <w:vMerge w:val="continue"/>
            <w:vAlign w:val="center"/>
          </w:tcPr>
          <w:p w14:paraId="308B9A3B">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p>
        </w:tc>
        <w:tc>
          <w:tcPr>
            <w:tcW w:w="1195" w:type="dxa"/>
            <w:vMerge w:val="continue"/>
            <w:vAlign w:val="center"/>
          </w:tcPr>
          <w:p w14:paraId="0BFD38C3">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lang w:val="zh-CN"/>
              </w:rPr>
            </w:pPr>
          </w:p>
        </w:tc>
        <w:tc>
          <w:tcPr>
            <w:tcW w:w="3664" w:type="dxa"/>
            <w:vAlign w:val="center"/>
          </w:tcPr>
          <w:p w14:paraId="023F51AD">
            <w:pPr>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rPr>
              <w:t>（5）参加政府采购活动前三年内，在经营活动中没有重大违法记录（注①）</w:t>
            </w:r>
          </w:p>
        </w:tc>
        <w:tc>
          <w:tcPr>
            <w:tcW w:w="3827" w:type="dxa"/>
            <w:vMerge w:val="continue"/>
            <w:vAlign w:val="center"/>
          </w:tcPr>
          <w:p w14:paraId="75F21BFF">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p>
        </w:tc>
      </w:tr>
      <w:tr w14:paraId="7A099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46" w:type="dxa"/>
            <w:vMerge w:val="continue"/>
            <w:vAlign w:val="center"/>
          </w:tcPr>
          <w:p w14:paraId="306E5464">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p>
        </w:tc>
        <w:tc>
          <w:tcPr>
            <w:tcW w:w="1195" w:type="dxa"/>
            <w:vMerge w:val="continue"/>
            <w:vAlign w:val="center"/>
          </w:tcPr>
          <w:p w14:paraId="5DA0C3C6">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lang w:val="zh-CN"/>
              </w:rPr>
            </w:pPr>
          </w:p>
        </w:tc>
        <w:tc>
          <w:tcPr>
            <w:tcW w:w="3664" w:type="dxa"/>
            <w:vAlign w:val="center"/>
          </w:tcPr>
          <w:p w14:paraId="44E5DBD2">
            <w:pPr>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（6）法律、行政法规规定的其他条件</w:t>
            </w:r>
          </w:p>
        </w:tc>
        <w:tc>
          <w:tcPr>
            <w:tcW w:w="3827" w:type="dxa"/>
            <w:vAlign w:val="center"/>
          </w:tcPr>
          <w:p w14:paraId="5E5237D1">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p>
        </w:tc>
      </w:tr>
      <w:tr w14:paraId="6B26B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46" w:type="dxa"/>
            <w:vAlign w:val="center"/>
          </w:tcPr>
          <w:p w14:paraId="610E09A1">
            <w:pPr>
              <w:pageBreakBefore w:val="0"/>
              <w:widowControl w:val="0"/>
              <w:kinsoku/>
              <w:wordWrap/>
              <w:overflowPunct/>
              <w:topLinePunct w:val="0"/>
              <w:autoSpaceDE/>
              <w:autoSpaceDN/>
              <w:bidi w:val="0"/>
              <w:spacing w:line="400" w:lineRule="exact"/>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p>
        </w:tc>
        <w:tc>
          <w:tcPr>
            <w:tcW w:w="1195" w:type="dxa"/>
            <w:vAlign w:val="center"/>
          </w:tcPr>
          <w:p w14:paraId="76A13F3B">
            <w:pPr>
              <w:pageBreakBefore w:val="0"/>
              <w:widowControl w:val="0"/>
              <w:kinsoku/>
              <w:wordWrap/>
              <w:overflowPunct/>
              <w:topLinePunct w:val="0"/>
              <w:autoSpaceDE/>
              <w:autoSpaceDN/>
              <w:bidi w:val="0"/>
              <w:spacing w:line="400" w:lineRule="exact"/>
              <w:jc w:val="center"/>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保证金</w:t>
            </w:r>
          </w:p>
        </w:tc>
        <w:tc>
          <w:tcPr>
            <w:tcW w:w="7491" w:type="dxa"/>
            <w:gridSpan w:val="2"/>
            <w:vAlign w:val="center"/>
          </w:tcPr>
          <w:p w14:paraId="2470FBCC">
            <w:pPr>
              <w:pageBreakBefore w:val="0"/>
              <w:widowControl w:val="0"/>
              <w:kinsoku/>
              <w:wordWrap/>
              <w:overflowPunct/>
              <w:topLinePunct w:val="0"/>
              <w:autoSpaceDE/>
              <w:autoSpaceDN/>
              <w:bidi w:val="0"/>
              <w:spacing w:line="40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按询比采购文件足额缴纳询比保证金</w:t>
            </w:r>
          </w:p>
        </w:tc>
      </w:tr>
    </w:tbl>
    <w:p w14:paraId="2F31D7B1">
      <w:pPr>
        <w:pStyle w:val="13"/>
        <w:pageBreakBefore w:val="0"/>
        <w:widowControl w:val="0"/>
        <w:kinsoku/>
        <w:wordWrap/>
        <w:overflowPunct/>
        <w:topLinePunct w:val="0"/>
        <w:autoSpaceDE/>
        <w:autoSpaceDN/>
        <w:bidi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w:t>
      </w:r>
    </w:p>
    <w:p w14:paraId="36F72F22">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sym w:font="Wingdings" w:char="F081"/>
      </w:r>
      <w:r>
        <w:rPr>
          <w:rFonts w:hint="eastAsia" w:ascii="宋体" w:hAnsi="宋体" w:eastAsia="宋体" w:cs="宋体"/>
          <w:color w:val="auto"/>
          <w:sz w:val="24"/>
          <w:szCs w:val="24"/>
          <w:highlight w:val="none"/>
        </w:rPr>
        <w:t>供应商按“五证合一”登记制度办理营业执照的，组织机构代码证、税务登记证（副本）和社会保险登记证以供应商所提供的营业执照（副本）复印件为准。</w:t>
      </w:r>
    </w:p>
    <w:p w14:paraId="0DEC3544">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sym w:font="Wingdings" w:char="F082"/>
      </w:r>
      <w:r>
        <w:rPr>
          <w:rFonts w:hint="eastAsia" w:ascii="宋体" w:hAnsi="宋体" w:eastAsia="宋体" w:cs="宋体"/>
          <w:color w:val="auto"/>
          <w:sz w:val="24"/>
          <w:szCs w:val="24"/>
          <w:highlight w:val="none"/>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被执行人所在的省、自治区、直辖市人民政府制定，国务院有关部门规定了较大数额标准的，从其规定。</w:t>
      </w:r>
    </w:p>
    <w:p w14:paraId="23F3A451">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符合性检查。依据</w:t>
      </w: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rPr>
        <w:t>的规定，从响应文件的有效性、完整性和对</w:t>
      </w: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rPr>
        <w:t>的响应程度进行审查，以确定是否对</w:t>
      </w: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rPr>
        <w:t>的实质性要求作出响应。符合性检查资料表如下：</w:t>
      </w:r>
    </w:p>
    <w:tbl>
      <w:tblPr>
        <w:tblStyle w:val="24"/>
        <w:tblW w:w="94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1253"/>
        <w:gridCol w:w="2422"/>
        <w:gridCol w:w="4931"/>
        <w:gridCol w:w="7"/>
      </w:tblGrid>
      <w:tr w14:paraId="7E853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25" w:type="dxa"/>
            <w:tcBorders>
              <w:top w:val="single" w:color="auto" w:sz="4" w:space="0"/>
              <w:left w:val="single" w:color="auto" w:sz="4" w:space="0"/>
              <w:bottom w:val="single" w:color="auto" w:sz="4" w:space="0"/>
              <w:right w:val="single" w:color="auto" w:sz="4" w:space="0"/>
            </w:tcBorders>
            <w:vAlign w:val="center"/>
          </w:tcPr>
          <w:p w14:paraId="14D25AA7">
            <w:pPr>
              <w:pStyle w:val="13"/>
              <w:keepNext w:val="0"/>
              <w:keepLines w:val="0"/>
              <w:pageBreakBefore w:val="0"/>
              <w:widowControl w:val="0"/>
              <w:kinsoku/>
              <w:wordWrap/>
              <w:overflowPunct/>
              <w:topLinePunct w:val="0"/>
              <w:autoSpaceDE/>
              <w:autoSpaceDN/>
              <w:bidi w:val="0"/>
              <w:adjustRightInd/>
              <w:snapToGrid w:val="0"/>
              <w:spacing w:line="400" w:lineRule="exact"/>
              <w:ind w:firstLine="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3675" w:type="dxa"/>
            <w:gridSpan w:val="2"/>
            <w:tcBorders>
              <w:top w:val="single" w:color="auto" w:sz="4" w:space="0"/>
              <w:left w:val="single" w:color="auto" w:sz="4" w:space="0"/>
              <w:bottom w:val="single" w:color="auto" w:sz="4" w:space="0"/>
              <w:right w:val="single" w:color="auto" w:sz="4" w:space="0"/>
            </w:tcBorders>
            <w:vAlign w:val="center"/>
          </w:tcPr>
          <w:p w14:paraId="6716A7CA">
            <w:pPr>
              <w:pStyle w:val="13"/>
              <w:keepNext w:val="0"/>
              <w:keepLines w:val="0"/>
              <w:pageBreakBefore w:val="0"/>
              <w:widowControl w:val="0"/>
              <w:kinsoku/>
              <w:wordWrap/>
              <w:overflowPunct/>
              <w:topLinePunct w:val="0"/>
              <w:autoSpaceDE/>
              <w:autoSpaceDN/>
              <w:bidi w:val="0"/>
              <w:adjustRightInd/>
              <w:snapToGrid w:val="0"/>
              <w:spacing w:line="400" w:lineRule="exact"/>
              <w:ind w:firstLine="480" w:firstLineChars="20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评审因素</w:t>
            </w:r>
          </w:p>
        </w:tc>
        <w:tc>
          <w:tcPr>
            <w:tcW w:w="4938" w:type="dxa"/>
            <w:gridSpan w:val="2"/>
            <w:tcBorders>
              <w:top w:val="single" w:color="auto" w:sz="4" w:space="0"/>
              <w:left w:val="single" w:color="auto" w:sz="4" w:space="0"/>
              <w:bottom w:val="single" w:color="auto" w:sz="4" w:space="0"/>
              <w:right w:val="single" w:color="auto" w:sz="4" w:space="0"/>
            </w:tcBorders>
            <w:vAlign w:val="center"/>
          </w:tcPr>
          <w:p w14:paraId="50D90A70">
            <w:pPr>
              <w:pStyle w:val="13"/>
              <w:keepNext w:val="0"/>
              <w:keepLines w:val="0"/>
              <w:pageBreakBefore w:val="0"/>
              <w:widowControl w:val="0"/>
              <w:kinsoku/>
              <w:wordWrap/>
              <w:overflowPunct/>
              <w:topLinePunct w:val="0"/>
              <w:autoSpaceDE/>
              <w:autoSpaceDN/>
              <w:bidi w:val="0"/>
              <w:adjustRightInd/>
              <w:snapToGrid w:val="0"/>
              <w:spacing w:line="400" w:lineRule="exact"/>
              <w:ind w:firstLine="480" w:firstLineChars="20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评审标准</w:t>
            </w:r>
          </w:p>
        </w:tc>
      </w:tr>
      <w:tr w14:paraId="64D43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23" w:hRule="atLeast"/>
          <w:jc w:val="center"/>
        </w:trPr>
        <w:tc>
          <w:tcPr>
            <w:tcW w:w="825" w:type="dxa"/>
            <w:vMerge w:val="restart"/>
            <w:tcBorders>
              <w:top w:val="single" w:color="auto" w:sz="4" w:space="0"/>
              <w:left w:val="single" w:color="auto" w:sz="4" w:space="0"/>
              <w:bottom w:val="single" w:color="auto" w:sz="4" w:space="0"/>
              <w:right w:val="single" w:color="auto" w:sz="4" w:space="0"/>
            </w:tcBorders>
            <w:vAlign w:val="center"/>
          </w:tcPr>
          <w:p w14:paraId="0508640C">
            <w:pPr>
              <w:pStyle w:val="13"/>
              <w:keepNext w:val="0"/>
              <w:keepLines w:val="0"/>
              <w:pageBreakBefore w:val="0"/>
              <w:widowControl w:val="0"/>
              <w:kinsoku/>
              <w:wordWrap/>
              <w:overflowPunct/>
              <w:topLinePunct w:val="0"/>
              <w:autoSpaceDE/>
              <w:autoSpaceDN/>
              <w:bidi w:val="0"/>
              <w:adjustRightInd/>
              <w:snapToGrid w:val="0"/>
              <w:spacing w:line="400" w:lineRule="exact"/>
              <w:ind w:firstLine="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253" w:type="dxa"/>
            <w:vMerge w:val="restart"/>
            <w:tcBorders>
              <w:top w:val="single" w:color="auto" w:sz="4" w:space="0"/>
              <w:left w:val="single" w:color="auto" w:sz="4" w:space="0"/>
              <w:bottom w:val="single" w:color="auto" w:sz="4" w:space="0"/>
              <w:right w:val="single" w:color="auto" w:sz="4" w:space="0"/>
            </w:tcBorders>
            <w:vAlign w:val="center"/>
          </w:tcPr>
          <w:p w14:paraId="7B82E634">
            <w:pPr>
              <w:pStyle w:val="13"/>
              <w:keepNext w:val="0"/>
              <w:keepLines w:val="0"/>
              <w:pageBreakBefore w:val="0"/>
              <w:widowControl w:val="0"/>
              <w:kinsoku/>
              <w:wordWrap/>
              <w:overflowPunct/>
              <w:topLinePunct w:val="0"/>
              <w:autoSpaceDE/>
              <w:autoSpaceDN/>
              <w:bidi w:val="0"/>
              <w:adjustRightInd/>
              <w:snapToGrid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有效性审查</w:t>
            </w:r>
          </w:p>
        </w:tc>
        <w:tc>
          <w:tcPr>
            <w:tcW w:w="2422" w:type="dxa"/>
            <w:tcBorders>
              <w:top w:val="single" w:color="auto" w:sz="4" w:space="0"/>
              <w:left w:val="single" w:color="auto" w:sz="4" w:space="0"/>
              <w:bottom w:val="single" w:color="auto" w:sz="4" w:space="0"/>
              <w:right w:val="single" w:color="auto" w:sz="4" w:space="0"/>
            </w:tcBorders>
            <w:vAlign w:val="center"/>
          </w:tcPr>
          <w:p w14:paraId="2DDA3947">
            <w:pPr>
              <w:pStyle w:val="13"/>
              <w:keepNext w:val="0"/>
              <w:keepLines w:val="0"/>
              <w:pageBreakBefore w:val="0"/>
              <w:widowControl w:val="0"/>
              <w:kinsoku/>
              <w:wordWrap/>
              <w:overflowPunct/>
              <w:topLinePunct w:val="0"/>
              <w:autoSpaceDE/>
              <w:autoSpaceDN/>
              <w:bidi w:val="0"/>
              <w:adjustRightInd/>
              <w:snapToGrid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响应文件签署</w:t>
            </w:r>
          </w:p>
        </w:tc>
        <w:tc>
          <w:tcPr>
            <w:tcW w:w="4931" w:type="dxa"/>
            <w:tcBorders>
              <w:top w:val="single" w:color="auto" w:sz="4" w:space="0"/>
              <w:left w:val="single" w:color="auto" w:sz="4" w:space="0"/>
              <w:bottom w:val="single" w:color="auto" w:sz="4" w:space="0"/>
              <w:right w:val="single" w:color="auto" w:sz="4" w:space="0"/>
            </w:tcBorders>
            <w:vAlign w:val="center"/>
          </w:tcPr>
          <w:p w14:paraId="34FE5431">
            <w:pPr>
              <w:pStyle w:val="13"/>
              <w:keepNext w:val="0"/>
              <w:keepLines w:val="0"/>
              <w:pageBreakBefore w:val="0"/>
              <w:widowControl w:val="0"/>
              <w:kinsoku/>
              <w:wordWrap/>
              <w:overflowPunct/>
              <w:topLinePunct w:val="0"/>
              <w:autoSpaceDE/>
              <w:autoSpaceDN/>
              <w:bidi w:val="0"/>
              <w:adjustRightInd/>
              <w:snapToGrid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响应文件上法定代表人或其授权代表人的签字齐全。</w:t>
            </w:r>
          </w:p>
        </w:tc>
      </w:tr>
      <w:tr w14:paraId="72406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23" w:hRule="atLeast"/>
          <w:jc w:val="center"/>
        </w:trPr>
        <w:tc>
          <w:tcPr>
            <w:tcW w:w="825" w:type="dxa"/>
            <w:vMerge w:val="continue"/>
            <w:tcBorders>
              <w:top w:val="single" w:color="auto" w:sz="4" w:space="0"/>
              <w:left w:val="single" w:color="auto" w:sz="4" w:space="0"/>
              <w:bottom w:val="single" w:color="auto" w:sz="4" w:space="0"/>
              <w:right w:val="single" w:color="auto" w:sz="4" w:space="0"/>
            </w:tcBorders>
            <w:vAlign w:val="center"/>
          </w:tcPr>
          <w:p w14:paraId="5716641C">
            <w:pPr>
              <w:pStyle w:val="13"/>
              <w:keepNext w:val="0"/>
              <w:keepLines w:val="0"/>
              <w:pageBreakBefore w:val="0"/>
              <w:widowControl w:val="0"/>
              <w:kinsoku/>
              <w:wordWrap/>
              <w:overflowPunct/>
              <w:topLinePunct w:val="0"/>
              <w:autoSpaceDE/>
              <w:autoSpaceDN/>
              <w:bidi w:val="0"/>
              <w:adjustRightInd/>
              <w:snapToGrid w:val="0"/>
              <w:spacing w:line="400" w:lineRule="exact"/>
              <w:ind w:firstLine="480" w:firstLineChars="200"/>
              <w:jc w:val="center"/>
              <w:textAlignment w:val="auto"/>
              <w:rPr>
                <w:rFonts w:hint="eastAsia" w:ascii="宋体" w:hAnsi="宋体" w:eastAsia="宋体" w:cs="宋体"/>
                <w:color w:val="auto"/>
                <w:sz w:val="24"/>
                <w:szCs w:val="24"/>
                <w:highlight w:val="none"/>
              </w:rPr>
            </w:pPr>
          </w:p>
        </w:tc>
        <w:tc>
          <w:tcPr>
            <w:tcW w:w="1253" w:type="dxa"/>
            <w:vMerge w:val="continue"/>
            <w:tcBorders>
              <w:top w:val="single" w:color="auto" w:sz="4" w:space="0"/>
              <w:left w:val="single" w:color="auto" w:sz="4" w:space="0"/>
              <w:bottom w:val="single" w:color="auto" w:sz="4" w:space="0"/>
              <w:right w:val="single" w:color="auto" w:sz="4" w:space="0"/>
            </w:tcBorders>
            <w:vAlign w:val="center"/>
          </w:tcPr>
          <w:p w14:paraId="77A17BCA">
            <w:pPr>
              <w:pStyle w:val="13"/>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宋体" w:hAnsi="宋体" w:eastAsia="宋体" w:cs="宋体"/>
                <w:color w:val="auto"/>
                <w:sz w:val="24"/>
                <w:szCs w:val="24"/>
                <w:highlight w:val="none"/>
              </w:rPr>
            </w:pPr>
          </w:p>
        </w:tc>
        <w:tc>
          <w:tcPr>
            <w:tcW w:w="2422" w:type="dxa"/>
            <w:tcBorders>
              <w:top w:val="single" w:color="auto" w:sz="4" w:space="0"/>
              <w:left w:val="single" w:color="auto" w:sz="4" w:space="0"/>
              <w:bottom w:val="single" w:color="auto" w:sz="4" w:space="0"/>
              <w:right w:val="single" w:color="auto" w:sz="4" w:space="0"/>
            </w:tcBorders>
            <w:vAlign w:val="center"/>
          </w:tcPr>
          <w:p w14:paraId="796839A6">
            <w:pPr>
              <w:pStyle w:val="13"/>
              <w:keepNext w:val="0"/>
              <w:keepLines w:val="0"/>
              <w:pageBreakBefore w:val="0"/>
              <w:widowControl w:val="0"/>
              <w:kinsoku/>
              <w:wordWrap/>
              <w:overflowPunct/>
              <w:topLinePunct w:val="0"/>
              <w:autoSpaceDE/>
              <w:autoSpaceDN/>
              <w:bidi w:val="0"/>
              <w:adjustRightInd/>
              <w:snapToGrid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法定代表人身份证明及授权委托书</w:t>
            </w:r>
          </w:p>
        </w:tc>
        <w:tc>
          <w:tcPr>
            <w:tcW w:w="4931" w:type="dxa"/>
            <w:tcBorders>
              <w:top w:val="single" w:color="auto" w:sz="4" w:space="0"/>
              <w:left w:val="single" w:color="auto" w:sz="4" w:space="0"/>
              <w:bottom w:val="single" w:color="auto" w:sz="4" w:space="0"/>
              <w:right w:val="single" w:color="auto" w:sz="4" w:space="0"/>
            </w:tcBorders>
            <w:vAlign w:val="center"/>
          </w:tcPr>
          <w:p w14:paraId="173E5295">
            <w:pPr>
              <w:pStyle w:val="13"/>
              <w:keepNext w:val="0"/>
              <w:keepLines w:val="0"/>
              <w:pageBreakBefore w:val="0"/>
              <w:widowControl w:val="0"/>
              <w:kinsoku/>
              <w:wordWrap/>
              <w:overflowPunct/>
              <w:topLinePunct w:val="0"/>
              <w:autoSpaceDE/>
              <w:autoSpaceDN/>
              <w:bidi w:val="0"/>
              <w:adjustRightInd/>
              <w:snapToGrid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法定代表人身份证明及授权委托书有效，符合</w:t>
            </w: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rPr>
              <w:t>规定的格式，签字或盖章齐全。</w:t>
            </w:r>
          </w:p>
        </w:tc>
      </w:tr>
      <w:tr w14:paraId="56CF3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23" w:hRule="atLeast"/>
          <w:jc w:val="center"/>
        </w:trPr>
        <w:tc>
          <w:tcPr>
            <w:tcW w:w="825" w:type="dxa"/>
            <w:vMerge w:val="continue"/>
            <w:tcBorders>
              <w:top w:val="single" w:color="auto" w:sz="4" w:space="0"/>
              <w:left w:val="single" w:color="auto" w:sz="4" w:space="0"/>
              <w:bottom w:val="single" w:color="auto" w:sz="4" w:space="0"/>
              <w:right w:val="single" w:color="auto" w:sz="4" w:space="0"/>
            </w:tcBorders>
            <w:vAlign w:val="center"/>
          </w:tcPr>
          <w:p w14:paraId="3E8342DA">
            <w:pPr>
              <w:pStyle w:val="13"/>
              <w:keepNext w:val="0"/>
              <w:keepLines w:val="0"/>
              <w:pageBreakBefore w:val="0"/>
              <w:widowControl w:val="0"/>
              <w:kinsoku/>
              <w:wordWrap/>
              <w:overflowPunct/>
              <w:topLinePunct w:val="0"/>
              <w:autoSpaceDE/>
              <w:autoSpaceDN/>
              <w:bidi w:val="0"/>
              <w:adjustRightInd/>
              <w:snapToGrid w:val="0"/>
              <w:spacing w:line="400" w:lineRule="exact"/>
              <w:ind w:firstLine="480" w:firstLineChars="200"/>
              <w:jc w:val="center"/>
              <w:textAlignment w:val="auto"/>
              <w:rPr>
                <w:rFonts w:hint="eastAsia" w:ascii="宋体" w:hAnsi="宋体" w:eastAsia="宋体" w:cs="宋体"/>
                <w:color w:val="auto"/>
                <w:sz w:val="24"/>
                <w:szCs w:val="24"/>
                <w:highlight w:val="none"/>
              </w:rPr>
            </w:pPr>
          </w:p>
        </w:tc>
        <w:tc>
          <w:tcPr>
            <w:tcW w:w="1253" w:type="dxa"/>
            <w:vMerge w:val="continue"/>
            <w:tcBorders>
              <w:top w:val="single" w:color="auto" w:sz="4" w:space="0"/>
              <w:left w:val="single" w:color="auto" w:sz="4" w:space="0"/>
              <w:bottom w:val="single" w:color="auto" w:sz="4" w:space="0"/>
              <w:right w:val="single" w:color="auto" w:sz="4" w:space="0"/>
            </w:tcBorders>
            <w:vAlign w:val="center"/>
          </w:tcPr>
          <w:p w14:paraId="165CD732">
            <w:pPr>
              <w:pStyle w:val="13"/>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宋体" w:hAnsi="宋体" w:eastAsia="宋体" w:cs="宋体"/>
                <w:color w:val="auto"/>
                <w:sz w:val="24"/>
                <w:szCs w:val="24"/>
                <w:highlight w:val="none"/>
              </w:rPr>
            </w:pPr>
          </w:p>
        </w:tc>
        <w:tc>
          <w:tcPr>
            <w:tcW w:w="2422" w:type="dxa"/>
            <w:tcBorders>
              <w:top w:val="single" w:color="auto" w:sz="4" w:space="0"/>
              <w:left w:val="single" w:color="auto" w:sz="4" w:space="0"/>
              <w:bottom w:val="single" w:color="auto" w:sz="4" w:space="0"/>
              <w:right w:val="single" w:color="auto" w:sz="4" w:space="0"/>
            </w:tcBorders>
            <w:vAlign w:val="center"/>
          </w:tcPr>
          <w:p w14:paraId="099C3A86">
            <w:pPr>
              <w:pStyle w:val="13"/>
              <w:keepNext w:val="0"/>
              <w:keepLines w:val="0"/>
              <w:pageBreakBefore w:val="0"/>
              <w:widowControl w:val="0"/>
              <w:kinsoku/>
              <w:wordWrap/>
              <w:overflowPunct/>
              <w:topLinePunct w:val="0"/>
              <w:autoSpaceDE/>
              <w:autoSpaceDN/>
              <w:bidi w:val="0"/>
              <w:adjustRightInd/>
              <w:snapToGrid w:val="0"/>
              <w:spacing w:line="400" w:lineRule="exact"/>
              <w:ind w:firstLine="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rPr>
              <w:t>响应</w:t>
            </w:r>
            <w:r>
              <w:rPr>
                <w:rFonts w:hint="eastAsia" w:ascii="宋体" w:hAnsi="宋体" w:eastAsia="宋体" w:cs="宋体"/>
                <w:color w:val="auto"/>
                <w:sz w:val="24"/>
                <w:szCs w:val="24"/>
                <w:highlight w:val="none"/>
                <w:lang w:val="zh-CN"/>
              </w:rPr>
              <w:t>方案</w:t>
            </w:r>
          </w:p>
        </w:tc>
        <w:tc>
          <w:tcPr>
            <w:tcW w:w="4931" w:type="dxa"/>
            <w:tcBorders>
              <w:top w:val="single" w:color="auto" w:sz="4" w:space="0"/>
              <w:left w:val="single" w:color="auto" w:sz="4" w:space="0"/>
              <w:bottom w:val="single" w:color="auto" w:sz="4" w:space="0"/>
              <w:right w:val="single" w:color="auto" w:sz="4" w:space="0"/>
            </w:tcBorders>
            <w:vAlign w:val="center"/>
          </w:tcPr>
          <w:p w14:paraId="40CDEA7B">
            <w:pPr>
              <w:pStyle w:val="13"/>
              <w:keepNext w:val="0"/>
              <w:keepLines w:val="0"/>
              <w:pageBreakBefore w:val="0"/>
              <w:widowControl w:val="0"/>
              <w:kinsoku/>
              <w:wordWrap/>
              <w:overflowPunct/>
              <w:topLinePunct w:val="0"/>
              <w:autoSpaceDE/>
              <w:autoSpaceDN/>
              <w:bidi w:val="0"/>
              <w:adjustRightInd/>
              <w:snapToGrid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t>每个分包只能有一个</w:t>
            </w:r>
            <w:r>
              <w:rPr>
                <w:rFonts w:hint="eastAsia" w:ascii="宋体" w:hAnsi="宋体" w:eastAsia="宋体" w:cs="宋体"/>
                <w:color w:val="auto"/>
                <w:sz w:val="24"/>
                <w:szCs w:val="24"/>
                <w:highlight w:val="none"/>
              </w:rPr>
              <w:t>响应</w:t>
            </w:r>
            <w:r>
              <w:rPr>
                <w:rFonts w:hint="eastAsia" w:ascii="宋体" w:hAnsi="宋体" w:eastAsia="宋体" w:cs="宋体"/>
                <w:color w:val="auto"/>
                <w:sz w:val="24"/>
                <w:szCs w:val="24"/>
                <w:highlight w:val="none"/>
                <w:lang w:val="zh-CN"/>
              </w:rPr>
              <w:t>方案。</w:t>
            </w:r>
          </w:p>
        </w:tc>
      </w:tr>
      <w:tr w14:paraId="54066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23" w:hRule="atLeast"/>
          <w:jc w:val="center"/>
        </w:trPr>
        <w:tc>
          <w:tcPr>
            <w:tcW w:w="825" w:type="dxa"/>
            <w:vMerge w:val="continue"/>
            <w:tcBorders>
              <w:top w:val="single" w:color="auto" w:sz="4" w:space="0"/>
              <w:left w:val="single" w:color="auto" w:sz="4" w:space="0"/>
              <w:bottom w:val="single" w:color="auto" w:sz="4" w:space="0"/>
              <w:right w:val="single" w:color="auto" w:sz="4" w:space="0"/>
            </w:tcBorders>
            <w:vAlign w:val="center"/>
          </w:tcPr>
          <w:p w14:paraId="67B2221B">
            <w:pPr>
              <w:pStyle w:val="13"/>
              <w:keepNext w:val="0"/>
              <w:keepLines w:val="0"/>
              <w:pageBreakBefore w:val="0"/>
              <w:widowControl w:val="0"/>
              <w:kinsoku/>
              <w:wordWrap/>
              <w:overflowPunct/>
              <w:topLinePunct w:val="0"/>
              <w:autoSpaceDE/>
              <w:autoSpaceDN/>
              <w:bidi w:val="0"/>
              <w:adjustRightInd/>
              <w:snapToGrid w:val="0"/>
              <w:spacing w:line="400" w:lineRule="exact"/>
              <w:ind w:firstLine="480" w:firstLineChars="200"/>
              <w:jc w:val="center"/>
              <w:textAlignment w:val="auto"/>
              <w:rPr>
                <w:rFonts w:hint="eastAsia" w:ascii="宋体" w:hAnsi="宋体" w:eastAsia="宋体" w:cs="宋体"/>
                <w:color w:val="auto"/>
                <w:sz w:val="24"/>
                <w:szCs w:val="24"/>
                <w:highlight w:val="none"/>
              </w:rPr>
            </w:pPr>
          </w:p>
        </w:tc>
        <w:tc>
          <w:tcPr>
            <w:tcW w:w="1253" w:type="dxa"/>
            <w:vMerge w:val="continue"/>
            <w:tcBorders>
              <w:top w:val="single" w:color="auto" w:sz="4" w:space="0"/>
              <w:left w:val="single" w:color="auto" w:sz="4" w:space="0"/>
              <w:bottom w:val="single" w:color="auto" w:sz="4" w:space="0"/>
              <w:right w:val="single" w:color="auto" w:sz="4" w:space="0"/>
            </w:tcBorders>
            <w:vAlign w:val="center"/>
          </w:tcPr>
          <w:p w14:paraId="65CDEAA8">
            <w:pPr>
              <w:pStyle w:val="13"/>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宋体" w:hAnsi="宋体" w:eastAsia="宋体" w:cs="宋体"/>
                <w:color w:val="auto"/>
                <w:sz w:val="24"/>
                <w:szCs w:val="24"/>
                <w:highlight w:val="none"/>
              </w:rPr>
            </w:pPr>
          </w:p>
        </w:tc>
        <w:tc>
          <w:tcPr>
            <w:tcW w:w="2422" w:type="dxa"/>
            <w:tcBorders>
              <w:top w:val="single" w:color="auto" w:sz="4" w:space="0"/>
              <w:left w:val="single" w:color="auto" w:sz="4" w:space="0"/>
              <w:bottom w:val="single" w:color="auto" w:sz="4" w:space="0"/>
              <w:right w:val="single" w:color="auto" w:sz="4" w:space="0"/>
            </w:tcBorders>
            <w:vAlign w:val="center"/>
          </w:tcPr>
          <w:p w14:paraId="09C27979">
            <w:pPr>
              <w:pStyle w:val="13"/>
              <w:keepNext w:val="0"/>
              <w:keepLines w:val="0"/>
              <w:pageBreakBefore w:val="0"/>
              <w:widowControl w:val="0"/>
              <w:kinsoku/>
              <w:wordWrap/>
              <w:overflowPunct/>
              <w:topLinePunct w:val="0"/>
              <w:autoSpaceDE/>
              <w:autoSpaceDN/>
              <w:bidi w:val="0"/>
              <w:adjustRightInd/>
              <w:snapToGrid w:val="0"/>
              <w:spacing w:line="400" w:lineRule="exact"/>
              <w:ind w:firstLine="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rPr>
              <w:t>报价唯一</w:t>
            </w:r>
          </w:p>
        </w:tc>
        <w:tc>
          <w:tcPr>
            <w:tcW w:w="4931" w:type="dxa"/>
            <w:tcBorders>
              <w:top w:val="single" w:color="auto" w:sz="4" w:space="0"/>
              <w:left w:val="single" w:color="auto" w:sz="4" w:space="0"/>
              <w:bottom w:val="single" w:color="auto" w:sz="4" w:space="0"/>
              <w:right w:val="single" w:color="auto" w:sz="4" w:space="0"/>
            </w:tcBorders>
            <w:vAlign w:val="center"/>
          </w:tcPr>
          <w:p w14:paraId="27E471BD">
            <w:pPr>
              <w:pStyle w:val="13"/>
              <w:keepNext w:val="0"/>
              <w:keepLines w:val="0"/>
              <w:pageBreakBefore w:val="0"/>
              <w:widowControl w:val="0"/>
              <w:kinsoku/>
              <w:wordWrap/>
              <w:overflowPunct/>
              <w:topLinePunct w:val="0"/>
              <w:autoSpaceDE/>
              <w:autoSpaceDN/>
              <w:bidi w:val="0"/>
              <w:adjustRightInd/>
              <w:snapToGrid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只能有一个有效报价，不得提交选择性报价。</w:t>
            </w:r>
          </w:p>
        </w:tc>
      </w:tr>
      <w:tr w14:paraId="0F67C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23" w:hRule="atLeast"/>
          <w:jc w:val="center"/>
        </w:trPr>
        <w:tc>
          <w:tcPr>
            <w:tcW w:w="825" w:type="dxa"/>
            <w:tcBorders>
              <w:top w:val="single" w:color="auto" w:sz="4" w:space="0"/>
              <w:left w:val="single" w:color="auto" w:sz="4" w:space="0"/>
              <w:bottom w:val="single" w:color="auto" w:sz="4" w:space="0"/>
              <w:right w:val="single" w:color="auto" w:sz="4" w:space="0"/>
            </w:tcBorders>
            <w:vAlign w:val="center"/>
          </w:tcPr>
          <w:p w14:paraId="7EFCFB33">
            <w:pPr>
              <w:pStyle w:val="13"/>
              <w:keepNext w:val="0"/>
              <w:keepLines w:val="0"/>
              <w:pageBreakBefore w:val="0"/>
              <w:widowControl w:val="0"/>
              <w:kinsoku/>
              <w:wordWrap/>
              <w:overflowPunct/>
              <w:topLinePunct w:val="0"/>
              <w:autoSpaceDE/>
              <w:autoSpaceDN/>
              <w:bidi w:val="0"/>
              <w:adjustRightInd/>
              <w:snapToGrid w:val="0"/>
              <w:spacing w:line="400" w:lineRule="exact"/>
              <w:ind w:firstLine="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1253" w:type="dxa"/>
            <w:tcBorders>
              <w:top w:val="single" w:color="auto" w:sz="4" w:space="0"/>
              <w:left w:val="single" w:color="auto" w:sz="4" w:space="0"/>
              <w:bottom w:val="single" w:color="auto" w:sz="4" w:space="0"/>
              <w:right w:val="single" w:color="auto" w:sz="4" w:space="0"/>
            </w:tcBorders>
            <w:vAlign w:val="center"/>
          </w:tcPr>
          <w:p w14:paraId="45EFD30D">
            <w:pPr>
              <w:pStyle w:val="13"/>
              <w:keepNext w:val="0"/>
              <w:keepLines w:val="0"/>
              <w:pageBreakBefore w:val="0"/>
              <w:widowControl w:val="0"/>
              <w:kinsoku/>
              <w:wordWrap/>
              <w:overflowPunct/>
              <w:topLinePunct w:val="0"/>
              <w:autoSpaceDE/>
              <w:autoSpaceDN/>
              <w:bidi w:val="0"/>
              <w:adjustRightInd/>
              <w:snapToGrid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完整性审查</w:t>
            </w:r>
          </w:p>
        </w:tc>
        <w:tc>
          <w:tcPr>
            <w:tcW w:w="2422" w:type="dxa"/>
            <w:tcBorders>
              <w:top w:val="single" w:color="auto" w:sz="4" w:space="0"/>
              <w:left w:val="single" w:color="auto" w:sz="4" w:space="0"/>
              <w:bottom w:val="single" w:color="auto" w:sz="4" w:space="0"/>
              <w:right w:val="single" w:color="auto" w:sz="4" w:space="0"/>
            </w:tcBorders>
            <w:vAlign w:val="center"/>
          </w:tcPr>
          <w:p w14:paraId="183F2B0B">
            <w:pPr>
              <w:pStyle w:val="13"/>
              <w:keepNext w:val="0"/>
              <w:keepLines w:val="0"/>
              <w:pageBreakBefore w:val="0"/>
              <w:widowControl w:val="0"/>
              <w:kinsoku/>
              <w:wordWrap/>
              <w:overflowPunct/>
              <w:topLinePunct w:val="0"/>
              <w:autoSpaceDE/>
              <w:autoSpaceDN/>
              <w:bidi w:val="0"/>
              <w:adjustRightInd/>
              <w:snapToGrid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w:t>
            </w:r>
            <w:r>
              <w:rPr>
                <w:rFonts w:hint="eastAsia" w:ascii="宋体" w:hAnsi="宋体" w:eastAsia="宋体" w:cs="宋体"/>
                <w:color w:val="auto"/>
                <w:sz w:val="24"/>
                <w:szCs w:val="24"/>
                <w:highlight w:val="none"/>
                <w:lang w:val="zh-CN"/>
              </w:rPr>
              <w:t>文件份数</w:t>
            </w:r>
          </w:p>
        </w:tc>
        <w:tc>
          <w:tcPr>
            <w:tcW w:w="4931" w:type="dxa"/>
            <w:tcBorders>
              <w:top w:val="single" w:color="auto" w:sz="4" w:space="0"/>
              <w:left w:val="single" w:color="auto" w:sz="4" w:space="0"/>
              <w:bottom w:val="single" w:color="auto" w:sz="4" w:space="0"/>
              <w:right w:val="single" w:color="auto" w:sz="4" w:space="0"/>
            </w:tcBorders>
            <w:vAlign w:val="center"/>
          </w:tcPr>
          <w:p w14:paraId="71DD994D">
            <w:pPr>
              <w:pStyle w:val="13"/>
              <w:keepNext w:val="0"/>
              <w:keepLines w:val="0"/>
              <w:pageBreakBefore w:val="0"/>
              <w:widowControl w:val="0"/>
              <w:kinsoku/>
              <w:wordWrap/>
              <w:overflowPunct/>
              <w:topLinePunct w:val="0"/>
              <w:autoSpaceDE/>
              <w:autoSpaceDN/>
              <w:bidi w:val="0"/>
              <w:adjustRightInd/>
              <w:snapToGrid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w:t>
            </w:r>
            <w:r>
              <w:rPr>
                <w:rFonts w:hint="eastAsia" w:ascii="宋体" w:hAnsi="宋体" w:eastAsia="宋体" w:cs="宋体"/>
                <w:color w:val="auto"/>
                <w:sz w:val="24"/>
                <w:szCs w:val="24"/>
                <w:highlight w:val="none"/>
                <w:lang w:val="zh-CN"/>
              </w:rPr>
              <w:t>文件正、副本</w:t>
            </w:r>
            <w:r>
              <w:rPr>
                <w:rFonts w:hint="eastAsia" w:ascii="宋体" w:hAnsi="宋体" w:cs="宋体"/>
                <w:color w:val="auto"/>
                <w:sz w:val="24"/>
                <w:szCs w:val="24"/>
                <w:highlight w:val="none"/>
                <w:lang w:val="zh-CN"/>
              </w:rPr>
              <w:t>数量</w:t>
            </w:r>
            <w:r>
              <w:rPr>
                <w:rFonts w:hint="eastAsia" w:ascii="宋体" w:hAnsi="宋体" w:eastAsia="宋体" w:cs="宋体"/>
                <w:color w:val="auto"/>
                <w:sz w:val="24"/>
                <w:szCs w:val="24"/>
                <w:highlight w:val="none"/>
                <w:lang w:val="zh-CN"/>
              </w:rPr>
              <w:t>符合</w:t>
            </w: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lang w:val="zh-CN"/>
              </w:rPr>
              <w:t>要求。</w:t>
            </w:r>
          </w:p>
        </w:tc>
      </w:tr>
      <w:tr w14:paraId="36EBB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23" w:hRule="atLeast"/>
          <w:jc w:val="center"/>
        </w:trPr>
        <w:tc>
          <w:tcPr>
            <w:tcW w:w="825" w:type="dxa"/>
            <w:vMerge w:val="restart"/>
            <w:tcBorders>
              <w:top w:val="single" w:color="auto" w:sz="4" w:space="0"/>
              <w:left w:val="single" w:color="auto" w:sz="4" w:space="0"/>
              <w:bottom w:val="single" w:color="auto" w:sz="4" w:space="0"/>
              <w:right w:val="single" w:color="auto" w:sz="4" w:space="0"/>
            </w:tcBorders>
            <w:vAlign w:val="center"/>
          </w:tcPr>
          <w:p w14:paraId="1DF9AD15">
            <w:pPr>
              <w:pStyle w:val="13"/>
              <w:keepNext w:val="0"/>
              <w:keepLines w:val="0"/>
              <w:pageBreakBefore w:val="0"/>
              <w:widowControl w:val="0"/>
              <w:kinsoku/>
              <w:wordWrap/>
              <w:overflowPunct/>
              <w:topLinePunct w:val="0"/>
              <w:autoSpaceDE/>
              <w:autoSpaceDN/>
              <w:bidi w:val="0"/>
              <w:adjustRightInd/>
              <w:snapToGrid w:val="0"/>
              <w:spacing w:line="400" w:lineRule="exact"/>
              <w:ind w:firstLine="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1253" w:type="dxa"/>
            <w:vMerge w:val="restart"/>
            <w:tcBorders>
              <w:top w:val="single" w:color="auto" w:sz="4" w:space="0"/>
              <w:left w:val="single" w:color="auto" w:sz="4" w:space="0"/>
              <w:bottom w:val="single" w:color="auto" w:sz="4" w:space="0"/>
              <w:right w:val="single" w:color="auto" w:sz="4" w:space="0"/>
            </w:tcBorders>
            <w:vAlign w:val="center"/>
          </w:tcPr>
          <w:p w14:paraId="5F851014">
            <w:pPr>
              <w:pStyle w:val="13"/>
              <w:keepNext w:val="0"/>
              <w:keepLines w:val="0"/>
              <w:pageBreakBefore w:val="0"/>
              <w:widowControl w:val="0"/>
              <w:kinsoku/>
              <w:wordWrap/>
              <w:overflowPunct/>
              <w:topLinePunct w:val="0"/>
              <w:autoSpaceDE/>
              <w:autoSpaceDN/>
              <w:bidi w:val="0"/>
              <w:adjustRightInd/>
              <w:snapToGrid w:val="0"/>
              <w:spacing w:line="400" w:lineRule="exact"/>
              <w:ind w:firstLine="0"/>
              <w:textAlignment w:val="auto"/>
              <w:rPr>
                <w:rFonts w:hint="eastAsia" w:ascii="宋体" w:hAnsi="宋体" w:eastAsia="宋体" w:cs="宋体"/>
                <w:color w:val="auto"/>
                <w:sz w:val="24"/>
                <w:szCs w:val="24"/>
                <w:highlight w:val="none"/>
                <w:lang w:val="zh-CN"/>
              </w:rPr>
            </w:pP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rPr>
              <w:t>的响应程度审查</w:t>
            </w:r>
          </w:p>
        </w:tc>
        <w:tc>
          <w:tcPr>
            <w:tcW w:w="2422" w:type="dxa"/>
            <w:tcBorders>
              <w:top w:val="single" w:color="auto" w:sz="4" w:space="0"/>
              <w:left w:val="single" w:color="auto" w:sz="4" w:space="0"/>
              <w:bottom w:val="single" w:color="auto" w:sz="4" w:space="0"/>
              <w:right w:val="single" w:color="auto" w:sz="4" w:space="0"/>
            </w:tcBorders>
            <w:vAlign w:val="center"/>
          </w:tcPr>
          <w:p w14:paraId="3B61434F">
            <w:pPr>
              <w:pStyle w:val="13"/>
              <w:keepNext w:val="0"/>
              <w:keepLines w:val="0"/>
              <w:pageBreakBefore w:val="0"/>
              <w:widowControl w:val="0"/>
              <w:kinsoku/>
              <w:wordWrap/>
              <w:overflowPunct/>
              <w:topLinePunct w:val="0"/>
              <w:autoSpaceDE/>
              <w:autoSpaceDN/>
              <w:bidi w:val="0"/>
              <w:adjustRightInd/>
              <w:snapToGrid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响应文件内容</w:t>
            </w:r>
          </w:p>
        </w:tc>
        <w:tc>
          <w:tcPr>
            <w:tcW w:w="4931" w:type="dxa"/>
            <w:tcBorders>
              <w:top w:val="single" w:color="auto" w:sz="4" w:space="0"/>
              <w:left w:val="single" w:color="auto" w:sz="4" w:space="0"/>
              <w:bottom w:val="single" w:color="auto" w:sz="4" w:space="0"/>
              <w:right w:val="single" w:color="auto" w:sz="4" w:space="0"/>
            </w:tcBorders>
            <w:vAlign w:val="center"/>
          </w:tcPr>
          <w:p w14:paraId="519B7AA5">
            <w:pPr>
              <w:pStyle w:val="13"/>
              <w:keepNext w:val="0"/>
              <w:keepLines w:val="0"/>
              <w:pageBreakBefore w:val="0"/>
              <w:widowControl w:val="0"/>
              <w:kinsoku/>
              <w:wordWrap/>
              <w:overflowPunct/>
              <w:topLinePunct w:val="0"/>
              <w:autoSpaceDE/>
              <w:autoSpaceDN/>
              <w:bidi w:val="0"/>
              <w:adjustRightInd/>
              <w:snapToGrid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对</w:t>
            </w: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rPr>
              <w:t>第二篇、第三篇规定的内容作出响应。</w:t>
            </w:r>
          </w:p>
        </w:tc>
      </w:tr>
      <w:tr w14:paraId="51392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23" w:hRule="atLeast"/>
          <w:jc w:val="center"/>
        </w:trPr>
        <w:tc>
          <w:tcPr>
            <w:tcW w:w="825" w:type="dxa"/>
            <w:vMerge w:val="continue"/>
            <w:tcBorders>
              <w:top w:val="single" w:color="auto" w:sz="4" w:space="0"/>
              <w:left w:val="single" w:color="auto" w:sz="4" w:space="0"/>
              <w:bottom w:val="single" w:color="auto" w:sz="4" w:space="0"/>
              <w:right w:val="single" w:color="auto" w:sz="4" w:space="0"/>
            </w:tcBorders>
            <w:vAlign w:val="center"/>
          </w:tcPr>
          <w:p w14:paraId="68AB2224">
            <w:pPr>
              <w:pStyle w:val="13"/>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宋体" w:hAnsi="宋体" w:eastAsia="宋体" w:cs="宋体"/>
                <w:color w:val="auto"/>
                <w:sz w:val="24"/>
                <w:szCs w:val="24"/>
                <w:highlight w:val="none"/>
              </w:rPr>
            </w:pPr>
          </w:p>
        </w:tc>
        <w:tc>
          <w:tcPr>
            <w:tcW w:w="1253" w:type="dxa"/>
            <w:vMerge w:val="continue"/>
            <w:tcBorders>
              <w:top w:val="single" w:color="auto" w:sz="4" w:space="0"/>
              <w:left w:val="single" w:color="auto" w:sz="4" w:space="0"/>
              <w:bottom w:val="single" w:color="auto" w:sz="4" w:space="0"/>
              <w:right w:val="single" w:color="auto" w:sz="4" w:space="0"/>
            </w:tcBorders>
            <w:vAlign w:val="center"/>
          </w:tcPr>
          <w:p w14:paraId="3F51A687">
            <w:pPr>
              <w:pStyle w:val="13"/>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宋体" w:hAnsi="宋体" w:eastAsia="宋体" w:cs="宋体"/>
                <w:color w:val="auto"/>
                <w:sz w:val="24"/>
                <w:szCs w:val="24"/>
                <w:highlight w:val="none"/>
                <w:lang w:val="zh-CN"/>
              </w:rPr>
            </w:pPr>
          </w:p>
        </w:tc>
        <w:tc>
          <w:tcPr>
            <w:tcW w:w="2422" w:type="dxa"/>
            <w:tcBorders>
              <w:top w:val="single" w:color="auto" w:sz="4" w:space="0"/>
              <w:left w:val="single" w:color="auto" w:sz="4" w:space="0"/>
              <w:bottom w:val="single" w:color="auto" w:sz="4" w:space="0"/>
              <w:right w:val="single" w:color="auto" w:sz="4" w:space="0"/>
            </w:tcBorders>
            <w:vAlign w:val="center"/>
          </w:tcPr>
          <w:p w14:paraId="18DA1843">
            <w:pPr>
              <w:pStyle w:val="13"/>
              <w:keepNext w:val="0"/>
              <w:keepLines w:val="0"/>
              <w:pageBreakBefore w:val="0"/>
              <w:widowControl w:val="0"/>
              <w:kinsoku/>
              <w:wordWrap/>
              <w:overflowPunct/>
              <w:topLinePunct w:val="0"/>
              <w:autoSpaceDE/>
              <w:autoSpaceDN/>
              <w:bidi w:val="0"/>
              <w:adjustRightInd/>
              <w:snapToGrid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有效期</w:t>
            </w:r>
          </w:p>
        </w:tc>
        <w:tc>
          <w:tcPr>
            <w:tcW w:w="4931" w:type="dxa"/>
            <w:tcBorders>
              <w:top w:val="single" w:color="auto" w:sz="4" w:space="0"/>
              <w:left w:val="single" w:color="auto" w:sz="4" w:space="0"/>
              <w:bottom w:val="single" w:color="auto" w:sz="4" w:space="0"/>
              <w:right w:val="single" w:color="auto" w:sz="4" w:space="0"/>
            </w:tcBorders>
            <w:vAlign w:val="center"/>
          </w:tcPr>
          <w:p w14:paraId="29CEF8E9">
            <w:pPr>
              <w:pStyle w:val="13"/>
              <w:keepNext w:val="0"/>
              <w:keepLines w:val="0"/>
              <w:pageBreakBefore w:val="0"/>
              <w:widowControl w:val="0"/>
              <w:kinsoku/>
              <w:wordWrap/>
              <w:overflowPunct/>
              <w:topLinePunct w:val="0"/>
              <w:autoSpaceDE/>
              <w:autoSpaceDN/>
              <w:bidi w:val="0"/>
              <w:adjustRightInd/>
              <w:snapToGrid w:val="0"/>
              <w:spacing w:line="400" w:lineRule="exact"/>
              <w:ind w:firstLine="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rPr>
              <w:t>满足</w:t>
            </w: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lang w:val="zh-CN"/>
              </w:rPr>
              <w:t>规定。</w:t>
            </w:r>
          </w:p>
        </w:tc>
      </w:tr>
    </w:tbl>
    <w:p w14:paraId="1E0FCB7E">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eastAsia="zh-CN"/>
        </w:rPr>
        <w:t>三</w:t>
      </w:r>
      <w:r>
        <w:rPr>
          <w:rFonts w:hint="eastAsia" w:ascii="宋体" w:hAnsi="宋体" w:cs="宋体"/>
          <w:color w:val="auto"/>
          <w:kern w:val="0"/>
          <w:sz w:val="24"/>
          <w:szCs w:val="24"/>
          <w:highlight w:val="none"/>
        </w:rPr>
        <w:t>）澄清有关问题。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09AC8F42">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eastAsia="zh-CN"/>
        </w:rPr>
        <w:t>四</w:t>
      </w:r>
      <w:r>
        <w:rPr>
          <w:rFonts w:hint="eastAsia" w:ascii="宋体" w:hAnsi="宋体" w:cs="宋体"/>
          <w:color w:val="auto"/>
          <w:kern w:val="0"/>
          <w:sz w:val="24"/>
          <w:szCs w:val="24"/>
          <w:highlight w:val="none"/>
        </w:rPr>
        <w:t>）评审小组要求供应商澄清、说明或者更正响应文件应当以书面形式作出。供应商的澄清、说明或者更正应当由法定代表人或其授权代表签字或者加盖公章。由授权代表签字的，应当附法定代表人授权书。</w:t>
      </w:r>
    </w:p>
    <w:p w14:paraId="7555A4A0">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eastAsia="zh-CN"/>
        </w:rPr>
        <w:t>五</w:t>
      </w:r>
      <w:r>
        <w:rPr>
          <w:rFonts w:hint="eastAsia" w:ascii="宋体" w:hAnsi="宋体" w:cs="宋体"/>
          <w:color w:val="auto"/>
          <w:kern w:val="0"/>
          <w:sz w:val="24"/>
          <w:szCs w:val="24"/>
          <w:highlight w:val="none"/>
        </w:rPr>
        <w:t>）评审小组采用综合评分法对供应商的响应文件进行综合评分。综合评分法，是指响应文件</w:t>
      </w:r>
      <w:r>
        <w:rPr>
          <w:rFonts w:ascii="宋体" w:hAnsi="宋体" w:cs="宋体"/>
          <w:color w:val="auto"/>
          <w:kern w:val="0"/>
          <w:sz w:val="24"/>
          <w:szCs w:val="24"/>
          <w:highlight w:val="none"/>
        </w:rPr>
        <w:t>满足</w:t>
      </w:r>
      <w:r>
        <w:rPr>
          <w:rFonts w:hint="eastAsia" w:ascii="宋体" w:hAnsi="宋体" w:cs="宋体"/>
          <w:color w:val="auto"/>
          <w:kern w:val="0"/>
          <w:sz w:val="24"/>
          <w:szCs w:val="24"/>
          <w:highlight w:val="none"/>
        </w:rPr>
        <w:t>网上</w:t>
      </w:r>
      <w:r>
        <w:rPr>
          <w:rFonts w:hint="eastAsia" w:ascii="宋体" w:hAnsi="宋体" w:cs="宋体"/>
          <w:color w:val="auto"/>
          <w:kern w:val="0"/>
          <w:sz w:val="24"/>
          <w:szCs w:val="24"/>
          <w:highlight w:val="none"/>
          <w:lang w:eastAsia="zh-CN"/>
        </w:rPr>
        <w:t>询比文件</w:t>
      </w:r>
      <w:r>
        <w:rPr>
          <w:rFonts w:ascii="宋体" w:hAnsi="宋体" w:cs="宋体"/>
          <w:color w:val="auto"/>
          <w:kern w:val="0"/>
          <w:sz w:val="24"/>
          <w:szCs w:val="24"/>
          <w:highlight w:val="none"/>
        </w:rPr>
        <w:t>全部实质性要求且按照评审因素的量化指标评审得分最高的供应商为</w:t>
      </w:r>
      <w:r>
        <w:rPr>
          <w:rFonts w:hint="eastAsia" w:ascii="宋体" w:hAnsi="宋体" w:cs="宋体"/>
          <w:color w:val="auto"/>
          <w:kern w:val="0"/>
          <w:sz w:val="24"/>
          <w:szCs w:val="24"/>
          <w:highlight w:val="none"/>
        </w:rPr>
        <w:t>成交</w:t>
      </w:r>
      <w:r>
        <w:rPr>
          <w:rFonts w:ascii="宋体" w:hAnsi="宋体" w:cs="宋体"/>
          <w:color w:val="auto"/>
          <w:kern w:val="0"/>
          <w:sz w:val="24"/>
          <w:szCs w:val="24"/>
          <w:highlight w:val="none"/>
        </w:rPr>
        <w:t>候选</w:t>
      </w:r>
      <w:r>
        <w:rPr>
          <w:rFonts w:hint="eastAsia" w:ascii="宋体" w:hAnsi="宋体" w:cs="宋体"/>
          <w:color w:val="auto"/>
          <w:kern w:val="0"/>
          <w:sz w:val="24"/>
          <w:szCs w:val="24"/>
          <w:highlight w:val="none"/>
        </w:rPr>
        <w:t>供应商</w:t>
      </w:r>
      <w:r>
        <w:rPr>
          <w:rFonts w:ascii="宋体" w:hAnsi="宋体" w:cs="宋体"/>
          <w:color w:val="auto"/>
          <w:kern w:val="0"/>
          <w:sz w:val="24"/>
          <w:szCs w:val="24"/>
          <w:highlight w:val="none"/>
        </w:rPr>
        <w:t>的</w:t>
      </w:r>
      <w:r>
        <w:rPr>
          <w:rFonts w:hint="eastAsia" w:ascii="宋体" w:hAnsi="宋体" w:cs="宋体"/>
          <w:color w:val="auto"/>
          <w:kern w:val="0"/>
          <w:sz w:val="24"/>
          <w:szCs w:val="24"/>
          <w:highlight w:val="none"/>
        </w:rPr>
        <w:t>评审</w:t>
      </w:r>
      <w:r>
        <w:rPr>
          <w:rFonts w:ascii="宋体" w:hAnsi="宋体" w:cs="宋体"/>
          <w:color w:val="auto"/>
          <w:kern w:val="0"/>
          <w:sz w:val="24"/>
          <w:szCs w:val="24"/>
          <w:highlight w:val="none"/>
        </w:rPr>
        <w:t>方法</w:t>
      </w:r>
      <w:r>
        <w:rPr>
          <w:rFonts w:hint="eastAsia" w:ascii="宋体" w:hAnsi="宋体" w:cs="宋体"/>
          <w:color w:val="auto"/>
          <w:kern w:val="0"/>
          <w:sz w:val="24"/>
          <w:szCs w:val="24"/>
          <w:highlight w:val="none"/>
        </w:rPr>
        <w:t>。供应商总得分为价格、</w:t>
      </w:r>
      <w:r>
        <w:rPr>
          <w:rFonts w:hint="eastAsia" w:ascii="宋体" w:hAnsi="宋体" w:cs="宋体"/>
          <w:color w:val="auto"/>
          <w:kern w:val="0"/>
          <w:sz w:val="24"/>
          <w:szCs w:val="24"/>
          <w:highlight w:val="none"/>
          <w:lang w:eastAsia="zh-CN"/>
        </w:rPr>
        <w:t>技术</w:t>
      </w:r>
      <w:r>
        <w:rPr>
          <w:rFonts w:hint="eastAsia" w:ascii="宋体" w:hAnsi="宋体" w:cs="宋体"/>
          <w:color w:val="auto"/>
          <w:kern w:val="0"/>
          <w:sz w:val="24"/>
          <w:szCs w:val="24"/>
          <w:highlight w:val="none"/>
        </w:rPr>
        <w:t>、商务等评定因素分别按照相应权重值计算分项得分后相加，</w:t>
      </w:r>
      <w:r>
        <w:rPr>
          <w:rFonts w:hint="eastAsia" w:ascii="宋体" w:hAnsi="宋体" w:cs="宋体"/>
          <w:color w:val="auto"/>
          <w:sz w:val="24"/>
          <w:szCs w:val="24"/>
          <w:highlight w:val="none"/>
        </w:rPr>
        <w:t>满分为10</w:t>
      </w:r>
      <w:r>
        <w:rPr>
          <w:rFonts w:hint="eastAsia" w:ascii="宋体" w:hAnsi="宋体" w:cs="宋体"/>
          <w:color w:val="auto"/>
          <w:sz w:val="24"/>
          <w:szCs w:val="24"/>
          <w:highlight w:val="none"/>
          <w:lang w:val="en-US" w:eastAsia="zh-CN"/>
        </w:rPr>
        <w:t>0分</w:t>
      </w:r>
      <w:r>
        <w:rPr>
          <w:rFonts w:hint="eastAsia" w:ascii="宋体" w:hAnsi="宋体" w:cs="宋体"/>
          <w:color w:val="auto"/>
          <w:sz w:val="24"/>
          <w:szCs w:val="24"/>
          <w:highlight w:val="none"/>
        </w:rPr>
        <w:t>。</w:t>
      </w:r>
    </w:p>
    <w:p w14:paraId="47F520D3">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eastAsia="zh-CN"/>
        </w:rPr>
        <w:t>六</w:t>
      </w:r>
      <w:r>
        <w:rPr>
          <w:rFonts w:hint="eastAsia" w:ascii="宋体" w:hAnsi="宋体" w:cs="宋体"/>
          <w:color w:val="auto"/>
          <w:kern w:val="0"/>
          <w:sz w:val="24"/>
          <w:szCs w:val="24"/>
          <w:highlight w:val="none"/>
        </w:rPr>
        <w:t>）评审小组各成员独立对每个有效响应（通过资格审查、符合性审查的供应商）的文件进行评价、打分，</w:t>
      </w:r>
      <w:r>
        <w:rPr>
          <w:rFonts w:hint="eastAsia" w:ascii="宋体" w:hAnsi="宋体" w:cs="宋体"/>
          <w:color w:val="auto"/>
          <w:sz w:val="24"/>
          <w:szCs w:val="24"/>
          <w:highlight w:val="none"/>
        </w:rPr>
        <w:t>然后由评审小组对各成员打分情况进行核查及复核，个别成员对同一供应商同一评分项的打分偏离较大的，应对供应商的</w:t>
      </w:r>
      <w:r>
        <w:rPr>
          <w:rFonts w:hint="eastAsia" w:ascii="宋体" w:hAnsi="宋体" w:cs="宋体"/>
          <w:color w:val="auto"/>
          <w:sz w:val="24"/>
          <w:szCs w:val="24"/>
          <w:highlight w:val="none"/>
          <w:lang w:eastAsia="zh-CN"/>
        </w:rPr>
        <w:t>响应</w:t>
      </w:r>
      <w:r>
        <w:rPr>
          <w:rFonts w:hint="eastAsia" w:ascii="宋体" w:hAnsi="宋体" w:cs="宋体"/>
          <w:color w:val="auto"/>
          <w:sz w:val="24"/>
          <w:szCs w:val="24"/>
          <w:highlight w:val="none"/>
        </w:rPr>
        <w:t>进行再次核对，确属打分有误的，应及时进行修正。复核后，评审小组汇总每个供应商每项评分因素的得分</w:t>
      </w:r>
      <w:r>
        <w:rPr>
          <w:rFonts w:hint="eastAsia" w:ascii="宋体" w:hAnsi="宋体" w:cs="宋体"/>
          <w:color w:val="auto"/>
          <w:kern w:val="0"/>
          <w:sz w:val="24"/>
          <w:szCs w:val="24"/>
          <w:highlight w:val="none"/>
        </w:rPr>
        <w:t>，并根据综合评分情况按照评审得分由高到低顺序推荐成交候选供应商，并编写评审报告。若供应商的评审得分相同的，按照</w:t>
      </w:r>
      <w:r>
        <w:rPr>
          <w:rFonts w:hint="eastAsia" w:ascii="宋体" w:hAnsi="宋体" w:cs="宋体"/>
          <w:color w:val="auto"/>
          <w:kern w:val="0"/>
          <w:sz w:val="24"/>
          <w:szCs w:val="24"/>
          <w:highlight w:val="none"/>
          <w:lang w:eastAsia="zh-CN"/>
        </w:rPr>
        <w:t>询比</w:t>
      </w:r>
      <w:r>
        <w:rPr>
          <w:rFonts w:hint="eastAsia" w:ascii="宋体" w:hAnsi="宋体" w:cs="宋体"/>
          <w:color w:val="auto"/>
          <w:kern w:val="0"/>
          <w:sz w:val="24"/>
          <w:szCs w:val="24"/>
          <w:highlight w:val="none"/>
        </w:rPr>
        <w:t>报价由低到高的顺序排列推荐。评审得分且</w:t>
      </w:r>
      <w:r>
        <w:rPr>
          <w:rFonts w:hint="eastAsia" w:ascii="宋体" w:hAnsi="宋体" w:cs="宋体"/>
          <w:color w:val="auto"/>
          <w:kern w:val="0"/>
          <w:sz w:val="24"/>
          <w:szCs w:val="24"/>
          <w:highlight w:val="none"/>
          <w:lang w:eastAsia="zh-CN"/>
        </w:rPr>
        <w:t>询比</w:t>
      </w:r>
      <w:r>
        <w:rPr>
          <w:rFonts w:hint="eastAsia" w:ascii="宋体" w:hAnsi="宋体" w:cs="宋体"/>
          <w:color w:val="auto"/>
          <w:kern w:val="0"/>
          <w:sz w:val="24"/>
          <w:szCs w:val="24"/>
          <w:highlight w:val="none"/>
        </w:rPr>
        <w:t>报价相同的，按照</w:t>
      </w:r>
      <w:r>
        <w:rPr>
          <w:rFonts w:hint="eastAsia" w:ascii="宋体" w:hAnsi="宋体" w:cs="宋体"/>
          <w:color w:val="auto"/>
          <w:kern w:val="0"/>
          <w:sz w:val="24"/>
          <w:szCs w:val="24"/>
          <w:highlight w:val="none"/>
          <w:lang w:eastAsia="zh-CN"/>
        </w:rPr>
        <w:t>服务</w:t>
      </w:r>
      <w:r>
        <w:rPr>
          <w:rFonts w:hint="eastAsia" w:ascii="宋体" w:hAnsi="宋体" w:cs="宋体"/>
          <w:color w:val="auto"/>
          <w:kern w:val="0"/>
          <w:sz w:val="24"/>
          <w:szCs w:val="24"/>
          <w:highlight w:val="none"/>
        </w:rPr>
        <w:t>指标优劣顺序排列推荐。若供应商的</w:t>
      </w:r>
      <w:r>
        <w:rPr>
          <w:rFonts w:hint="eastAsia" w:ascii="宋体" w:hAnsi="宋体" w:cs="宋体"/>
          <w:color w:val="auto"/>
          <w:kern w:val="0"/>
          <w:sz w:val="24"/>
          <w:szCs w:val="24"/>
          <w:highlight w:val="none"/>
          <w:lang w:eastAsia="zh-CN"/>
        </w:rPr>
        <w:t>服务</w:t>
      </w:r>
      <w:r>
        <w:rPr>
          <w:rFonts w:hint="eastAsia" w:ascii="宋体" w:hAnsi="宋体" w:cs="宋体"/>
          <w:color w:val="auto"/>
          <w:kern w:val="0"/>
          <w:sz w:val="24"/>
          <w:szCs w:val="24"/>
          <w:highlight w:val="none"/>
        </w:rPr>
        <w:t>部分为0分，将失去成为成交候选供应商的资格。</w:t>
      </w:r>
      <w:bookmarkStart w:id="71" w:name="_Toc104806988"/>
      <w:bookmarkStart w:id="72" w:name="_Toc15278"/>
      <w:bookmarkStart w:id="73" w:name="_Toc1719"/>
    </w:p>
    <w:p w14:paraId="765FC324">
      <w:pPr>
        <w:pageBreakBefore w:val="0"/>
        <w:widowControl w:val="0"/>
        <w:kinsoku/>
        <w:wordWrap/>
        <w:overflowPunct/>
        <w:topLinePunct w:val="0"/>
        <w:autoSpaceDE/>
        <w:autoSpaceDN/>
        <w:bidi w:val="0"/>
        <w:spacing w:line="400" w:lineRule="exact"/>
        <w:ind w:firstLine="482" w:firstLineChars="200"/>
        <w:textAlignment w:val="auto"/>
        <w:rPr>
          <w:rFonts w:hint="eastAsia" w:ascii="宋体" w:hAnsi="宋体" w:eastAsia="宋体" w:cs="宋体"/>
          <w:b/>
          <w:bCs/>
          <w:color w:val="auto"/>
          <w:sz w:val="24"/>
          <w:szCs w:val="24"/>
          <w:highlight w:val="none"/>
          <w:lang w:eastAsia="zh-CN"/>
        </w:rPr>
      </w:pPr>
      <w:bookmarkStart w:id="74" w:name="_Toc24791"/>
      <w:r>
        <w:rPr>
          <w:rFonts w:hint="eastAsia" w:ascii="宋体" w:hAnsi="宋体" w:eastAsia="宋体" w:cs="宋体"/>
          <w:b/>
          <w:bCs/>
          <w:color w:val="auto"/>
          <w:sz w:val="24"/>
          <w:szCs w:val="24"/>
          <w:highlight w:val="none"/>
          <w:lang w:eastAsia="zh-CN"/>
        </w:rPr>
        <w:t>二、评审标准</w:t>
      </w:r>
      <w:bookmarkEnd w:id="71"/>
      <w:bookmarkEnd w:id="74"/>
    </w:p>
    <w:tbl>
      <w:tblPr>
        <w:tblStyle w:val="24"/>
        <w:tblW w:w="937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63"/>
        <w:gridCol w:w="1472"/>
        <w:gridCol w:w="4917"/>
        <w:gridCol w:w="2125"/>
      </w:tblGrid>
      <w:tr w14:paraId="278CEB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63" w:type="dxa"/>
            <w:tcBorders>
              <w:top w:val="single" w:color="000000" w:sz="4" w:space="0"/>
              <w:left w:val="single" w:color="000000" w:sz="4" w:space="0"/>
              <w:bottom w:val="single" w:color="000000" w:sz="4" w:space="0"/>
              <w:right w:val="single" w:color="000000" w:sz="4" w:space="0"/>
            </w:tcBorders>
            <w:noWrap w:val="0"/>
            <w:vAlign w:val="center"/>
          </w:tcPr>
          <w:p w14:paraId="05AD895C">
            <w:pPr>
              <w:keepNext w:val="0"/>
              <w:keepLines w:val="0"/>
              <w:pageBreakBefore w:val="0"/>
              <w:widowControl/>
              <w:kinsoku/>
              <w:wordWrap/>
              <w:overflowPunct/>
              <w:topLinePunct w:val="0"/>
              <w:autoSpaceDE/>
              <w:autoSpaceDN/>
              <w:bidi w:val="0"/>
              <w:adjustRightInd/>
              <w:snapToGrid/>
              <w:spacing w:line="400" w:lineRule="exact"/>
              <w:ind w:left="0" w:firstLine="0" w:firstLineChars="0"/>
              <w:jc w:val="center"/>
              <w:textAlignment w:val="auto"/>
              <w:rPr>
                <w:rStyle w:val="55"/>
                <w:rFonts w:hint="eastAsia" w:ascii="宋体" w:hAnsi="宋体" w:eastAsia="宋体" w:cs="宋体"/>
                <w:b/>
                <w:bCs/>
                <w:color w:val="auto"/>
                <w:sz w:val="24"/>
                <w:szCs w:val="24"/>
                <w:highlight w:val="none"/>
              </w:rPr>
            </w:pPr>
            <w:bookmarkStart w:id="75" w:name="_Toc8881"/>
            <w:r>
              <w:rPr>
                <w:rStyle w:val="55"/>
                <w:rFonts w:hint="eastAsia" w:ascii="宋体" w:hAnsi="宋体" w:eastAsia="宋体" w:cs="宋体"/>
                <w:b/>
                <w:bCs/>
                <w:color w:val="auto"/>
                <w:sz w:val="24"/>
                <w:szCs w:val="24"/>
                <w:highlight w:val="none"/>
              </w:rPr>
              <w:t>序号</w:t>
            </w:r>
          </w:p>
        </w:tc>
        <w:tc>
          <w:tcPr>
            <w:tcW w:w="1472" w:type="dxa"/>
            <w:tcBorders>
              <w:top w:val="single" w:color="000000" w:sz="4" w:space="0"/>
              <w:left w:val="single" w:color="000000" w:sz="4" w:space="0"/>
              <w:bottom w:val="single" w:color="000000" w:sz="4" w:space="0"/>
              <w:right w:val="single" w:color="000000" w:sz="4" w:space="0"/>
            </w:tcBorders>
            <w:noWrap w:val="0"/>
            <w:vAlign w:val="center"/>
          </w:tcPr>
          <w:p w14:paraId="3DF49CC9">
            <w:pPr>
              <w:keepNext w:val="0"/>
              <w:keepLines w:val="0"/>
              <w:pageBreakBefore w:val="0"/>
              <w:widowControl/>
              <w:kinsoku/>
              <w:wordWrap/>
              <w:overflowPunct/>
              <w:topLinePunct w:val="0"/>
              <w:autoSpaceDE/>
              <w:autoSpaceDN/>
              <w:bidi w:val="0"/>
              <w:adjustRightInd/>
              <w:snapToGrid/>
              <w:spacing w:line="400" w:lineRule="exact"/>
              <w:ind w:left="0" w:firstLine="0" w:firstLineChars="0"/>
              <w:jc w:val="center"/>
              <w:textAlignment w:val="auto"/>
              <w:rPr>
                <w:rStyle w:val="55"/>
                <w:rFonts w:hint="eastAsia" w:ascii="宋体" w:hAnsi="宋体" w:eastAsia="宋体" w:cs="宋体"/>
                <w:b/>
                <w:bCs/>
                <w:color w:val="auto"/>
                <w:sz w:val="24"/>
                <w:szCs w:val="24"/>
                <w:highlight w:val="none"/>
              </w:rPr>
            </w:pPr>
            <w:r>
              <w:rPr>
                <w:rStyle w:val="55"/>
                <w:rFonts w:hint="eastAsia" w:ascii="宋体" w:hAnsi="宋体" w:eastAsia="宋体" w:cs="宋体"/>
                <w:b/>
                <w:bCs/>
                <w:color w:val="auto"/>
                <w:sz w:val="24"/>
                <w:szCs w:val="24"/>
                <w:highlight w:val="none"/>
              </w:rPr>
              <w:t>评分因素及分值</w:t>
            </w:r>
          </w:p>
        </w:tc>
        <w:tc>
          <w:tcPr>
            <w:tcW w:w="4917" w:type="dxa"/>
            <w:tcBorders>
              <w:top w:val="single" w:color="000000" w:sz="4" w:space="0"/>
              <w:left w:val="single" w:color="000000" w:sz="4" w:space="0"/>
              <w:bottom w:val="single" w:color="000000" w:sz="4" w:space="0"/>
              <w:right w:val="single" w:color="000000" w:sz="4" w:space="0"/>
            </w:tcBorders>
            <w:noWrap w:val="0"/>
            <w:vAlign w:val="center"/>
          </w:tcPr>
          <w:p w14:paraId="064955E4">
            <w:pPr>
              <w:keepNext w:val="0"/>
              <w:keepLines w:val="0"/>
              <w:pageBreakBefore w:val="0"/>
              <w:widowControl/>
              <w:kinsoku/>
              <w:wordWrap/>
              <w:overflowPunct/>
              <w:topLinePunct w:val="0"/>
              <w:autoSpaceDE/>
              <w:autoSpaceDN/>
              <w:bidi w:val="0"/>
              <w:adjustRightInd/>
              <w:snapToGrid/>
              <w:spacing w:line="400" w:lineRule="exact"/>
              <w:ind w:left="0" w:firstLine="0" w:firstLineChars="0"/>
              <w:jc w:val="center"/>
              <w:textAlignment w:val="auto"/>
              <w:rPr>
                <w:rStyle w:val="55"/>
                <w:rFonts w:hint="eastAsia" w:ascii="宋体" w:hAnsi="宋体" w:eastAsia="宋体" w:cs="宋体"/>
                <w:b/>
                <w:bCs/>
                <w:color w:val="auto"/>
                <w:sz w:val="24"/>
                <w:szCs w:val="24"/>
                <w:highlight w:val="none"/>
              </w:rPr>
            </w:pPr>
            <w:r>
              <w:rPr>
                <w:rStyle w:val="55"/>
                <w:rFonts w:hint="eastAsia" w:ascii="宋体" w:hAnsi="宋体" w:eastAsia="宋体" w:cs="宋体"/>
                <w:b/>
                <w:bCs/>
                <w:color w:val="auto"/>
                <w:sz w:val="24"/>
                <w:szCs w:val="24"/>
                <w:highlight w:val="none"/>
              </w:rPr>
              <w:t>评分标准</w:t>
            </w:r>
          </w:p>
        </w:tc>
        <w:tc>
          <w:tcPr>
            <w:tcW w:w="2125" w:type="dxa"/>
            <w:tcBorders>
              <w:top w:val="single" w:color="000000" w:sz="4" w:space="0"/>
              <w:left w:val="single" w:color="000000" w:sz="4" w:space="0"/>
              <w:bottom w:val="single" w:color="000000" w:sz="4" w:space="0"/>
              <w:right w:val="single" w:color="000000" w:sz="4" w:space="0"/>
            </w:tcBorders>
            <w:noWrap w:val="0"/>
            <w:vAlign w:val="center"/>
          </w:tcPr>
          <w:p w14:paraId="2337335A">
            <w:pPr>
              <w:keepNext w:val="0"/>
              <w:keepLines w:val="0"/>
              <w:pageBreakBefore w:val="0"/>
              <w:widowControl/>
              <w:kinsoku/>
              <w:wordWrap/>
              <w:overflowPunct/>
              <w:topLinePunct w:val="0"/>
              <w:autoSpaceDE/>
              <w:autoSpaceDN/>
              <w:bidi w:val="0"/>
              <w:adjustRightInd/>
              <w:snapToGrid/>
              <w:spacing w:line="400" w:lineRule="exact"/>
              <w:ind w:left="0" w:firstLine="0" w:firstLineChars="0"/>
              <w:jc w:val="center"/>
              <w:textAlignment w:val="auto"/>
              <w:rPr>
                <w:rStyle w:val="55"/>
                <w:rFonts w:hint="eastAsia" w:ascii="宋体" w:hAnsi="宋体" w:eastAsia="宋体" w:cs="宋体"/>
                <w:b/>
                <w:bCs/>
                <w:color w:val="auto"/>
                <w:sz w:val="24"/>
                <w:szCs w:val="24"/>
                <w:highlight w:val="none"/>
              </w:rPr>
            </w:pPr>
            <w:r>
              <w:rPr>
                <w:rStyle w:val="55"/>
                <w:rFonts w:hint="eastAsia" w:ascii="宋体" w:hAnsi="宋体" w:eastAsia="宋体" w:cs="宋体"/>
                <w:b/>
                <w:bCs/>
                <w:color w:val="auto"/>
                <w:sz w:val="24"/>
                <w:szCs w:val="24"/>
                <w:highlight w:val="none"/>
              </w:rPr>
              <w:t>说明</w:t>
            </w:r>
          </w:p>
        </w:tc>
      </w:tr>
      <w:tr w14:paraId="3244D7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63" w:type="dxa"/>
            <w:tcBorders>
              <w:top w:val="single" w:color="000000" w:sz="4" w:space="0"/>
              <w:left w:val="single" w:color="000000" w:sz="4" w:space="0"/>
              <w:bottom w:val="single" w:color="000000" w:sz="4" w:space="0"/>
              <w:right w:val="single" w:color="000000" w:sz="4" w:space="0"/>
            </w:tcBorders>
            <w:noWrap w:val="0"/>
            <w:vAlign w:val="center"/>
          </w:tcPr>
          <w:p w14:paraId="55D13B0E">
            <w:pPr>
              <w:keepNext w:val="0"/>
              <w:keepLines w:val="0"/>
              <w:pageBreakBefore w:val="0"/>
              <w:widowControl/>
              <w:kinsoku/>
              <w:wordWrap/>
              <w:overflowPunct/>
              <w:topLinePunct w:val="0"/>
              <w:autoSpaceDE/>
              <w:autoSpaceDN/>
              <w:bidi w:val="0"/>
              <w:adjustRightInd/>
              <w:snapToGrid/>
              <w:spacing w:line="400" w:lineRule="exact"/>
              <w:ind w:left="0" w:firstLine="0" w:firstLineChars="0"/>
              <w:jc w:val="center"/>
              <w:textAlignment w:val="auto"/>
              <w:rPr>
                <w:rStyle w:val="55"/>
                <w:rFonts w:hint="eastAsia" w:ascii="宋体" w:hAnsi="宋体" w:eastAsia="宋体" w:cs="宋体"/>
                <w:color w:val="auto"/>
                <w:sz w:val="24"/>
                <w:szCs w:val="24"/>
                <w:highlight w:val="none"/>
              </w:rPr>
            </w:pPr>
            <w:r>
              <w:rPr>
                <w:rStyle w:val="55"/>
                <w:rFonts w:hint="eastAsia" w:ascii="宋体" w:hAnsi="宋体" w:eastAsia="宋体" w:cs="宋体"/>
                <w:color w:val="auto"/>
                <w:sz w:val="24"/>
                <w:szCs w:val="24"/>
                <w:highlight w:val="none"/>
              </w:rPr>
              <w:t>1</w:t>
            </w:r>
          </w:p>
        </w:tc>
        <w:tc>
          <w:tcPr>
            <w:tcW w:w="1472" w:type="dxa"/>
            <w:tcBorders>
              <w:top w:val="single" w:color="000000" w:sz="4" w:space="0"/>
              <w:left w:val="single" w:color="000000" w:sz="4" w:space="0"/>
              <w:bottom w:val="single" w:color="000000" w:sz="4" w:space="0"/>
              <w:right w:val="single" w:color="000000" w:sz="4" w:space="0"/>
            </w:tcBorders>
            <w:noWrap w:val="0"/>
            <w:vAlign w:val="center"/>
          </w:tcPr>
          <w:p w14:paraId="3E39635C">
            <w:pPr>
              <w:keepNext w:val="0"/>
              <w:keepLines w:val="0"/>
              <w:pageBreakBefore w:val="0"/>
              <w:widowControl/>
              <w:kinsoku/>
              <w:wordWrap/>
              <w:overflowPunct/>
              <w:topLinePunct w:val="0"/>
              <w:autoSpaceDE/>
              <w:autoSpaceDN/>
              <w:bidi w:val="0"/>
              <w:adjustRightInd/>
              <w:snapToGrid/>
              <w:spacing w:line="400" w:lineRule="exact"/>
              <w:ind w:left="0" w:firstLine="0" w:firstLineChars="0"/>
              <w:jc w:val="center"/>
              <w:textAlignment w:val="auto"/>
              <w:rPr>
                <w:rStyle w:val="55"/>
                <w:rFonts w:hint="eastAsia" w:ascii="宋体" w:hAnsi="宋体" w:eastAsia="宋体" w:cs="宋体"/>
                <w:color w:val="auto"/>
                <w:sz w:val="24"/>
                <w:szCs w:val="24"/>
                <w:highlight w:val="none"/>
              </w:rPr>
            </w:pPr>
            <w:r>
              <w:rPr>
                <w:rStyle w:val="55"/>
                <w:rFonts w:hint="eastAsia" w:ascii="宋体" w:hAnsi="宋体" w:eastAsia="宋体" w:cs="宋体"/>
                <w:color w:val="auto"/>
                <w:sz w:val="24"/>
                <w:szCs w:val="24"/>
                <w:highlight w:val="none"/>
              </w:rPr>
              <w:t>报价部分（</w:t>
            </w:r>
            <w:r>
              <w:rPr>
                <w:rStyle w:val="55"/>
                <w:rFonts w:hint="eastAsia" w:ascii="宋体" w:hAnsi="宋体" w:cs="宋体"/>
                <w:color w:val="auto"/>
                <w:sz w:val="24"/>
                <w:szCs w:val="24"/>
                <w:highlight w:val="none"/>
                <w:lang w:val="en-US" w:eastAsia="zh-CN"/>
              </w:rPr>
              <w:t>30</w:t>
            </w:r>
            <w:r>
              <w:rPr>
                <w:rStyle w:val="55"/>
                <w:rFonts w:hint="eastAsia" w:ascii="宋体" w:hAnsi="宋体" w:eastAsia="宋体" w:cs="宋体"/>
                <w:color w:val="auto"/>
                <w:sz w:val="24"/>
                <w:szCs w:val="24"/>
                <w:highlight w:val="none"/>
              </w:rPr>
              <w:t>%）</w:t>
            </w:r>
          </w:p>
        </w:tc>
        <w:tc>
          <w:tcPr>
            <w:tcW w:w="4917" w:type="dxa"/>
            <w:tcBorders>
              <w:top w:val="single" w:color="000000" w:sz="4" w:space="0"/>
              <w:left w:val="single" w:color="000000" w:sz="4" w:space="0"/>
              <w:bottom w:val="single" w:color="000000" w:sz="4" w:space="0"/>
              <w:right w:val="single" w:color="000000" w:sz="4" w:space="0"/>
            </w:tcBorders>
            <w:noWrap w:val="0"/>
            <w:vAlign w:val="center"/>
          </w:tcPr>
          <w:p w14:paraId="201F1582">
            <w:pPr>
              <w:keepNext w:val="0"/>
              <w:keepLines w:val="0"/>
              <w:pageBreakBefore w:val="0"/>
              <w:widowControl/>
              <w:kinsoku/>
              <w:wordWrap/>
              <w:overflowPunct/>
              <w:topLinePunct w:val="0"/>
              <w:autoSpaceDE/>
              <w:autoSpaceDN/>
              <w:bidi w:val="0"/>
              <w:adjustRightInd/>
              <w:snapToGrid/>
              <w:spacing w:line="400" w:lineRule="exact"/>
              <w:ind w:left="0" w:firstLine="0" w:firstLineChars="0"/>
              <w:textAlignment w:val="auto"/>
              <w:rPr>
                <w:rStyle w:val="55"/>
                <w:rFonts w:hint="eastAsia" w:ascii="宋体" w:hAnsi="宋体" w:eastAsia="宋体" w:cs="宋体"/>
                <w:color w:val="auto"/>
                <w:sz w:val="24"/>
                <w:szCs w:val="24"/>
                <w:highlight w:val="none"/>
              </w:rPr>
            </w:pPr>
            <w:r>
              <w:rPr>
                <w:rStyle w:val="55"/>
                <w:rFonts w:hint="eastAsia" w:ascii="宋体" w:hAnsi="宋体" w:eastAsia="宋体" w:cs="宋体"/>
                <w:color w:val="auto"/>
                <w:sz w:val="24"/>
                <w:szCs w:val="24"/>
                <w:highlight w:val="none"/>
              </w:rPr>
              <w:t>有效的</w:t>
            </w:r>
            <w:r>
              <w:rPr>
                <w:rStyle w:val="55"/>
                <w:rFonts w:hint="eastAsia" w:ascii="宋体" w:hAnsi="宋体" w:eastAsia="宋体" w:cs="宋体"/>
                <w:color w:val="auto"/>
                <w:sz w:val="24"/>
                <w:szCs w:val="24"/>
                <w:highlight w:val="none"/>
                <w:lang w:eastAsia="zh-CN"/>
              </w:rPr>
              <w:t>询比</w:t>
            </w:r>
            <w:r>
              <w:rPr>
                <w:rStyle w:val="55"/>
                <w:rFonts w:hint="eastAsia" w:ascii="宋体" w:hAnsi="宋体" w:eastAsia="宋体" w:cs="宋体"/>
                <w:color w:val="auto"/>
                <w:sz w:val="24"/>
                <w:szCs w:val="24"/>
                <w:highlight w:val="none"/>
              </w:rPr>
              <w:t>报价中的最低价为评标基准价，其价格分为满分。其他</w:t>
            </w:r>
            <w:r>
              <w:rPr>
                <w:rStyle w:val="55"/>
                <w:rFonts w:hint="eastAsia" w:ascii="宋体" w:hAnsi="宋体" w:cs="宋体"/>
                <w:color w:val="auto"/>
                <w:sz w:val="24"/>
                <w:szCs w:val="24"/>
                <w:highlight w:val="none"/>
                <w:lang w:eastAsia="zh-CN"/>
              </w:rPr>
              <w:t>供应商</w:t>
            </w:r>
            <w:r>
              <w:rPr>
                <w:rStyle w:val="55"/>
                <w:rFonts w:hint="eastAsia" w:ascii="宋体" w:hAnsi="宋体" w:eastAsia="宋体" w:cs="宋体"/>
                <w:color w:val="auto"/>
                <w:sz w:val="24"/>
                <w:szCs w:val="24"/>
                <w:highlight w:val="none"/>
              </w:rPr>
              <w:t>的价格分统一按照下列公式计算。</w:t>
            </w:r>
          </w:p>
          <w:p w14:paraId="409CC884">
            <w:pPr>
              <w:keepNext w:val="0"/>
              <w:keepLines w:val="0"/>
              <w:pageBreakBefore w:val="0"/>
              <w:widowControl/>
              <w:kinsoku/>
              <w:wordWrap/>
              <w:overflowPunct/>
              <w:topLinePunct w:val="0"/>
              <w:autoSpaceDE/>
              <w:autoSpaceDN/>
              <w:bidi w:val="0"/>
              <w:adjustRightInd/>
              <w:snapToGrid/>
              <w:spacing w:line="400" w:lineRule="exact"/>
              <w:ind w:left="0" w:firstLine="0" w:firstLineChars="0"/>
              <w:textAlignment w:val="auto"/>
              <w:rPr>
                <w:rStyle w:val="55"/>
                <w:rFonts w:hint="eastAsia" w:ascii="宋体" w:hAnsi="宋体" w:eastAsia="宋体" w:cs="宋体"/>
                <w:color w:val="auto"/>
                <w:sz w:val="24"/>
                <w:szCs w:val="24"/>
                <w:highlight w:val="none"/>
              </w:rPr>
            </w:pPr>
            <w:r>
              <w:rPr>
                <w:rStyle w:val="55"/>
                <w:rFonts w:hint="eastAsia" w:ascii="宋体" w:hAnsi="宋体" w:eastAsia="宋体" w:cs="宋体"/>
                <w:color w:val="auto"/>
                <w:sz w:val="24"/>
                <w:szCs w:val="24"/>
                <w:highlight w:val="none"/>
              </w:rPr>
              <w:t>投标报价得分＝（</w:t>
            </w:r>
            <w:r>
              <w:rPr>
                <w:rStyle w:val="55"/>
                <w:rFonts w:hint="eastAsia" w:ascii="宋体" w:hAnsi="宋体" w:eastAsia="宋体" w:cs="宋体"/>
                <w:color w:val="auto"/>
                <w:sz w:val="24"/>
                <w:szCs w:val="24"/>
                <w:highlight w:val="none"/>
                <w:lang w:eastAsia="zh-CN"/>
              </w:rPr>
              <w:t>评审</w:t>
            </w:r>
            <w:r>
              <w:rPr>
                <w:rStyle w:val="55"/>
                <w:rFonts w:hint="eastAsia" w:ascii="宋体" w:hAnsi="宋体" w:eastAsia="宋体" w:cs="宋体"/>
                <w:color w:val="auto"/>
                <w:sz w:val="24"/>
                <w:szCs w:val="24"/>
                <w:highlight w:val="none"/>
              </w:rPr>
              <w:t>基准价/</w:t>
            </w:r>
            <w:r>
              <w:rPr>
                <w:rStyle w:val="55"/>
                <w:rFonts w:hint="eastAsia" w:ascii="宋体" w:hAnsi="宋体" w:eastAsia="宋体" w:cs="宋体"/>
                <w:color w:val="auto"/>
                <w:sz w:val="24"/>
                <w:szCs w:val="24"/>
                <w:highlight w:val="none"/>
                <w:lang w:eastAsia="zh-CN"/>
              </w:rPr>
              <w:t>询比</w:t>
            </w:r>
            <w:r>
              <w:rPr>
                <w:rStyle w:val="55"/>
                <w:rFonts w:hint="eastAsia" w:ascii="宋体" w:hAnsi="宋体" w:eastAsia="宋体" w:cs="宋体"/>
                <w:color w:val="auto"/>
                <w:sz w:val="24"/>
                <w:szCs w:val="24"/>
                <w:highlight w:val="none"/>
              </w:rPr>
              <w:t>报价）×价格权重×100。</w:t>
            </w:r>
          </w:p>
        </w:tc>
        <w:tc>
          <w:tcPr>
            <w:tcW w:w="2125" w:type="dxa"/>
            <w:tcBorders>
              <w:top w:val="single" w:color="000000" w:sz="4" w:space="0"/>
              <w:left w:val="single" w:color="000000" w:sz="4" w:space="0"/>
              <w:bottom w:val="single" w:color="000000" w:sz="4" w:space="0"/>
              <w:right w:val="single" w:color="000000" w:sz="4" w:space="0"/>
            </w:tcBorders>
            <w:noWrap w:val="0"/>
            <w:vAlign w:val="center"/>
          </w:tcPr>
          <w:p w14:paraId="21DF40E3">
            <w:pPr>
              <w:keepNext w:val="0"/>
              <w:keepLines w:val="0"/>
              <w:pageBreakBefore w:val="0"/>
              <w:widowControl/>
              <w:kinsoku/>
              <w:wordWrap/>
              <w:overflowPunct/>
              <w:topLinePunct w:val="0"/>
              <w:autoSpaceDE/>
              <w:autoSpaceDN/>
              <w:bidi w:val="0"/>
              <w:adjustRightInd/>
              <w:snapToGrid/>
              <w:spacing w:line="400" w:lineRule="exact"/>
              <w:ind w:left="0" w:firstLine="0" w:firstLineChars="0"/>
              <w:textAlignment w:val="auto"/>
              <w:rPr>
                <w:rStyle w:val="55"/>
                <w:rFonts w:hint="eastAsia" w:ascii="宋体" w:hAnsi="宋体" w:eastAsia="宋体" w:cs="宋体"/>
                <w:color w:val="auto"/>
                <w:sz w:val="24"/>
                <w:szCs w:val="24"/>
                <w:highlight w:val="none"/>
              </w:rPr>
            </w:pPr>
            <w:r>
              <w:rPr>
                <w:rStyle w:val="55"/>
                <w:rFonts w:hint="eastAsia" w:ascii="宋体" w:hAnsi="宋体" w:eastAsia="宋体" w:cs="宋体"/>
                <w:color w:val="auto"/>
                <w:sz w:val="24"/>
                <w:szCs w:val="24"/>
                <w:highlight w:val="none"/>
              </w:rPr>
              <w:t>高于预算价为无效报价</w:t>
            </w:r>
          </w:p>
        </w:tc>
      </w:tr>
      <w:tr w14:paraId="18A895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63" w:type="dxa"/>
            <w:vMerge w:val="restart"/>
            <w:tcBorders>
              <w:top w:val="single" w:color="000000" w:sz="4" w:space="0"/>
              <w:left w:val="single" w:color="000000" w:sz="4" w:space="0"/>
              <w:right w:val="single" w:color="000000" w:sz="4" w:space="0"/>
            </w:tcBorders>
            <w:noWrap w:val="0"/>
            <w:vAlign w:val="center"/>
          </w:tcPr>
          <w:p w14:paraId="71199DB7">
            <w:pPr>
              <w:keepNext w:val="0"/>
              <w:keepLines w:val="0"/>
              <w:pageBreakBefore w:val="0"/>
              <w:widowControl/>
              <w:kinsoku/>
              <w:wordWrap/>
              <w:overflowPunct/>
              <w:topLinePunct w:val="0"/>
              <w:autoSpaceDE/>
              <w:autoSpaceDN/>
              <w:bidi w:val="0"/>
              <w:adjustRightInd/>
              <w:snapToGrid/>
              <w:spacing w:line="400" w:lineRule="exact"/>
              <w:ind w:left="0" w:firstLine="0" w:firstLineChars="0"/>
              <w:jc w:val="center"/>
              <w:textAlignment w:val="auto"/>
              <w:rPr>
                <w:rStyle w:val="55"/>
                <w:rFonts w:hint="eastAsia" w:ascii="宋体" w:hAnsi="宋体" w:eastAsia="宋体" w:cs="宋体"/>
                <w:color w:val="auto"/>
                <w:sz w:val="24"/>
                <w:szCs w:val="24"/>
                <w:highlight w:val="none"/>
              </w:rPr>
            </w:pPr>
            <w:r>
              <w:rPr>
                <w:rStyle w:val="55"/>
                <w:rFonts w:hint="eastAsia" w:ascii="宋体" w:hAnsi="宋体" w:eastAsia="宋体" w:cs="宋体"/>
                <w:color w:val="auto"/>
                <w:sz w:val="24"/>
                <w:szCs w:val="24"/>
                <w:highlight w:val="none"/>
              </w:rPr>
              <w:t>2</w:t>
            </w:r>
          </w:p>
          <w:p w14:paraId="7F3A9D35">
            <w:pPr>
              <w:keepNext w:val="0"/>
              <w:keepLines w:val="0"/>
              <w:pageBreakBefore w:val="0"/>
              <w:widowControl/>
              <w:kinsoku/>
              <w:wordWrap/>
              <w:overflowPunct/>
              <w:topLinePunct w:val="0"/>
              <w:autoSpaceDE/>
              <w:autoSpaceDN/>
              <w:bidi w:val="0"/>
              <w:adjustRightInd/>
              <w:snapToGrid/>
              <w:spacing w:line="400" w:lineRule="exact"/>
              <w:ind w:left="0" w:firstLine="0" w:firstLineChars="0"/>
              <w:jc w:val="center"/>
              <w:textAlignment w:val="auto"/>
              <w:rPr>
                <w:rStyle w:val="55"/>
                <w:rFonts w:hint="eastAsia" w:ascii="宋体" w:hAnsi="宋体" w:eastAsia="宋体" w:cs="宋体"/>
                <w:color w:val="auto"/>
                <w:sz w:val="24"/>
                <w:szCs w:val="24"/>
                <w:highlight w:val="none"/>
              </w:rPr>
            </w:pPr>
          </w:p>
        </w:tc>
        <w:tc>
          <w:tcPr>
            <w:tcW w:w="1472" w:type="dxa"/>
            <w:vMerge w:val="restart"/>
            <w:tcBorders>
              <w:top w:val="single" w:color="000000" w:sz="4" w:space="0"/>
              <w:left w:val="single" w:color="000000" w:sz="4" w:space="0"/>
              <w:right w:val="single" w:color="000000" w:sz="4" w:space="0"/>
            </w:tcBorders>
            <w:noWrap w:val="0"/>
            <w:vAlign w:val="center"/>
          </w:tcPr>
          <w:p w14:paraId="5E1B56E6">
            <w:pPr>
              <w:keepNext w:val="0"/>
              <w:keepLines w:val="0"/>
              <w:pageBreakBefore w:val="0"/>
              <w:widowControl/>
              <w:kinsoku/>
              <w:wordWrap/>
              <w:overflowPunct/>
              <w:topLinePunct w:val="0"/>
              <w:autoSpaceDE/>
              <w:autoSpaceDN/>
              <w:bidi w:val="0"/>
              <w:adjustRightInd/>
              <w:snapToGrid/>
              <w:spacing w:line="400" w:lineRule="exact"/>
              <w:ind w:left="0" w:firstLine="0" w:firstLineChars="0"/>
              <w:textAlignment w:val="auto"/>
              <w:rPr>
                <w:rStyle w:val="55"/>
                <w:rFonts w:hint="eastAsia" w:ascii="宋体" w:hAnsi="宋体" w:eastAsia="宋体" w:cs="宋体"/>
                <w:color w:val="auto"/>
                <w:sz w:val="24"/>
                <w:szCs w:val="24"/>
                <w:highlight w:val="none"/>
              </w:rPr>
            </w:pPr>
          </w:p>
          <w:p w14:paraId="459BF864">
            <w:pPr>
              <w:keepNext w:val="0"/>
              <w:keepLines w:val="0"/>
              <w:pageBreakBefore w:val="0"/>
              <w:widowControl/>
              <w:kinsoku/>
              <w:wordWrap/>
              <w:overflowPunct/>
              <w:topLinePunct w:val="0"/>
              <w:autoSpaceDE/>
              <w:autoSpaceDN/>
              <w:bidi w:val="0"/>
              <w:adjustRightInd/>
              <w:snapToGrid/>
              <w:spacing w:line="400" w:lineRule="exact"/>
              <w:ind w:left="0" w:firstLine="0" w:firstLineChars="0"/>
              <w:textAlignment w:val="auto"/>
              <w:rPr>
                <w:rStyle w:val="55"/>
                <w:rFonts w:hint="eastAsia" w:ascii="宋体" w:hAnsi="宋体" w:eastAsia="宋体" w:cs="宋体"/>
                <w:color w:val="auto"/>
                <w:sz w:val="24"/>
                <w:szCs w:val="24"/>
                <w:highlight w:val="none"/>
              </w:rPr>
            </w:pPr>
            <w:r>
              <w:rPr>
                <w:rStyle w:val="55"/>
                <w:rFonts w:hint="eastAsia" w:ascii="宋体" w:hAnsi="宋体" w:eastAsia="宋体" w:cs="宋体"/>
                <w:color w:val="auto"/>
                <w:sz w:val="24"/>
                <w:szCs w:val="24"/>
                <w:highlight w:val="none"/>
              </w:rPr>
              <w:t>服务部分（50%）</w:t>
            </w:r>
          </w:p>
          <w:p w14:paraId="2771B1D6">
            <w:pPr>
              <w:keepNext w:val="0"/>
              <w:keepLines w:val="0"/>
              <w:pageBreakBefore w:val="0"/>
              <w:widowControl/>
              <w:kinsoku/>
              <w:wordWrap/>
              <w:overflowPunct/>
              <w:topLinePunct w:val="0"/>
              <w:autoSpaceDE/>
              <w:autoSpaceDN/>
              <w:bidi w:val="0"/>
              <w:adjustRightInd/>
              <w:snapToGrid/>
              <w:spacing w:line="400" w:lineRule="exact"/>
              <w:ind w:left="0" w:firstLine="0" w:firstLineChars="0"/>
              <w:textAlignment w:val="auto"/>
              <w:rPr>
                <w:rStyle w:val="55"/>
                <w:rFonts w:hint="eastAsia" w:ascii="宋体" w:hAnsi="宋体" w:eastAsia="宋体" w:cs="宋体"/>
                <w:color w:val="auto"/>
                <w:sz w:val="24"/>
                <w:szCs w:val="24"/>
                <w:highlight w:val="none"/>
              </w:rPr>
            </w:pPr>
          </w:p>
          <w:p w14:paraId="7B49F7D5">
            <w:pPr>
              <w:keepNext w:val="0"/>
              <w:keepLines w:val="0"/>
              <w:pageBreakBefore w:val="0"/>
              <w:widowControl/>
              <w:kinsoku/>
              <w:wordWrap/>
              <w:overflowPunct/>
              <w:topLinePunct w:val="0"/>
              <w:autoSpaceDE/>
              <w:autoSpaceDN/>
              <w:bidi w:val="0"/>
              <w:adjustRightInd/>
              <w:snapToGrid/>
              <w:spacing w:line="400" w:lineRule="exact"/>
              <w:ind w:left="0" w:firstLine="0" w:firstLineChars="0"/>
              <w:textAlignment w:val="auto"/>
              <w:rPr>
                <w:rStyle w:val="55"/>
                <w:rFonts w:hint="eastAsia" w:ascii="宋体" w:hAnsi="宋体" w:eastAsia="宋体" w:cs="宋体"/>
                <w:color w:val="auto"/>
                <w:sz w:val="24"/>
                <w:szCs w:val="24"/>
                <w:highlight w:val="none"/>
              </w:rPr>
            </w:pPr>
          </w:p>
        </w:tc>
        <w:tc>
          <w:tcPr>
            <w:tcW w:w="4917" w:type="dxa"/>
            <w:tcBorders>
              <w:top w:val="single" w:color="000000" w:sz="4" w:space="0"/>
              <w:left w:val="single" w:color="000000" w:sz="4" w:space="0"/>
              <w:bottom w:val="single" w:color="000000" w:sz="4" w:space="0"/>
              <w:right w:val="single" w:color="000000" w:sz="4" w:space="0"/>
            </w:tcBorders>
            <w:noWrap w:val="0"/>
            <w:vAlign w:val="center"/>
          </w:tcPr>
          <w:p w14:paraId="216561A6">
            <w:pPr>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1.管理方案（15分）</w:t>
            </w:r>
          </w:p>
          <w:p w14:paraId="1292797F">
            <w:pPr>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供应商</w:t>
            </w:r>
            <w:r>
              <w:rPr>
                <w:rFonts w:hint="eastAsia" w:ascii="宋体" w:hAnsi="宋体" w:eastAsia="宋体" w:cs="宋体"/>
                <w:color w:val="auto"/>
                <w:sz w:val="24"/>
                <w:szCs w:val="24"/>
                <w:highlight w:val="none"/>
                <w:lang w:val="en-US" w:eastAsia="zh-CN"/>
              </w:rPr>
              <w:t>应当编制符合本项目实际情况的管理方案，内容包含但不限于服务目标、供餐流程设计、服务质量考核指标、厨房卫生、厨余垃圾处置等内容。</w:t>
            </w:r>
          </w:p>
          <w:p w14:paraId="5D65D3B6">
            <w:pPr>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方案内容不存在瑕疵得15分；</w:t>
            </w:r>
          </w:p>
          <w:p w14:paraId="7D8AC11A">
            <w:pPr>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方案内容存在1处瑕疵得10分；</w:t>
            </w:r>
          </w:p>
          <w:p w14:paraId="47BBC685">
            <w:pPr>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方案内容存在2处瑕疵得5分；</w:t>
            </w:r>
          </w:p>
          <w:p w14:paraId="143C2D88">
            <w:pPr>
              <w:keepNext w:val="0"/>
              <w:keepLines w:val="0"/>
              <w:pageBreakBefore w:val="0"/>
              <w:widowControl/>
              <w:numPr>
                <w:ilvl w:val="0"/>
                <w:numId w:val="0"/>
              </w:numPr>
              <w:kinsoku/>
              <w:wordWrap/>
              <w:overflowPunct/>
              <w:topLinePunct w:val="0"/>
              <w:autoSpaceDE/>
              <w:autoSpaceDN/>
              <w:bidi w:val="0"/>
              <w:adjustRightInd/>
              <w:snapToGrid/>
              <w:spacing w:line="400" w:lineRule="exact"/>
              <w:ind w:leftChars="0"/>
              <w:textAlignment w:val="auto"/>
              <w:rPr>
                <w:rStyle w:val="55"/>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方案内容存在3处及以上瑕疵的或未提供得0分。</w:t>
            </w:r>
          </w:p>
        </w:tc>
        <w:tc>
          <w:tcPr>
            <w:tcW w:w="2125" w:type="dxa"/>
            <w:vMerge w:val="restart"/>
            <w:tcBorders>
              <w:top w:val="single" w:color="000000" w:sz="4" w:space="0"/>
              <w:left w:val="single" w:color="000000" w:sz="4" w:space="0"/>
              <w:right w:val="single" w:color="000000" w:sz="4" w:space="0"/>
            </w:tcBorders>
            <w:noWrap w:val="0"/>
            <w:vAlign w:val="top"/>
          </w:tcPr>
          <w:p w14:paraId="762D49CC">
            <w:pPr>
              <w:keepNext w:val="0"/>
              <w:keepLines/>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注1：方案须建立在本项目服务场景之上，否则对应方案按0分处理。</w:t>
            </w:r>
          </w:p>
          <w:p w14:paraId="42751A02">
            <w:pPr>
              <w:keepNext w:val="0"/>
              <w:keepLines/>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注2：本项内容中所称的“瑕疵”指以下内容：</w:t>
            </w:r>
          </w:p>
          <w:p w14:paraId="2173A528">
            <w:pPr>
              <w:keepNext w:val="0"/>
              <w:keepLines/>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①方案内容缺项、内容表述不完整或缺少关键分析点；</w:t>
            </w:r>
          </w:p>
          <w:p w14:paraId="6C93AE9E">
            <w:pPr>
              <w:keepNext w:val="0"/>
              <w:keepLines/>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②活动方案不符合本项目；</w:t>
            </w:r>
          </w:p>
          <w:p w14:paraId="789EE15A">
            <w:pPr>
              <w:keepNext w:val="0"/>
              <w:keepLines/>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③内容表述前后矛盾、无连贯性、内容存在逻辑漏洞；</w:t>
            </w:r>
          </w:p>
          <w:p w14:paraId="02382093">
            <w:pPr>
              <w:keepNext w:val="0"/>
              <w:keepLines/>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④常识性错误；</w:t>
            </w:r>
          </w:p>
          <w:p w14:paraId="3E466A04">
            <w:pPr>
              <w:keepNext w:val="0"/>
              <w:keepLines/>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⑤实施方案及保障措施、质量保证方案并不适用本项目特性或非专门针对本项目制定；</w:t>
            </w:r>
          </w:p>
          <w:p w14:paraId="1E1833AE">
            <w:pPr>
              <w:keepNext w:val="0"/>
              <w:keepLines w:val="0"/>
              <w:pageBreakBefore w:val="0"/>
              <w:widowControl/>
              <w:kinsoku/>
              <w:wordWrap/>
              <w:overflowPunct/>
              <w:topLinePunct w:val="0"/>
              <w:autoSpaceDE/>
              <w:autoSpaceDN/>
              <w:bidi w:val="0"/>
              <w:adjustRightInd/>
              <w:snapToGrid/>
              <w:spacing w:line="400" w:lineRule="exact"/>
              <w:ind w:left="0" w:firstLine="0" w:firstLineChars="0"/>
              <w:textAlignment w:val="auto"/>
              <w:rPr>
                <w:rStyle w:val="55"/>
                <w:rFonts w:hint="eastAsia" w:ascii="宋体" w:hAnsi="宋体" w:eastAsia="宋体" w:cs="宋体"/>
                <w:b/>
                <w:color w:val="auto"/>
                <w:sz w:val="24"/>
                <w:szCs w:val="24"/>
                <w:highlight w:val="none"/>
              </w:rPr>
            </w:pPr>
            <w:r>
              <w:rPr>
                <w:rFonts w:hint="eastAsia" w:ascii="宋体" w:hAnsi="宋体" w:eastAsia="宋体" w:cs="宋体"/>
                <w:bCs/>
                <w:color w:val="auto"/>
                <w:sz w:val="24"/>
                <w:szCs w:val="24"/>
                <w:highlight w:val="none"/>
              </w:rPr>
              <w:t>上述任意一种情形为1处瑕疵。</w:t>
            </w:r>
          </w:p>
        </w:tc>
      </w:tr>
      <w:tr w14:paraId="6F002A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63" w:type="dxa"/>
            <w:vMerge w:val="continue"/>
            <w:tcBorders>
              <w:left w:val="single" w:color="000000" w:sz="4" w:space="0"/>
              <w:right w:val="single" w:color="000000" w:sz="4" w:space="0"/>
            </w:tcBorders>
            <w:noWrap w:val="0"/>
            <w:vAlign w:val="center"/>
          </w:tcPr>
          <w:p w14:paraId="6442F0C0">
            <w:pPr>
              <w:keepNext w:val="0"/>
              <w:keepLines w:val="0"/>
              <w:pageBreakBefore w:val="0"/>
              <w:widowControl/>
              <w:kinsoku/>
              <w:wordWrap/>
              <w:overflowPunct/>
              <w:topLinePunct w:val="0"/>
              <w:autoSpaceDE/>
              <w:autoSpaceDN/>
              <w:bidi w:val="0"/>
              <w:adjustRightInd/>
              <w:snapToGrid/>
              <w:spacing w:line="400" w:lineRule="exact"/>
              <w:ind w:left="0" w:firstLine="0" w:firstLineChars="0"/>
              <w:jc w:val="center"/>
              <w:textAlignment w:val="auto"/>
              <w:rPr>
                <w:rStyle w:val="55"/>
                <w:rFonts w:hint="eastAsia" w:ascii="宋体" w:hAnsi="宋体" w:eastAsia="宋体" w:cs="宋体"/>
                <w:color w:val="auto"/>
                <w:sz w:val="24"/>
                <w:szCs w:val="24"/>
                <w:highlight w:val="none"/>
              </w:rPr>
            </w:pPr>
          </w:p>
        </w:tc>
        <w:tc>
          <w:tcPr>
            <w:tcW w:w="1472" w:type="dxa"/>
            <w:vMerge w:val="continue"/>
            <w:tcBorders>
              <w:left w:val="single" w:color="000000" w:sz="4" w:space="0"/>
              <w:right w:val="single" w:color="000000" w:sz="4" w:space="0"/>
            </w:tcBorders>
            <w:noWrap w:val="0"/>
            <w:vAlign w:val="center"/>
          </w:tcPr>
          <w:p w14:paraId="502862EC">
            <w:pPr>
              <w:keepNext w:val="0"/>
              <w:keepLines w:val="0"/>
              <w:pageBreakBefore w:val="0"/>
              <w:widowControl/>
              <w:kinsoku/>
              <w:wordWrap/>
              <w:overflowPunct/>
              <w:topLinePunct w:val="0"/>
              <w:autoSpaceDE/>
              <w:autoSpaceDN/>
              <w:bidi w:val="0"/>
              <w:adjustRightInd/>
              <w:snapToGrid/>
              <w:spacing w:line="400" w:lineRule="exact"/>
              <w:ind w:left="0" w:firstLine="0" w:firstLineChars="0"/>
              <w:textAlignment w:val="auto"/>
              <w:rPr>
                <w:rStyle w:val="55"/>
                <w:rFonts w:hint="eastAsia" w:ascii="宋体" w:hAnsi="宋体" w:eastAsia="宋体" w:cs="宋体"/>
                <w:color w:val="auto"/>
                <w:sz w:val="24"/>
                <w:szCs w:val="24"/>
                <w:highlight w:val="none"/>
              </w:rPr>
            </w:pPr>
          </w:p>
        </w:tc>
        <w:tc>
          <w:tcPr>
            <w:tcW w:w="4917" w:type="dxa"/>
            <w:tcBorders>
              <w:top w:val="single" w:color="000000" w:sz="4" w:space="0"/>
              <w:left w:val="single" w:color="000000" w:sz="4" w:space="0"/>
              <w:bottom w:val="single" w:color="000000" w:sz="4" w:space="0"/>
              <w:right w:val="single" w:color="000000" w:sz="4" w:space="0"/>
            </w:tcBorders>
            <w:noWrap w:val="0"/>
            <w:vAlign w:val="center"/>
          </w:tcPr>
          <w:p w14:paraId="524FEBA9">
            <w:pPr>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2.食品安全措施及应急方案（15分）</w:t>
            </w:r>
          </w:p>
          <w:p w14:paraId="776A84E7">
            <w:pPr>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供应商</w:t>
            </w:r>
            <w:r>
              <w:rPr>
                <w:rFonts w:hint="eastAsia" w:ascii="宋体" w:hAnsi="宋体" w:eastAsia="宋体" w:cs="宋体"/>
                <w:color w:val="auto"/>
                <w:sz w:val="24"/>
                <w:szCs w:val="24"/>
                <w:highlight w:val="none"/>
                <w:lang w:val="en-US" w:eastAsia="zh-CN"/>
              </w:rPr>
              <w:t>应当编制符合本项目实际情况的食品安全措施及应急方案，内容包含但不限于食品加工流程、食品安全事故处理流程、备用供餐方案、食品安全应急预案等内容。</w:t>
            </w:r>
          </w:p>
          <w:p w14:paraId="78199C37">
            <w:pPr>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方案内容不存在瑕疵得15分；</w:t>
            </w:r>
          </w:p>
          <w:p w14:paraId="3483F95B">
            <w:pPr>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方案内容存在1处瑕疵得10分；</w:t>
            </w:r>
          </w:p>
          <w:p w14:paraId="38840A3A">
            <w:pPr>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方案内容存在2处瑕疵得5分；</w:t>
            </w:r>
          </w:p>
          <w:p w14:paraId="21E1BABE">
            <w:pPr>
              <w:keepNext w:val="0"/>
              <w:keepLines w:val="0"/>
              <w:pageBreakBefore w:val="0"/>
              <w:widowControl/>
              <w:kinsoku/>
              <w:wordWrap/>
              <w:overflowPunct/>
              <w:topLinePunct w:val="0"/>
              <w:autoSpaceDE/>
              <w:autoSpaceDN/>
              <w:bidi w:val="0"/>
              <w:adjustRightInd/>
              <w:snapToGrid/>
              <w:spacing w:line="400" w:lineRule="exact"/>
              <w:ind w:left="0" w:firstLine="0" w:firstLineChars="0"/>
              <w:textAlignment w:val="auto"/>
              <w:rPr>
                <w:rStyle w:val="55"/>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en-US" w:eastAsia="zh-CN"/>
              </w:rPr>
              <w:t>方案内容存在3处及以上瑕疵的或未提供得0分。</w:t>
            </w:r>
          </w:p>
        </w:tc>
        <w:tc>
          <w:tcPr>
            <w:tcW w:w="2125" w:type="dxa"/>
            <w:vMerge w:val="continue"/>
            <w:tcBorders>
              <w:left w:val="single" w:color="000000" w:sz="4" w:space="0"/>
              <w:right w:val="single" w:color="000000" w:sz="4" w:space="0"/>
            </w:tcBorders>
            <w:noWrap w:val="0"/>
            <w:vAlign w:val="top"/>
          </w:tcPr>
          <w:p w14:paraId="349B9E5B">
            <w:pPr>
              <w:keepNext w:val="0"/>
              <w:keepLines w:val="0"/>
              <w:pageBreakBefore w:val="0"/>
              <w:widowControl/>
              <w:kinsoku/>
              <w:wordWrap/>
              <w:overflowPunct/>
              <w:topLinePunct w:val="0"/>
              <w:autoSpaceDE/>
              <w:autoSpaceDN/>
              <w:bidi w:val="0"/>
              <w:adjustRightInd/>
              <w:snapToGrid/>
              <w:spacing w:line="400" w:lineRule="exact"/>
              <w:ind w:left="0" w:firstLine="0" w:firstLineChars="0"/>
              <w:textAlignment w:val="auto"/>
              <w:rPr>
                <w:rStyle w:val="55"/>
                <w:rFonts w:hint="eastAsia" w:ascii="宋体" w:hAnsi="宋体" w:eastAsia="宋体" w:cs="宋体"/>
                <w:b/>
                <w:color w:val="auto"/>
                <w:sz w:val="24"/>
                <w:szCs w:val="24"/>
                <w:highlight w:val="none"/>
              </w:rPr>
            </w:pPr>
          </w:p>
        </w:tc>
      </w:tr>
      <w:tr w14:paraId="5663E5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63" w:type="dxa"/>
            <w:vMerge w:val="continue"/>
            <w:tcBorders>
              <w:left w:val="single" w:color="000000" w:sz="4" w:space="0"/>
              <w:right w:val="single" w:color="000000" w:sz="4" w:space="0"/>
            </w:tcBorders>
            <w:noWrap w:val="0"/>
            <w:vAlign w:val="center"/>
          </w:tcPr>
          <w:p w14:paraId="2CC7354B">
            <w:pPr>
              <w:keepNext w:val="0"/>
              <w:keepLines w:val="0"/>
              <w:pageBreakBefore w:val="0"/>
              <w:widowControl/>
              <w:kinsoku/>
              <w:wordWrap/>
              <w:overflowPunct/>
              <w:topLinePunct w:val="0"/>
              <w:autoSpaceDE/>
              <w:autoSpaceDN/>
              <w:bidi w:val="0"/>
              <w:adjustRightInd/>
              <w:snapToGrid/>
              <w:spacing w:line="400" w:lineRule="exact"/>
              <w:ind w:left="0" w:firstLine="0" w:firstLineChars="0"/>
              <w:jc w:val="center"/>
              <w:textAlignment w:val="auto"/>
              <w:rPr>
                <w:rStyle w:val="55"/>
                <w:rFonts w:hint="eastAsia" w:ascii="宋体" w:hAnsi="宋体" w:eastAsia="宋体" w:cs="宋体"/>
                <w:color w:val="auto"/>
                <w:sz w:val="24"/>
                <w:szCs w:val="24"/>
                <w:highlight w:val="none"/>
              </w:rPr>
            </w:pPr>
          </w:p>
        </w:tc>
        <w:tc>
          <w:tcPr>
            <w:tcW w:w="1472" w:type="dxa"/>
            <w:vMerge w:val="continue"/>
            <w:tcBorders>
              <w:left w:val="single" w:color="000000" w:sz="4" w:space="0"/>
              <w:right w:val="single" w:color="000000" w:sz="4" w:space="0"/>
            </w:tcBorders>
            <w:noWrap w:val="0"/>
            <w:vAlign w:val="center"/>
          </w:tcPr>
          <w:p w14:paraId="0E6D872D">
            <w:pPr>
              <w:keepNext w:val="0"/>
              <w:keepLines w:val="0"/>
              <w:pageBreakBefore w:val="0"/>
              <w:widowControl/>
              <w:kinsoku/>
              <w:wordWrap/>
              <w:overflowPunct/>
              <w:topLinePunct w:val="0"/>
              <w:autoSpaceDE/>
              <w:autoSpaceDN/>
              <w:bidi w:val="0"/>
              <w:adjustRightInd/>
              <w:snapToGrid/>
              <w:spacing w:line="400" w:lineRule="exact"/>
              <w:ind w:left="0" w:firstLine="0" w:firstLineChars="0"/>
              <w:textAlignment w:val="auto"/>
              <w:rPr>
                <w:rStyle w:val="55"/>
                <w:rFonts w:hint="eastAsia" w:ascii="宋体" w:hAnsi="宋体" w:eastAsia="宋体" w:cs="宋体"/>
                <w:color w:val="auto"/>
                <w:sz w:val="24"/>
                <w:szCs w:val="24"/>
                <w:highlight w:val="none"/>
              </w:rPr>
            </w:pPr>
          </w:p>
        </w:tc>
        <w:tc>
          <w:tcPr>
            <w:tcW w:w="4917" w:type="dxa"/>
            <w:tcBorders>
              <w:top w:val="single" w:color="000000" w:sz="4" w:space="0"/>
              <w:left w:val="single" w:color="000000" w:sz="4" w:space="0"/>
              <w:bottom w:val="single" w:color="000000" w:sz="4" w:space="0"/>
              <w:right w:val="single" w:color="000000" w:sz="4" w:space="0"/>
            </w:tcBorders>
            <w:noWrap w:val="0"/>
            <w:vAlign w:val="center"/>
          </w:tcPr>
          <w:p w14:paraId="7551F82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3.突发事件应急处理方案（10分）</w:t>
            </w:r>
          </w:p>
          <w:p w14:paraId="56B1356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供应商针对本项目实际情况，制定完善的、可执行性强的食堂突发应急事件预案（食材短缺、触电急救、停水、停电、停气、食物中毒、火灾）等方案。</w:t>
            </w:r>
          </w:p>
          <w:p w14:paraId="0AB4E41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1）方案内容不存在瑕疵得10分；</w:t>
            </w:r>
          </w:p>
          <w:p w14:paraId="1F7BBA34">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2)方案内容存在1处瑕疵得5分；</w:t>
            </w:r>
          </w:p>
          <w:p w14:paraId="4768C10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3)方案内容存在2处瑕疵得2分；</w:t>
            </w:r>
          </w:p>
          <w:p w14:paraId="743F11E6">
            <w:pPr>
              <w:keepNext w:val="0"/>
              <w:keepLines w:val="0"/>
              <w:pageBreakBefore w:val="0"/>
              <w:widowControl/>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4)方案内容存在3处及以上瑕疵的或未提供得0分。</w:t>
            </w:r>
          </w:p>
        </w:tc>
        <w:tc>
          <w:tcPr>
            <w:tcW w:w="2125" w:type="dxa"/>
            <w:vMerge w:val="continue"/>
            <w:tcBorders>
              <w:left w:val="single" w:color="000000" w:sz="4" w:space="0"/>
              <w:right w:val="single" w:color="000000" w:sz="4" w:space="0"/>
            </w:tcBorders>
            <w:noWrap w:val="0"/>
            <w:vAlign w:val="top"/>
          </w:tcPr>
          <w:p w14:paraId="557A28D1">
            <w:pPr>
              <w:keepNext w:val="0"/>
              <w:keepLines w:val="0"/>
              <w:pageBreakBefore w:val="0"/>
              <w:widowControl/>
              <w:kinsoku/>
              <w:wordWrap/>
              <w:overflowPunct/>
              <w:topLinePunct w:val="0"/>
              <w:autoSpaceDE/>
              <w:autoSpaceDN/>
              <w:bidi w:val="0"/>
              <w:adjustRightInd/>
              <w:snapToGrid/>
              <w:spacing w:line="400" w:lineRule="exact"/>
              <w:ind w:left="0" w:firstLine="0" w:firstLineChars="0"/>
              <w:textAlignment w:val="auto"/>
              <w:rPr>
                <w:rStyle w:val="55"/>
                <w:rFonts w:hint="eastAsia" w:ascii="宋体" w:hAnsi="宋体" w:eastAsia="宋体" w:cs="宋体"/>
                <w:b/>
                <w:color w:val="auto"/>
                <w:sz w:val="24"/>
                <w:szCs w:val="24"/>
                <w:highlight w:val="none"/>
              </w:rPr>
            </w:pPr>
          </w:p>
        </w:tc>
      </w:tr>
      <w:tr w14:paraId="6D7F0B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63" w:type="dxa"/>
            <w:vMerge w:val="continue"/>
            <w:tcBorders>
              <w:left w:val="single" w:color="000000" w:sz="4" w:space="0"/>
              <w:bottom w:val="single" w:color="000000" w:sz="4" w:space="0"/>
              <w:right w:val="single" w:color="000000" w:sz="4" w:space="0"/>
            </w:tcBorders>
            <w:noWrap w:val="0"/>
            <w:vAlign w:val="center"/>
          </w:tcPr>
          <w:p w14:paraId="232A3D40">
            <w:pPr>
              <w:keepNext w:val="0"/>
              <w:keepLines w:val="0"/>
              <w:pageBreakBefore w:val="0"/>
              <w:widowControl/>
              <w:kinsoku/>
              <w:wordWrap/>
              <w:overflowPunct/>
              <w:topLinePunct w:val="0"/>
              <w:autoSpaceDE/>
              <w:autoSpaceDN/>
              <w:bidi w:val="0"/>
              <w:adjustRightInd/>
              <w:snapToGrid/>
              <w:spacing w:line="400" w:lineRule="exact"/>
              <w:ind w:left="0" w:firstLine="0" w:firstLineChars="0"/>
              <w:jc w:val="center"/>
              <w:textAlignment w:val="auto"/>
              <w:rPr>
                <w:rStyle w:val="55"/>
                <w:rFonts w:hint="eastAsia" w:ascii="宋体" w:hAnsi="宋体" w:eastAsia="宋体" w:cs="宋体"/>
                <w:color w:val="auto"/>
                <w:sz w:val="24"/>
                <w:szCs w:val="24"/>
                <w:highlight w:val="none"/>
              </w:rPr>
            </w:pPr>
          </w:p>
        </w:tc>
        <w:tc>
          <w:tcPr>
            <w:tcW w:w="1472" w:type="dxa"/>
            <w:vMerge w:val="continue"/>
            <w:tcBorders>
              <w:left w:val="single" w:color="000000" w:sz="4" w:space="0"/>
              <w:bottom w:val="single" w:color="000000" w:sz="4" w:space="0"/>
              <w:right w:val="single" w:color="000000" w:sz="4" w:space="0"/>
            </w:tcBorders>
            <w:noWrap w:val="0"/>
            <w:vAlign w:val="center"/>
          </w:tcPr>
          <w:p w14:paraId="3E82D130">
            <w:pPr>
              <w:keepNext w:val="0"/>
              <w:keepLines w:val="0"/>
              <w:pageBreakBefore w:val="0"/>
              <w:widowControl/>
              <w:kinsoku/>
              <w:wordWrap/>
              <w:overflowPunct/>
              <w:topLinePunct w:val="0"/>
              <w:autoSpaceDE/>
              <w:autoSpaceDN/>
              <w:bidi w:val="0"/>
              <w:adjustRightInd/>
              <w:snapToGrid/>
              <w:spacing w:line="400" w:lineRule="exact"/>
              <w:ind w:left="0" w:firstLine="0" w:firstLineChars="0"/>
              <w:textAlignment w:val="auto"/>
              <w:rPr>
                <w:rStyle w:val="55"/>
                <w:rFonts w:hint="eastAsia" w:ascii="宋体" w:hAnsi="宋体" w:eastAsia="宋体" w:cs="宋体"/>
                <w:color w:val="auto"/>
                <w:sz w:val="24"/>
                <w:szCs w:val="24"/>
                <w:highlight w:val="none"/>
              </w:rPr>
            </w:pPr>
          </w:p>
        </w:tc>
        <w:tc>
          <w:tcPr>
            <w:tcW w:w="4917" w:type="dxa"/>
            <w:tcBorders>
              <w:top w:val="single" w:color="000000" w:sz="4" w:space="0"/>
              <w:left w:val="single" w:color="000000" w:sz="4" w:space="0"/>
              <w:bottom w:val="single" w:color="000000" w:sz="4" w:space="0"/>
              <w:right w:val="single" w:color="000000" w:sz="4" w:space="0"/>
            </w:tcBorders>
            <w:noWrap w:val="0"/>
            <w:vAlign w:val="center"/>
          </w:tcPr>
          <w:p w14:paraId="4A7B39C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4.岗位设置、人员配置（10分）</w:t>
            </w:r>
          </w:p>
          <w:p w14:paraId="4BA0B7B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针对本项目，拟定岗位设置、人员配置及岗位职责方案。</w:t>
            </w:r>
          </w:p>
          <w:p w14:paraId="57DB3A7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1）方案内容不存在瑕疵得10分；</w:t>
            </w:r>
          </w:p>
          <w:p w14:paraId="082A303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2)方案内容存在1处瑕疵得5分；</w:t>
            </w:r>
          </w:p>
          <w:p w14:paraId="08E53CB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3)方案内容存在2处瑕疵得2分；</w:t>
            </w:r>
          </w:p>
          <w:p w14:paraId="4E9950A9">
            <w:pPr>
              <w:keepNext w:val="0"/>
              <w:keepLines w:val="0"/>
              <w:pageBreakBefore w:val="0"/>
              <w:widowControl/>
              <w:kinsoku/>
              <w:wordWrap/>
              <w:overflowPunct/>
              <w:topLinePunct w:val="0"/>
              <w:autoSpaceDE/>
              <w:autoSpaceDN/>
              <w:bidi w:val="0"/>
              <w:adjustRightInd/>
              <w:snapToGrid/>
              <w:spacing w:line="400" w:lineRule="exact"/>
              <w:ind w:left="0" w:firstLine="0" w:firstLineChars="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4)方案内容存在3处及以上瑕疵的或未提供得0分。</w:t>
            </w:r>
          </w:p>
        </w:tc>
        <w:tc>
          <w:tcPr>
            <w:tcW w:w="2125" w:type="dxa"/>
            <w:vMerge w:val="continue"/>
            <w:tcBorders>
              <w:left w:val="single" w:color="000000" w:sz="4" w:space="0"/>
              <w:bottom w:val="single" w:color="000000" w:sz="4" w:space="0"/>
              <w:right w:val="single" w:color="000000" w:sz="4" w:space="0"/>
            </w:tcBorders>
            <w:noWrap w:val="0"/>
            <w:vAlign w:val="top"/>
          </w:tcPr>
          <w:p w14:paraId="7BC35BAB">
            <w:pPr>
              <w:keepNext w:val="0"/>
              <w:keepLines w:val="0"/>
              <w:pageBreakBefore w:val="0"/>
              <w:widowControl/>
              <w:kinsoku/>
              <w:wordWrap/>
              <w:overflowPunct/>
              <w:topLinePunct w:val="0"/>
              <w:autoSpaceDE/>
              <w:autoSpaceDN/>
              <w:bidi w:val="0"/>
              <w:adjustRightInd/>
              <w:snapToGrid/>
              <w:spacing w:line="400" w:lineRule="exact"/>
              <w:ind w:left="0" w:firstLine="0" w:firstLineChars="0"/>
              <w:textAlignment w:val="auto"/>
              <w:rPr>
                <w:rStyle w:val="55"/>
                <w:rFonts w:hint="eastAsia" w:ascii="宋体" w:hAnsi="宋体" w:eastAsia="宋体" w:cs="宋体"/>
                <w:b/>
                <w:color w:val="auto"/>
                <w:sz w:val="24"/>
                <w:szCs w:val="24"/>
                <w:highlight w:val="none"/>
              </w:rPr>
            </w:pPr>
          </w:p>
        </w:tc>
      </w:tr>
      <w:tr w14:paraId="5940AF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63" w:type="dxa"/>
            <w:vMerge w:val="restart"/>
            <w:tcBorders>
              <w:top w:val="single" w:color="000000" w:sz="4" w:space="0"/>
              <w:left w:val="single" w:color="000000" w:sz="4" w:space="0"/>
              <w:right w:val="single" w:color="000000" w:sz="4" w:space="0"/>
            </w:tcBorders>
            <w:noWrap w:val="0"/>
            <w:vAlign w:val="center"/>
          </w:tcPr>
          <w:p w14:paraId="67090C32">
            <w:pPr>
              <w:keepNext w:val="0"/>
              <w:keepLines w:val="0"/>
              <w:pageBreakBefore w:val="0"/>
              <w:widowControl/>
              <w:kinsoku/>
              <w:wordWrap/>
              <w:overflowPunct/>
              <w:topLinePunct w:val="0"/>
              <w:autoSpaceDE/>
              <w:autoSpaceDN/>
              <w:bidi w:val="0"/>
              <w:adjustRightInd/>
              <w:snapToGrid/>
              <w:spacing w:line="400" w:lineRule="exact"/>
              <w:ind w:left="0" w:firstLine="0" w:firstLineChars="0"/>
              <w:jc w:val="center"/>
              <w:textAlignment w:val="auto"/>
              <w:rPr>
                <w:rStyle w:val="55"/>
                <w:rFonts w:hint="eastAsia" w:ascii="宋体" w:hAnsi="宋体" w:eastAsia="宋体" w:cs="宋体"/>
                <w:color w:val="auto"/>
                <w:sz w:val="24"/>
                <w:szCs w:val="24"/>
                <w:highlight w:val="none"/>
                <w:lang w:val="en-US" w:eastAsia="zh-CN"/>
              </w:rPr>
            </w:pPr>
            <w:r>
              <w:rPr>
                <w:rStyle w:val="55"/>
                <w:rFonts w:hint="eastAsia" w:ascii="宋体" w:hAnsi="宋体" w:eastAsia="宋体" w:cs="宋体"/>
                <w:color w:val="auto"/>
                <w:sz w:val="24"/>
                <w:szCs w:val="24"/>
                <w:highlight w:val="none"/>
                <w:lang w:val="en-US" w:eastAsia="zh-CN"/>
              </w:rPr>
              <w:t>3</w:t>
            </w:r>
          </w:p>
        </w:tc>
        <w:tc>
          <w:tcPr>
            <w:tcW w:w="1472" w:type="dxa"/>
            <w:vMerge w:val="restart"/>
            <w:tcBorders>
              <w:top w:val="single" w:color="000000" w:sz="4" w:space="0"/>
              <w:left w:val="single" w:color="000000" w:sz="4" w:space="0"/>
              <w:right w:val="single" w:color="000000" w:sz="4" w:space="0"/>
            </w:tcBorders>
            <w:noWrap w:val="0"/>
            <w:vAlign w:val="center"/>
          </w:tcPr>
          <w:p w14:paraId="169CA30F">
            <w:pPr>
              <w:keepNext w:val="0"/>
              <w:keepLines w:val="0"/>
              <w:pageBreakBefore w:val="0"/>
              <w:widowControl/>
              <w:kinsoku/>
              <w:wordWrap/>
              <w:overflowPunct/>
              <w:topLinePunct w:val="0"/>
              <w:autoSpaceDE/>
              <w:autoSpaceDN/>
              <w:bidi w:val="0"/>
              <w:adjustRightInd/>
              <w:snapToGrid/>
              <w:spacing w:line="400" w:lineRule="exact"/>
              <w:ind w:left="0" w:firstLine="0" w:firstLineChars="0"/>
              <w:jc w:val="center"/>
              <w:textAlignment w:val="auto"/>
              <w:rPr>
                <w:rStyle w:val="55"/>
                <w:rFonts w:hint="eastAsia" w:ascii="宋体" w:hAnsi="宋体" w:eastAsia="宋体" w:cs="宋体"/>
                <w:color w:val="auto"/>
                <w:sz w:val="24"/>
                <w:szCs w:val="24"/>
                <w:highlight w:val="none"/>
                <w:lang w:val="zh-CN"/>
              </w:rPr>
            </w:pPr>
            <w:r>
              <w:rPr>
                <w:rStyle w:val="55"/>
                <w:rFonts w:hint="eastAsia" w:ascii="宋体" w:hAnsi="宋体" w:eastAsia="宋体" w:cs="宋体"/>
                <w:color w:val="auto"/>
                <w:sz w:val="24"/>
                <w:szCs w:val="24"/>
                <w:highlight w:val="none"/>
                <w:lang w:val="zh-CN"/>
              </w:rPr>
              <w:t>商务部分（</w:t>
            </w:r>
            <w:r>
              <w:rPr>
                <w:rStyle w:val="55"/>
                <w:rFonts w:hint="eastAsia" w:ascii="宋体" w:hAnsi="宋体" w:cs="宋体"/>
                <w:color w:val="auto"/>
                <w:sz w:val="24"/>
                <w:szCs w:val="24"/>
                <w:highlight w:val="none"/>
                <w:lang w:val="en-US" w:eastAsia="zh-CN"/>
              </w:rPr>
              <w:t>20</w:t>
            </w:r>
            <w:r>
              <w:rPr>
                <w:rStyle w:val="55"/>
                <w:rFonts w:hint="eastAsia" w:ascii="宋体" w:hAnsi="宋体" w:eastAsia="宋体" w:cs="宋体"/>
                <w:color w:val="auto"/>
                <w:sz w:val="24"/>
                <w:szCs w:val="24"/>
                <w:highlight w:val="none"/>
                <w:lang w:val="en-US" w:eastAsia="zh-CN"/>
              </w:rPr>
              <w:t>%</w:t>
            </w:r>
            <w:r>
              <w:rPr>
                <w:rStyle w:val="55"/>
                <w:rFonts w:hint="eastAsia" w:ascii="宋体" w:hAnsi="宋体" w:eastAsia="宋体" w:cs="宋体"/>
                <w:color w:val="auto"/>
                <w:sz w:val="24"/>
                <w:szCs w:val="24"/>
                <w:highlight w:val="none"/>
                <w:lang w:val="zh-CN"/>
              </w:rPr>
              <w:t>）</w:t>
            </w:r>
          </w:p>
        </w:tc>
        <w:tc>
          <w:tcPr>
            <w:tcW w:w="4917" w:type="dxa"/>
            <w:tcBorders>
              <w:top w:val="single" w:color="000000" w:sz="4" w:space="0"/>
              <w:left w:val="single" w:color="000000" w:sz="4" w:space="0"/>
              <w:bottom w:val="single" w:color="000000" w:sz="4" w:space="0"/>
              <w:right w:val="single" w:color="000000" w:sz="4" w:space="0"/>
            </w:tcBorders>
            <w:noWrap w:val="0"/>
            <w:vAlign w:val="center"/>
          </w:tcPr>
          <w:p w14:paraId="3B83E47E">
            <w:pPr>
              <w:keepNext w:val="0"/>
              <w:keepLines w:val="0"/>
              <w:pageBreakBefore w:val="0"/>
              <w:widowControl/>
              <w:numPr>
                <w:ilvl w:val="0"/>
                <w:numId w:val="0"/>
              </w:numPr>
              <w:kinsoku/>
              <w:wordWrap/>
              <w:overflowPunct/>
              <w:topLinePunct w:val="0"/>
              <w:autoSpaceDE/>
              <w:autoSpaceDN/>
              <w:bidi w:val="0"/>
              <w:adjustRightInd/>
              <w:snapToGrid/>
              <w:spacing w:line="400" w:lineRule="exact"/>
              <w:ind w:leftChars="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1.业绩（15分）</w:t>
            </w:r>
          </w:p>
          <w:p w14:paraId="343F91E4">
            <w:pPr>
              <w:keepNext w:val="0"/>
              <w:keepLines w:val="0"/>
              <w:pageBreakBefore w:val="0"/>
              <w:widowControl/>
              <w:numPr>
                <w:ilvl w:val="0"/>
                <w:numId w:val="0"/>
              </w:numPr>
              <w:kinsoku/>
              <w:wordWrap/>
              <w:overflowPunct/>
              <w:topLinePunct w:val="0"/>
              <w:autoSpaceDE/>
              <w:autoSpaceDN/>
              <w:bidi w:val="0"/>
              <w:adjustRightInd/>
              <w:snapToGrid/>
              <w:spacing w:line="400" w:lineRule="exact"/>
              <w:ind w:left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2020年1月1日至今，供应商为行政机关事业单位或国有企业单位提供过食堂劳务服务的，每提供一份合同得</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分，最高得</w:t>
            </w:r>
            <w:r>
              <w:rPr>
                <w:rFonts w:hint="eastAsia" w:ascii="宋体" w:hAnsi="宋体" w:eastAsia="宋体" w:cs="宋体"/>
                <w:color w:val="auto"/>
                <w:sz w:val="24"/>
                <w:szCs w:val="24"/>
                <w:highlight w:val="none"/>
                <w:lang w:val="en-US" w:eastAsia="zh-CN"/>
              </w:rPr>
              <w:t>15</w:t>
            </w:r>
            <w:r>
              <w:rPr>
                <w:rFonts w:hint="eastAsia" w:ascii="宋体" w:hAnsi="宋体" w:eastAsia="宋体" w:cs="宋体"/>
                <w:color w:val="auto"/>
                <w:sz w:val="24"/>
                <w:szCs w:val="24"/>
                <w:highlight w:val="none"/>
              </w:rPr>
              <w:t>分。</w:t>
            </w:r>
          </w:p>
        </w:tc>
        <w:tc>
          <w:tcPr>
            <w:tcW w:w="2125" w:type="dxa"/>
            <w:tcBorders>
              <w:top w:val="single" w:color="000000" w:sz="4" w:space="0"/>
              <w:left w:val="single" w:color="000000" w:sz="4" w:space="0"/>
              <w:bottom w:val="single" w:color="000000" w:sz="4" w:space="0"/>
              <w:right w:val="single" w:color="000000" w:sz="4" w:space="0"/>
            </w:tcBorders>
            <w:noWrap w:val="0"/>
            <w:vAlign w:val="center"/>
          </w:tcPr>
          <w:p w14:paraId="516CE97E">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textAlignment w:val="auto"/>
              <w:rPr>
                <w:rStyle w:val="55"/>
                <w:rFonts w:hint="eastAsia" w:ascii="宋体" w:hAnsi="宋体" w:eastAsia="宋体" w:cs="宋体"/>
                <w:color w:val="auto"/>
                <w:sz w:val="24"/>
                <w:szCs w:val="24"/>
                <w:highlight w:val="none"/>
                <w:lang w:eastAsia="zh-CN"/>
              </w:rPr>
            </w:pPr>
            <w:r>
              <w:rPr>
                <w:rStyle w:val="55"/>
                <w:rFonts w:hint="eastAsia" w:ascii="宋体" w:hAnsi="宋体" w:eastAsia="宋体" w:cs="宋体"/>
                <w:color w:val="auto"/>
                <w:sz w:val="24"/>
                <w:szCs w:val="24"/>
                <w:highlight w:val="none"/>
              </w:rPr>
              <w:t>提供合同复印件并加盖</w:t>
            </w:r>
            <w:r>
              <w:rPr>
                <w:rFonts w:hint="eastAsia" w:ascii="宋体" w:hAnsi="宋体" w:eastAsia="宋体" w:cs="宋体"/>
                <w:color w:val="auto"/>
                <w:sz w:val="24"/>
                <w:szCs w:val="24"/>
                <w:highlight w:val="none"/>
              </w:rPr>
              <w:t>供应商</w:t>
            </w:r>
            <w:r>
              <w:rPr>
                <w:rStyle w:val="55"/>
                <w:rFonts w:hint="eastAsia" w:ascii="宋体" w:hAnsi="宋体" w:eastAsia="宋体" w:cs="宋体"/>
                <w:color w:val="auto"/>
                <w:sz w:val="24"/>
                <w:szCs w:val="24"/>
                <w:highlight w:val="none"/>
              </w:rPr>
              <w:t>公章</w:t>
            </w:r>
            <w:r>
              <w:rPr>
                <w:rStyle w:val="55"/>
                <w:rFonts w:hint="eastAsia" w:ascii="宋体" w:hAnsi="宋体" w:eastAsia="宋体" w:cs="宋体"/>
                <w:color w:val="auto"/>
                <w:sz w:val="24"/>
                <w:szCs w:val="24"/>
                <w:highlight w:val="none"/>
                <w:lang w:eastAsia="zh-CN"/>
              </w:rPr>
              <w:t>。</w:t>
            </w:r>
          </w:p>
        </w:tc>
      </w:tr>
      <w:tr w14:paraId="54788E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63" w:type="dxa"/>
            <w:vMerge w:val="continue"/>
            <w:tcBorders>
              <w:left w:val="single" w:color="000000" w:sz="4" w:space="0"/>
              <w:right w:val="single" w:color="000000" w:sz="4" w:space="0"/>
            </w:tcBorders>
            <w:noWrap w:val="0"/>
            <w:vAlign w:val="center"/>
          </w:tcPr>
          <w:p w14:paraId="7C5760BF">
            <w:pPr>
              <w:keepNext w:val="0"/>
              <w:keepLines w:val="0"/>
              <w:pageBreakBefore w:val="0"/>
              <w:widowControl/>
              <w:kinsoku/>
              <w:wordWrap/>
              <w:overflowPunct/>
              <w:topLinePunct w:val="0"/>
              <w:autoSpaceDE/>
              <w:autoSpaceDN/>
              <w:bidi w:val="0"/>
              <w:adjustRightInd/>
              <w:snapToGrid/>
              <w:spacing w:line="400" w:lineRule="exact"/>
              <w:ind w:left="0" w:firstLine="0" w:firstLineChars="0"/>
              <w:jc w:val="center"/>
              <w:textAlignment w:val="auto"/>
              <w:rPr>
                <w:rStyle w:val="55"/>
                <w:rFonts w:hint="eastAsia" w:ascii="宋体" w:hAnsi="宋体" w:eastAsia="宋体" w:cs="宋体"/>
                <w:color w:val="auto"/>
                <w:sz w:val="24"/>
                <w:szCs w:val="24"/>
                <w:highlight w:val="none"/>
                <w:lang w:val="en-US" w:eastAsia="zh-CN"/>
              </w:rPr>
            </w:pPr>
          </w:p>
        </w:tc>
        <w:tc>
          <w:tcPr>
            <w:tcW w:w="1472" w:type="dxa"/>
            <w:vMerge w:val="continue"/>
            <w:tcBorders>
              <w:left w:val="single" w:color="000000" w:sz="4" w:space="0"/>
              <w:right w:val="single" w:color="000000" w:sz="4" w:space="0"/>
            </w:tcBorders>
            <w:noWrap w:val="0"/>
            <w:vAlign w:val="center"/>
          </w:tcPr>
          <w:p w14:paraId="52CAA70D">
            <w:pPr>
              <w:keepNext w:val="0"/>
              <w:keepLines w:val="0"/>
              <w:pageBreakBefore w:val="0"/>
              <w:widowControl/>
              <w:kinsoku/>
              <w:wordWrap/>
              <w:overflowPunct/>
              <w:topLinePunct w:val="0"/>
              <w:autoSpaceDE/>
              <w:autoSpaceDN/>
              <w:bidi w:val="0"/>
              <w:adjustRightInd/>
              <w:snapToGrid/>
              <w:spacing w:line="400" w:lineRule="exact"/>
              <w:ind w:left="0" w:firstLine="0" w:firstLineChars="0"/>
              <w:textAlignment w:val="auto"/>
              <w:rPr>
                <w:rStyle w:val="55"/>
                <w:rFonts w:hint="eastAsia" w:ascii="宋体" w:hAnsi="宋体" w:eastAsia="宋体" w:cs="宋体"/>
                <w:color w:val="auto"/>
                <w:sz w:val="24"/>
                <w:szCs w:val="24"/>
                <w:highlight w:val="none"/>
                <w:lang w:val="zh-CN"/>
              </w:rPr>
            </w:pPr>
          </w:p>
        </w:tc>
        <w:tc>
          <w:tcPr>
            <w:tcW w:w="4917" w:type="dxa"/>
            <w:tcBorders>
              <w:top w:val="single" w:color="000000" w:sz="4" w:space="0"/>
              <w:left w:val="single" w:color="000000" w:sz="4" w:space="0"/>
              <w:bottom w:val="single" w:color="000000" w:sz="4" w:space="0"/>
              <w:right w:val="single" w:color="000000" w:sz="4" w:space="0"/>
            </w:tcBorders>
            <w:noWrap w:val="0"/>
            <w:vAlign w:val="center"/>
          </w:tcPr>
          <w:p w14:paraId="2BDC0925">
            <w:pPr>
              <w:keepNext w:val="0"/>
              <w:keepLines w:val="0"/>
              <w:pageBreakBefore w:val="0"/>
              <w:widowControl/>
              <w:numPr>
                <w:ilvl w:val="0"/>
                <w:numId w:val="0"/>
              </w:numPr>
              <w:kinsoku/>
              <w:wordWrap/>
              <w:overflowPunct/>
              <w:topLinePunct w:val="0"/>
              <w:autoSpaceDE/>
              <w:autoSpaceDN/>
              <w:bidi w:val="0"/>
              <w:adjustRightInd/>
              <w:snapToGrid/>
              <w:spacing w:line="400" w:lineRule="exact"/>
              <w:ind w:leftChars="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2.人员（</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lang w:val="en-US" w:eastAsia="zh-CN"/>
              </w:rPr>
              <w:t>分）</w:t>
            </w:r>
          </w:p>
          <w:p w14:paraId="128DB194">
            <w:pPr>
              <w:keepNext w:val="0"/>
              <w:keepLines w:val="0"/>
              <w:pageBreakBefore w:val="0"/>
              <w:widowControl/>
              <w:numPr>
                <w:ilvl w:val="0"/>
                <w:numId w:val="0"/>
              </w:numPr>
              <w:kinsoku/>
              <w:wordWrap/>
              <w:overflowPunct/>
              <w:topLinePunct w:val="0"/>
              <w:autoSpaceDE/>
              <w:autoSpaceDN/>
              <w:bidi w:val="0"/>
              <w:adjustRightInd/>
              <w:snapToGrid/>
              <w:spacing w:line="400" w:lineRule="exact"/>
              <w:ind w:left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供应商拟派</w:t>
            </w:r>
            <w:r>
              <w:rPr>
                <w:rFonts w:hint="eastAsia" w:ascii="宋体" w:hAnsi="宋体" w:cs="宋体"/>
                <w:color w:val="auto"/>
                <w:sz w:val="24"/>
                <w:szCs w:val="24"/>
                <w:highlight w:val="none"/>
                <w:lang w:eastAsia="zh-CN"/>
              </w:rPr>
              <w:t>的厨师，</w:t>
            </w:r>
            <w:r>
              <w:rPr>
                <w:rFonts w:hint="eastAsia" w:ascii="宋体" w:hAnsi="宋体" w:eastAsia="宋体" w:cs="宋体"/>
                <w:color w:val="auto"/>
                <w:sz w:val="24"/>
                <w:szCs w:val="24"/>
                <w:highlight w:val="none"/>
                <w:lang w:eastAsia="zh-CN"/>
              </w:rPr>
              <w:t>具有</w:t>
            </w:r>
            <w:r>
              <w:rPr>
                <w:rFonts w:hint="eastAsia" w:ascii="宋体" w:hAnsi="宋体" w:cs="宋体"/>
                <w:color w:val="auto"/>
                <w:sz w:val="24"/>
                <w:szCs w:val="24"/>
                <w:highlight w:val="none"/>
                <w:lang w:eastAsia="zh-CN"/>
              </w:rPr>
              <w:t>中式烹调师</w:t>
            </w:r>
            <w:r>
              <w:rPr>
                <w:rFonts w:hint="eastAsia" w:ascii="宋体" w:hAnsi="宋体" w:eastAsia="宋体" w:cs="宋体"/>
                <w:color w:val="auto"/>
                <w:sz w:val="24"/>
                <w:szCs w:val="24"/>
                <w:highlight w:val="none"/>
                <w:lang w:eastAsia="zh-CN"/>
              </w:rPr>
              <w:t>初级（国家职业资格五级）</w:t>
            </w:r>
            <w:r>
              <w:rPr>
                <w:rFonts w:hint="eastAsia" w:ascii="宋体" w:hAnsi="宋体" w:cs="宋体"/>
                <w:color w:val="auto"/>
                <w:sz w:val="24"/>
                <w:szCs w:val="24"/>
                <w:highlight w:val="none"/>
                <w:lang w:eastAsia="zh-CN"/>
              </w:rPr>
              <w:t>得</w:t>
            </w:r>
            <w:r>
              <w:rPr>
                <w:rFonts w:hint="eastAsia" w:ascii="宋体" w:hAnsi="宋体" w:cs="宋体"/>
                <w:color w:val="auto"/>
                <w:sz w:val="24"/>
                <w:szCs w:val="24"/>
                <w:highlight w:val="none"/>
                <w:lang w:val="en-US" w:eastAsia="zh-CN"/>
              </w:rPr>
              <w:t>1分</w:t>
            </w:r>
            <w:r>
              <w:rPr>
                <w:rFonts w:hint="eastAsia" w:ascii="宋体" w:hAnsi="宋体" w:cs="宋体"/>
                <w:color w:val="auto"/>
                <w:sz w:val="24"/>
                <w:szCs w:val="24"/>
                <w:highlight w:val="none"/>
                <w:lang w:eastAsia="zh-CN"/>
              </w:rPr>
              <w:t>；中级（国家职业资格四级）得</w:t>
            </w:r>
            <w:r>
              <w:rPr>
                <w:rFonts w:hint="eastAsia" w:ascii="宋体" w:hAnsi="宋体" w:cs="宋体"/>
                <w:color w:val="auto"/>
                <w:sz w:val="24"/>
                <w:szCs w:val="24"/>
                <w:highlight w:val="none"/>
                <w:lang w:val="en-US" w:eastAsia="zh-CN"/>
              </w:rPr>
              <w:t>2分；高级（国家职业资格三级）</w:t>
            </w:r>
            <w:r>
              <w:rPr>
                <w:rFonts w:hint="eastAsia" w:ascii="宋体" w:hAnsi="宋体" w:cs="宋体"/>
                <w:color w:val="auto"/>
                <w:sz w:val="24"/>
                <w:szCs w:val="24"/>
                <w:highlight w:val="none"/>
                <w:lang w:eastAsia="zh-CN"/>
              </w:rPr>
              <w:t>得</w:t>
            </w:r>
            <w:r>
              <w:rPr>
                <w:rFonts w:hint="eastAsia" w:ascii="宋体" w:hAnsi="宋体" w:cs="宋体"/>
                <w:color w:val="auto"/>
                <w:sz w:val="24"/>
                <w:szCs w:val="24"/>
                <w:highlight w:val="none"/>
                <w:lang w:val="en-US" w:eastAsia="zh-CN"/>
              </w:rPr>
              <w:t>3分；技师（国家职业资格二级）4分；高级技师（国家职业资格一级）得5分。本项最高得分为5分。</w:t>
            </w:r>
          </w:p>
        </w:tc>
        <w:tc>
          <w:tcPr>
            <w:tcW w:w="2125" w:type="dxa"/>
            <w:tcBorders>
              <w:top w:val="single" w:color="000000" w:sz="4" w:space="0"/>
              <w:left w:val="single" w:color="000000" w:sz="4" w:space="0"/>
              <w:bottom w:val="single" w:color="000000" w:sz="4" w:space="0"/>
              <w:right w:val="single" w:color="000000" w:sz="4" w:space="0"/>
            </w:tcBorders>
            <w:noWrap w:val="0"/>
            <w:vAlign w:val="center"/>
          </w:tcPr>
          <w:p w14:paraId="03B50782">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textAlignment w:val="auto"/>
              <w:rPr>
                <w:rStyle w:val="55"/>
                <w:rFonts w:hint="eastAsia" w:ascii="宋体" w:hAnsi="宋体" w:eastAsia="宋体" w:cs="宋体"/>
                <w:color w:val="auto"/>
                <w:sz w:val="24"/>
                <w:szCs w:val="24"/>
                <w:highlight w:val="none"/>
                <w:lang w:eastAsia="zh-CN"/>
              </w:rPr>
            </w:pPr>
            <w:r>
              <w:rPr>
                <w:rStyle w:val="55"/>
                <w:rFonts w:hint="eastAsia" w:ascii="宋体" w:hAnsi="宋体" w:eastAsia="宋体" w:cs="宋体"/>
                <w:color w:val="auto"/>
                <w:sz w:val="24"/>
                <w:szCs w:val="24"/>
                <w:highlight w:val="none"/>
                <w:lang w:eastAsia="zh-CN"/>
              </w:rPr>
              <w:t>提供厨师证书复印件加盖供应商公章。</w:t>
            </w:r>
          </w:p>
        </w:tc>
      </w:tr>
    </w:tbl>
    <w:p w14:paraId="66B8F1C0">
      <w:pPr>
        <w:pStyle w:val="4"/>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三、无效</w:t>
      </w:r>
      <w:bookmarkEnd w:id="75"/>
      <w:r>
        <w:rPr>
          <w:rFonts w:hint="eastAsia" w:ascii="宋体" w:hAnsi="宋体" w:eastAsia="宋体" w:cs="宋体"/>
          <w:color w:val="auto"/>
          <w:sz w:val="24"/>
          <w:highlight w:val="none"/>
          <w:lang w:val="en-US" w:eastAsia="zh-CN"/>
        </w:rPr>
        <w:t>响应</w:t>
      </w:r>
    </w:p>
    <w:p w14:paraId="52812EB9">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供应商发生以下条款情况之一者，视为无效</w:t>
      </w:r>
      <w:r>
        <w:rPr>
          <w:rFonts w:hint="eastAsia" w:ascii="宋体" w:hAnsi="宋体" w:cs="宋体"/>
          <w:color w:val="auto"/>
          <w:sz w:val="24"/>
          <w:szCs w:val="24"/>
          <w:highlight w:val="none"/>
          <w:lang w:val="en-US" w:eastAsia="zh-CN"/>
        </w:rPr>
        <w:t>响应</w:t>
      </w:r>
      <w:r>
        <w:rPr>
          <w:rFonts w:hint="eastAsia" w:ascii="宋体" w:hAnsi="宋体" w:cs="宋体"/>
          <w:color w:val="auto"/>
          <w:sz w:val="24"/>
          <w:szCs w:val="24"/>
          <w:highlight w:val="none"/>
          <w:lang w:eastAsia="zh-CN"/>
        </w:rPr>
        <w:t>：</w:t>
      </w:r>
    </w:p>
    <w:p w14:paraId="6C89010A">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（一）供应商不符合规定的资格条件的；</w:t>
      </w:r>
    </w:p>
    <w:p w14:paraId="362DD5FA">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（二）供应商未通过实质性响应审查的；</w:t>
      </w:r>
    </w:p>
    <w:p w14:paraId="5E62F96C">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（三）供应商所提交的响应文件未按“第七篇响应文件格式要求”要求签署或盖章的；</w:t>
      </w:r>
    </w:p>
    <w:p w14:paraId="1FED2993">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（四）供应商的报价超过采购预算或最高限价的；</w:t>
      </w:r>
    </w:p>
    <w:p w14:paraId="3EF0CDBA">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（五）供应商不接受</w:t>
      </w:r>
      <w:r>
        <w:rPr>
          <w:rFonts w:hint="eastAsia" w:ascii="宋体" w:hAnsi="宋体" w:cs="宋体"/>
          <w:color w:val="auto"/>
          <w:sz w:val="24"/>
          <w:szCs w:val="24"/>
          <w:highlight w:val="none"/>
          <w:lang w:eastAsia="zh-CN"/>
        </w:rPr>
        <w:t>询比</w:t>
      </w:r>
      <w:r>
        <w:rPr>
          <w:rFonts w:hint="eastAsia" w:ascii="宋体" w:hAnsi="宋体" w:cs="宋体"/>
          <w:color w:val="auto"/>
          <w:sz w:val="24"/>
          <w:szCs w:val="24"/>
          <w:highlight w:val="none"/>
        </w:rPr>
        <w:t>小组修正后的价格的；</w:t>
      </w:r>
    </w:p>
    <w:p w14:paraId="3BBCED9A">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（六）单位负责人为同一人或者存在直接控股、管理关系的不同供应商，参加同一合同项（包）报价的；</w:t>
      </w:r>
    </w:p>
    <w:p w14:paraId="4A3DC0E4">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rPr>
        <w:t>（七）为采购项目提供</w:t>
      </w:r>
      <w:r>
        <w:rPr>
          <w:rFonts w:hint="eastAsia" w:ascii="宋体" w:hAnsi="宋体" w:eastAsia="宋体" w:cs="宋体"/>
          <w:color w:val="auto"/>
          <w:sz w:val="24"/>
          <w:szCs w:val="24"/>
          <w:highlight w:val="none"/>
        </w:rPr>
        <w:t>整体设计、规范编制或者项目管理、监理、检测等服务的供应商再参加该采购项目的其他采购活动的；</w:t>
      </w:r>
    </w:p>
    <w:p w14:paraId="37D0E914">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八</w:t>
      </w:r>
      <w:r>
        <w:rPr>
          <w:rFonts w:hint="eastAsia" w:ascii="宋体" w:hAnsi="宋体" w:eastAsia="宋体" w:cs="宋体"/>
          <w:color w:val="auto"/>
          <w:sz w:val="24"/>
          <w:szCs w:val="24"/>
          <w:highlight w:val="none"/>
        </w:rPr>
        <w:t>）供应商响应文件内容有与国家现行法律法规相违背的内容，或附有采购人无法接受条件的；</w:t>
      </w:r>
    </w:p>
    <w:p w14:paraId="706A678A">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lang w:val="en-US" w:eastAsia="zh-CN"/>
        </w:rPr>
      </w:pPr>
      <w:bookmarkStart w:id="76" w:name="_Toc30872"/>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九</w:t>
      </w:r>
      <w:r>
        <w:rPr>
          <w:rFonts w:hint="eastAsia" w:ascii="宋体" w:hAnsi="宋体" w:eastAsia="宋体" w:cs="宋体"/>
          <w:color w:val="auto"/>
          <w:sz w:val="24"/>
          <w:szCs w:val="24"/>
          <w:highlight w:val="none"/>
        </w:rPr>
        <w:t>）法律、法规和</w:t>
      </w: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rPr>
        <w:t>规定的其他无效</w:t>
      </w:r>
      <w:bookmarkEnd w:id="76"/>
      <w:r>
        <w:rPr>
          <w:rFonts w:hint="eastAsia" w:ascii="宋体" w:hAnsi="宋体" w:eastAsia="宋体" w:cs="宋体"/>
          <w:color w:val="auto"/>
          <w:sz w:val="24"/>
          <w:szCs w:val="24"/>
          <w:highlight w:val="none"/>
          <w:lang w:val="en-US" w:eastAsia="zh-CN"/>
        </w:rPr>
        <w:t>情形。</w:t>
      </w:r>
    </w:p>
    <w:p w14:paraId="260D1DEB">
      <w:pPr>
        <w:pStyle w:val="4"/>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highlight w:val="none"/>
        </w:rPr>
      </w:pPr>
      <w:bookmarkStart w:id="77" w:name="_Toc22716"/>
      <w:bookmarkStart w:id="78" w:name="_Toc106034793"/>
      <w:bookmarkStart w:id="79" w:name="_Toc65660353"/>
      <w:bookmarkStart w:id="80" w:name="_Toc28422"/>
      <w:bookmarkStart w:id="81" w:name="_Toc29298"/>
      <w:bookmarkStart w:id="82" w:name="_Toc2351"/>
      <w:r>
        <w:rPr>
          <w:rFonts w:hint="eastAsia" w:ascii="宋体" w:hAnsi="宋体" w:eastAsia="宋体" w:cs="宋体"/>
          <w:color w:val="auto"/>
          <w:sz w:val="24"/>
          <w:highlight w:val="none"/>
        </w:rPr>
        <w:t>四、采购终止</w:t>
      </w:r>
      <w:bookmarkEnd w:id="77"/>
      <w:bookmarkEnd w:id="78"/>
      <w:bookmarkEnd w:id="79"/>
      <w:bookmarkEnd w:id="80"/>
      <w:bookmarkEnd w:id="81"/>
      <w:bookmarkEnd w:id="82"/>
    </w:p>
    <w:p w14:paraId="5A7DC1ED">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出现下列情形之一的，采购人或者采购代理机构应当终止</w:t>
      </w:r>
      <w:r>
        <w:rPr>
          <w:rFonts w:hint="eastAsia" w:ascii="宋体" w:hAnsi="宋体" w:cs="宋体"/>
          <w:color w:val="auto"/>
          <w:sz w:val="24"/>
          <w:szCs w:val="24"/>
          <w:highlight w:val="none"/>
          <w:lang w:eastAsia="zh-CN"/>
        </w:rPr>
        <w:t>询比</w:t>
      </w:r>
      <w:r>
        <w:rPr>
          <w:rFonts w:hint="eastAsia" w:ascii="宋体" w:hAnsi="宋体" w:cs="宋体"/>
          <w:color w:val="auto"/>
          <w:sz w:val="24"/>
          <w:szCs w:val="24"/>
          <w:highlight w:val="none"/>
        </w:rPr>
        <w:t>活动，发布项目终止公告并说明原因，重新开展采购活动：</w:t>
      </w:r>
    </w:p>
    <w:p w14:paraId="66E20D41">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（一）因情况变化，不再符合规定的</w:t>
      </w:r>
      <w:r>
        <w:rPr>
          <w:rFonts w:hint="eastAsia" w:ascii="宋体" w:hAnsi="宋体" w:cs="宋体"/>
          <w:color w:val="auto"/>
          <w:sz w:val="24"/>
          <w:szCs w:val="24"/>
          <w:highlight w:val="none"/>
          <w:lang w:eastAsia="zh-CN"/>
        </w:rPr>
        <w:t>询比</w:t>
      </w:r>
      <w:r>
        <w:rPr>
          <w:rFonts w:hint="eastAsia" w:ascii="宋体" w:hAnsi="宋体" w:cs="宋体"/>
          <w:color w:val="auto"/>
          <w:sz w:val="24"/>
          <w:szCs w:val="24"/>
          <w:highlight w:val="none"/>
        </w:rPr>
        <w:t>方式适用情形的；</w:t>
      </w:r>
    </w:p>
    <w:p w14:paraId="05C26525">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（二）出现影响采购公正的违法、违规行为的；</w:t>
      </w:r>
    </w:p>
    <w:p w14:paraId="0EECBE80">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（三）在采购过程中符合竞争要求的供应商或者报价未超过采购预算的供应商不足</w:t>
      </w: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家的。</w:t>
      </w:r>
    </w:p>
    <w:p w14:paraId="5000AF1D">
      <w:pPr>
        <w:jc w:val="center"/>
        <w:rPr>
          <w:rFonts w:hint="eastAsia" w:ascii="宋体" w:hAnsi="宋体" w:eastAsia="宋体" w:cs="宋体"/>
          <w:b/>
          <w:bCs/>
          <w:color w:val="auto"/>
          <w:sz w:val="36"/>
          <w:szCs w:val="30"/>
          <w:highlight w:val="none"/>
        </w:rPr>
      </w:pPr>
      <w:r>
        <w:rPr>
          <w:rFonts w:hint="eastAsia" w:ascii="宋体" w:hAnsi="宋体" w:eastAsia="宋体" w:cs="宋体"/>
          <w:color w:val="auto"/>
          <w:sz w:val="22"/>
          <w:szCs w:val="22"/>
          <w:highlight w:val="none"/>
        </w:rPr>
        <w:br w:type="page"/>
      </w:r>
      <w:r>
        <w:rPr>
          <w:rFonts w:hint="eastAsia" w:ascii="宋体" w:hAnsi="宋体" w:eastAsia="宋体" w:cs="宋体"/>
          <w:b/>
          <w:bCs/>
          <w:color w:val="auto"/>
          <w:sz w:val="36"/>
          <w:szCs w:val="30"/>
          <w:highlight w:val="none"/>
        </w:rPr>
        <w:t>第</w:t>
      </w:r>
      <w:r>
        <w:rPr>
          <w:rFonts w:hint="eastAsia" w:ascii="宋体" w:hAnsi="宋体" w:cs="宋体"/>
          <w:b/>
          <w:bCs/>
          <w:color w:val="auto"/>
          <w:sz w:val="36"/>
          <w:szCs w:val="30"/>
          <w:highlight w:val="none"/>
          <w:lang w:eastAsia="zh-CN"/>
        </w:rPr>
        <w:t>五</w:t>
      </w:r>
      <w:r>
        <w:rPr>
          <w:rFonts w:hint="eastAsia" w:ascii="宋体" w:hAnsi="宋体" w:eastAsia="宋体" w:cs="宋体"/>
          <w:b/>
          <w:bCs/>
          <w:color w:val="auto"/>
          <w:sz w:val="36"/>
          <w:szCs w:val="30"/>
          <w:highlight w:val="none"/>
        </w:rPr>
        <w:t>篇  供应商须知</w:t>
      </w:r>
    </w:p>
    <w:p w14:paraId="3F1394D2">
      <w:pPr>
        <w:pStyle w:val="2"/>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szCs w:val="24"/>
          <w:highlight w:val="none"/>
        </w:rPr>
      </w:pPr>
      <w:bookmarkStart w:id="83" w:name="_Toc15030"/>
      <w:bookmarkStart w:id="84" w:name="_Toc426965630"/>
      <w:bookmarkStart w:id="85" w:name="_Toc29704"/>
      <w:bookmarkStart w:id="86" w:name="_Toc487204779"/>
      <w:bookmarkStart w:id="87" w:name="_Toc20643"/>
      <w:r>
        <w:rPr>
          <w:rFonts w:hint="eastAsia" w:ascii="宋体" w:hAnsi="宋体" w:eastAsia="宋体" w:cs="宋体"/>
          <w:color w:val="auto"/>
          <w:sz w:val="24"/>
          <w:szCs w:val="24"/>
          <w:highlight w:val="none"/>
        </w:rPr>
        <w:t>一、</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费用</w:t>
      </w:r>
      <w:bookmarkEnd w:id="83"/>
      <w:bookmarkEnd w:id="84"/>
      <w:bookmarkEnd w:id="85"/>
      <w:bookmarkEnd w:id="86"/>
      <w:bookmarkEnd w:id="87"/>
    </w:p>
    <w:p w14:paraId="00207C73">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参与</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的供应商应承担其编制响应文件与递交响应文件所涉及的一切费用，不论</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结果如何，采购人在任何情况下无义务也无责任承担这些费用。</w:t>
      </w:r>
    </w:p>
    <w:p w14:paraId="2B230237">
      <w:pPr>
        <w:pStyle w:val="2"/>
        <w:pageBreakBefore w:val="0"/>
        <w:widowControl w:val="0"/>
        <w:tabs>
          <w:tab w:val="left" w:pos="2640"/>
        </w:tabs>
        <w:kinsoku/>
        <w:wordWrap/>
        <w:overflowPunct/>
        <w:topLinePunct w:val="0"/>
        <w:autoSpaceDE/>
        <w:autoSpaceDN/>
        <w:bidi w:val="0"/>
        <w:spacing w:before="0" w:after="0" w:line="400" w:lineRule="exact"/>
        <w:ind w:firstLine="482" w:firstLineChars="200"/>
        <w:textAlignment w:val="auto"/>
        <w:rPr>
          <w:rFonts w:hint="eastAsia" w:ascii="宋体" w:hAnsi="宋体" w:eastAsia="宋体" w:cs="宋体"/>
          <w:color w:val="auto"/>
          <w:sz w:val="24"/>
          <w:szCs w:val="24"/>
          <w:highlight w:val="none"/>
        </w:rPr>
      </w:pPr>
      <w:bookmarkStart w:id="88" w:name="_Toc7850"/>
      <w:bookmarkStart w:id="89" w:name="_Toc426965631"/>
      <w:bookmarkStart w:id="90" w:name="_Toc2403"/>
      <w:bookmarkStart w:id="91" w:name="_Toc487204780"/>
      <w:bookmarkStart w:id="92" w:name="_Toc8727"/>
      <w:bookmarkStart w:id="93" w:name="_Toc342913391"/>
      <w:r>
        <w:rPr>
          <w:rFonts w:hint="eastAsia" w:ascii="宋体" w:hAnsi="宋体" w:eastAsia="宋体" w:cs="宋体"/>
          <w:bCs w:val="0"/>
          <w:color w:val="auto"/>
          <w:sz w:val="24"/>
          <w:szCs w:val="24"/>
          <w:highlight w:val="none"/>
        </w:rPr>
        <w:t>二、</w:t>
      </w:r>
      <w:bookmarkEnd w:id="88"/>
      <w:bookmarkEnd w:id="89"/>
      <w:bookmarkEnd w:id="90"/>
      <w:bookmarkEnd w:id="91"/>
      <w:bookmarkEnd w:id="92"/>
      <w:bookmarkEnd w:id="93"/>
      <w:r>
        <w:rPr>
          <w:rFonts w:hint="eastAsia" w:ascii="宋体" w:hAnsi="宋体" w:cs="宋体"/>
          <w:bCs w:val="0"/>
          <w:color w:val="auto"/>
          <w:sz w:val="24"/>
          <w:szCs w:val="24"/>
          <w:highlight w:val="none"/>
          <w:lang w:eastAsia="zh-CN"/>
        </w:rPr>
        <w:t>询比文件</w:t>
      </w:r>
      <w:r>
        <w:rPr>
          <w:rFonts w:hint="eastAsia" w:ascii="宋体" w:hAnsi="宋体" w:eastAsia="宋体" w:cs="宋体"/>
          <w:color w:val="auto"/>
          <w:sz w:val="24"/>
          <w:szCs w:val="24"/>
          <w:highlight w:val="none"/>
        </w:rPr>
        <w:tab/>
      </w:r>
    </w:p>
    <w:p w14:paraId="180E8270">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w:t>
      </w: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rPr>
        <w:t>由</w:t>
      </w:r>
      <w:r>
        <w:rPr>
          <w:rFonts w:hint="eastAsia" w:ascii="宋体" w:hAnsi="宋体" w:cs="宋体"/>
          <w:color w:val="auto"/>
          <w:sz w:val="24"/>
          <w:szCs w:val="24"/>
          <w:highlight w:val="none"/>
          <w:lang w:eastAsia="zh-CN"/>
        </w:rPr>
        <w:t>采购</w:t>
      </w:r>
      <w:r>
        <w:rPr>
          <w:rFonts w:hint="eastAsia" w:ascii="宋体" w:hAnsi="宋体" w:eastAsia="宋体" w:cs="宋体"/>
          <w:color w:val="auto"/>
          <w:sz w:val="24"/>
          <w:szCs w:val="24"/>
          <w:highlight w:val="none"/>
        </w:rPr>
        <w:t>邀请书、项目服务需求、项目商务需求、开标程序及方法、评审标准、无效响应和采购终止</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供应商须知、格式合同、响应文件格式要求六部分组成。</w:t>
      </w:r>
    </w:p>
    <w:p w14:paraId="67ADCE4F">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（二）采购人所作的一切有效的书面通知、修改及补充，都是</w:t>
      </w: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rPr>
        <w:t>不可分割的部分。</w:t>
      </w:r>
    </w:p>
    <w:p w14:paraId="7D044AEC">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w:t>
      </w: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rPr>
        <w:t>的解释</w:t>
      </w:r>
    </w:p>
    <w:p w14:paraId="47192CC4">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供应商如对</w:t>
      </w: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rPr>
        <w:t>有疑问，必须以书面形式在提交响应文件截止时间1个工作日前向采购人要求澄清，采购人可视具体情况做出处理或答复。如供应商未提出疑问，视为完全理解并同意本</w:t>
      </w: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rPr>
        <w:t>。一经进入</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程序，即视为供应商已详细阅读全部文件资料，完全理解</w:t>
      </w: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rPr>
        <w:t>所有条款内容并同意放弃对这方面有不明白及误解的权利。</w:t>
      </w:r>
      <w:bookmarkStart w:id="94" w:name="_Toc318166429"/>
      <w:bookmarkStart w:id="95" w:name="_Toc318159160"/>
      <w:bookmarkStart w:id="96" w:name="_Toc318159780"/>
      <w:bookmarkStart w:id="97" w:name="_Toc318159349"/>
    </w:p>
    <w:bookmarkEnd w:id="94"/>
    <w:bookmarkEnd w:id="95"/>
    <w:bookmarkEnd w:id="96"/>
    <w:bookmarkEnd w:id="97"/>
    <w:p w14:paraId="2466699F">
      <w:pPr>
        <w:pStyle w:val="2"/>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szCs w:val="24"/>
          <w:highlight w:val="none"/>
        </w:rPr>
      </w:pPr>
      <w:bookmarkStart w:id="98" w:name="_Toc179714297"/>
      <w:bookmarkStart w:id="99" w:name="_Toc487204781"/>
      <w:bookmarkStart w:id="100" w:name="_Toc19364"/>
      <w:bookmarkStart w:id="101" w:name="_Toc342913392"/>
      <w:bookmarkStart w:id="102" w:name="_Toc26774"/>
      <w:bookmarkStart w:id="103" w:name="_Toc426965632"/>
      <w:bookmarkStart w:id="104" w:name="_Toc102227318"/>
      <w:bookmarkStart w:id="105" w:name="_Toc19564"/>
      <w:r>
        <w:rPr>
          <w:rFonts w:hint="eastAsia" w:ascii="宋体" w:hAnsi="宋体" w:eastAsia="宋体" w:cs="宋体"/>
          <w:color w:val="auto"/>
          <w:sz w:val="24"/>
          <w:szCs w:val="24"/>
          <w:highlight w:val="none"/>
        </w:rPr>
        <w:t>三、</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要求</w:t>
      </w:r>
      <w:bookmarkEnd w:id="98"/>
      <w:bookmarkEnd w:id="99"/>
      <w:bookmarkEnd w:id="100"/>
      <w:bookmarkEnd w:id="101"/>
      <w:bookmarkEnd w:id="102"/>
      <w:bookmarkEnd w:id="103"/>
      <w:bookmarkEnd w:id="104"/>
      <w:bookmarkEnd w:id="105"/>
    </w:p>
    <w:p w14:paraId="65DB641A">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（一）响应文件</w:t>
      </w:r>
    </w:p>
    <w:p w14:paraId="36A96E4C">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供应商应当按照</w:t>
      </w: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rPr>
        <w:t>的要求编制响应文件，并对</w:t>
      </w: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rPr>
        <w:t>提出的要求和条件作出实质性响应，响应文件原则上采用软面订本，同时应编制完整的页码、目录。</w:t>
      </w:r>
    </w:p>
    <w:p w14:paraId="1B9C1927">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1、响应文件组成</w:t>
      </w:r>
    </w:p>
    <w:p w14:paraId="0DEE10DA">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响应文件由第</w:t>
      </w:r>
      <w:r>
        <w:rPr>
          <w:rFonts w:hint="eastAsia" w:ascii="宋体" w:hAnsi="宋体" w:cs="宋体"/>
          <w:color w:val="auto"/>
          <w:sz w:val="24"/>
          <w:szCs w:val="24"/>
          <w:highlight w:val="none"/>
          <w:lang w:eastAsia="zh-CN"/>
        </w:rPr>
        <w:t>七</w:t>
      </w:r>
      <w:r>
        <w:rPr>
          <w:rFonts w:hint="eastAsia" w:ascii="宋体" w:hAnsi="宋体" w:eastAsia="宋体" w:cs="宋体"/>
          <w:color w:val="auto"/>
          <w:sz w:val="24"/>
          <w:szCs w:val="24"/>
          <w:highlight w:val="none"/>
        </w:rPr>
        <w:t>篇“响应文件格式要求”规定的部分和供应商所作的一切有效补充、修改和承诺等文件组成，供应商应按照第六篇“响应文件格式”规定的目录顺序组织编写和装订，也可在基本格式基础上对表格进行扩展，未规定格式的由供应商自定格式。</w:t>
      </w:r>
    </w:p>
    <w:p w14:paraId="015B1A09">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有效期：响应文件及有关承诺文件有效期为</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开始时间起90天。</w:t>
      </w:r>
    </w:p>
    <w:p w14:paraId="6617A35F">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二</w:t>
      </w:r>
      <w:r>
        <w:rPr>
          <w:rFonts w:hint="eastAsia" w:ascii="宋体" w:hAnsi="宋体" w:eastAsia="宋体" w:cs="宋体"/>
          <w:color w:val="auto"/>
          <w:sz w:val="24"/>
          <w:szCs w:val="24"/>
          <w:highlight w:val="none"/>
        </w:rPr>
        <w:t>）修正错误</w:t>
      </w:r>
    </w:p>
    <w:p w14:paraId="68AD4D69">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大写金额和小写金额不一致的，以大写金额为准；</w:t>
      </w:r>
    </w:p>
    <w:p w14:paraId="6E49EEE5">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三</w:t>
      </w:r>
      <w:r>
        <w:rPr>
          <w:rFonts w:hint="eastAsia" w:ascii="宋体" w:hAnsi="宋体" w:eastAsia="宋体" w:cs="宋体"/>
          <w:color w:val="auto"/>
          <w:sz w:val="24"/>
          <w:szCs w:val="24"/>
          <w:highlight w:val="none"/>
        </w:rPr>
        <w:t>）提交响应文件的份数和签署和递交</w:t>
      </w:r>
    </w:p>
    <w:p w14:paraId="19AC1D0D">
      <w:pPr>
        <w:snapToGrid w:val="0"/>
        <w:spacing w:line="40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w:t>
      </w:r>
      <w:r>
        <w:rPr>
          <w:rFonts w:hint="eastAsia" w:ascii="宋体" w:hAnsi="宋体" w:cs="宋体"/>
          <w:b/>
          <w:bCs/>
          <w:color w:val="auto"/>
          <w:sz w:val="24"/>
          <w:szCs w:val="24"/>
          <w:highlight w:val="none"/>
          <w:lang w:eastAsia="zh-CN"/>
        </w:rPr>
        <w:t>供应商提交</w:t>
      </w:r>
      <w:r>
        <w:rPr>
          <w:rFonts w:hint="eastAsia" w:ascii="宋体" w:hAnsi="宋体" w:eastAsia="宋体" w:cs="宋体"/>
          <w:b/>
          <w:bCs/>
          <w:color w:val="auto"/>
          <w:sz w:val="24"/>
          <w:szCs w:val="24"/>
          <w:highlight w:val="none"/>
        </w:rPr>
        <w:t>响应文件一式</w:t>
      </w:r>
      <w:r>
        <w:rPr>
          <w:rFonts w:hint="eastAsia" w:ascii="宋体" w:hAnsi="宋体" w:cs="宋体"/>
          <w:b/>
          <w:bCs/>
          <w:color w:val="auto"/>
          <w:sz w:val="24"/>
          <w:szCs w:val="24"/>
          <w:highlight w:val="none"/>
          <w:lang w:eastAsia="zh-CN"/>
        </w:rPr>
        <w:t>两</w:t>
      </w:r>
      <w:r>
        <w:rPr>
          <w:rFonts w:hint="eastAsia" w:ascii="宋体" w:hAnsi="宋体" w:eastAsia="宋体" w:cs="宋体"/>
          <w:b/>
          <w:bCs/>
          <w:color w:val="auto"/>
          <w:sz w:val="24"/>
          <w:szCs w:val="24"/>
          <w:highlight w:val="none"/>
        </w:rPr>
        <w:t>份，其中正本一份，副本</w:t>
      </w:r>
      <w:r>
        <w:rPr>
          <w:rFonts w:hint="eastAsia" w:ascii="宋体" w:hAnsi="宋体" w:cs="宋体"/>
          <w:b/>
          <w:bCs/>
          <w:color w:val="auto"/>
          <w:sz w:val="24"/>
          <w:szCs w:val="24"/>
          <w:highlight w:val="none"/>
          <w:lang w:eastAsia="zh-CN"/>
        </w:rPr>
        <w:t>一</w:t>
      </w:r>
      <w:r>
        <w:rPr>
          <w:rFonts w:hint="eastAsia" w:ascii="宋体" w:hAnsi="宋体" w:eastAsia="宋体" w:cs="宋体"/>
          <w:b/>
          <w:bCs/>
          <w:color w:val="auto"/>
          <w:sz w:val="24"/>
          <w:szCs w:val="24"/>
          <w:highlight w:val="none"/>
        </w:rPr>
        <w:t>份</w:t>
      </w:r>
      <w:r>
        <w:rPr>
          <w:rFonts w:hint="eastAsia" w:ascii="宋体" w:hAnsi="宋体" w:cs="宋体"/>
          <w:b/>
          <w:bCs/>
          <w:color w:val="auto"/>
          <w:sz w:val="24"/>
          <w:szCs w:val="24"/>
          <w:highlight w:val="none"/>
          <w:lang w:eastAsia="zh-CN"/>
        </w:rPr>
        <w:t>。响应文件副本可为正本的完整复印件。</w:t>
      </w:r>
      <w:r>
        <w:rPr>
          <w:rFonts w:hint="eastAsia" w:ascii="宋体" w:hAnsi="宋体" w:eastAsia="宋体" w:cs="宋体"/>
          <w:b/>
          <w:bCs/>
          <w:color w:val="auto"/>
          <w:sz w:val="24"/>
          <w:szCs w:val="24"/>
          <w:highlight w:val="none"/>
        </w:rPr>
        <w:t>应与正本一致，如出现不一致情况以正本为准。</w:t>
      </w:r>
    </w:p>
    <w:p w14:paraId="7BA67502">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highlight w:val="none"/>
        </w:rPr>
        <w:t>响应文件按</w:t>
      </w:r>
      <w:r>
        <w:rPr>
          <w:rFonts w:hint="eastAsia" w:ascii="宋体" w:hAnsi="宋体" w:cs="宋体"/>
          <w:color w:val="auto"/>
          <w:sz w:val="24"/>
          <w:highlight w:val="none"/>
          <w:lang w:eastAsia="zh-CN"/>
        </w:rPr>
        <w:t>询比</w:t>
      </w:r>
      <w:r>
        <w:rPr>
          <w:rFonts w:hint="eastAsia" w:ascii="宋体" w:hAnsi="宋体" w:eastAsia="宋体" w:cs="宋体"/>
          <w:color w:val="auto"/>
          <w:sz w:val="24"/>
          <w:highlight w:val="none"/>
        </w:rPr>
        <w:t>文件“第七篇</w:t>
      </w:r>
      <w:r>
        <w:rPr>
          <w:rFonts w:hint="eastAsia" w:ascii="宋体" w:hAnsi="宋体" w:cs="宋体"/>
          <w:color w:val="auto"/>
          <w:sz w:val="24"/>
          <w:highlight w:val="none"/>
          <w:lang w:val="en-US" w:eastAsia="zh-CN"/>
        </w:rPr>
        <w:t xml:space="preserve"> </w:t>
      </w:r>
      <w:r>
        <w:rPr>
          <w:rFonts w:hint="eastAsia" w:ascii="宋体" w:hAnsi="宋体" w:eastAsia="宋体" w:cs="宋体"/>
          <w:color w:val="auto"/>
          <w:sz w:val="24"/>
          <w:highlight w:val="none"/>
        </w:rPr>
        <w:t>响应文件编制要求”要求签署或盖章。</w:t>
      </w:r>
    </w:p>
    <w:p w14:paraId="129BC249">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四</w:t>
      </w:r>
      <w:r>
        <w:rPr>
          <w:rFonts w:hint="eastAsia" w:ascii="宋体" w:hAnsi="宋体" w:eastAsia="宋体" w:cs="宋体"/>
          <w:color w:val="auto"/>
          <w:sz w:val="24"/>
          <w:szCs w:val="24"/>
          <w:highlight w:val="none"/>
        </w:rPr>
        <w:t>）响应文件语言：简体中文</w:t>
      </w:r>
    </w:p>
    <w:bookmarkEnd w:id="72"/>
    <w:bookmarkEnd w:id="73"/>
    <w:p w14:paraId="368B3BE3">
      <w:pPr>
        <w:pStyle w:val="4"/>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szCs w:val="24"/>
          <w:highlight w:val="none"/>
        </w:rPr>
      </w:pPr>
      <w:bookmarkStart w:id="106" w:name="_Toc106034798"/>
      <w:bookmarkStart w:id="107" w:name="_Toc10172"/>
      <w:bookmarkStart w:id="108" w:name="_Toc20783"/>
      <w:r>
        <w:rPr>
          <w:rFonts w:hint="eastAsia" w:ascii="宋体" w:hAnsi="宋体" w:eastAsia="宋体" w:cs="宋体"/>
          <w:color w:val="auto"/>
          <w:sz w:val="24"/>
          <w:szCs w:val="24"/>
          <w:highlight w:val="none"/>
        </w:rPr>
        <w:t>四、成交供应商的确定和变更</w:t>
      </w:r>
      <w:bookmarkEnd w:id="106"/>
      <w:bookmarkEnd w:id="107"/>
      <w:bookmarkEnd w:id="108"/>
    </w:p>
    <w:p w14:paraId="40D08639">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一）采购代理机构应当在评审结束后2个工作日内将评审报告送采购人确认。采购人应当在收到评审报告后5个工作日内，从评审报告提出的成交候选供应商中，按照排序由高到低的原则确定成交供应商，也可以书面授权</w:t>
      </w:r>
      <w:r>
        <w:rPr>
          <w:rFonts w:hint="eastAsia" w:ascii="宋体" w:hAnsi="宋体" w:cs="宋体"/>
          <w:color w:val="auto"/>
          <w:sz w:val="24"/>
          <w:szCs w:val="24"/>
          <w:highlight w:val="none"/>
          <w:lang w:eastAsia="zh-CN"/>
        </w:rPr>
        <w:t>询比</w:t>
      </w:r>
      <w:r>
        <w:rPr>
          <w:rFonts w:hint="eastAsia" w:ascii="宋体" w:hAnsi="宋体" w:cs="宋体"/>
          <w:color w:val="auto"/>
          <w:sz w:val="24"/>
          <w:szCs w:val="24"/>
          <w:highlight w:val="none"/>
        </w:rPr>
        <w:t>小组直接确定成交供应商。采购人逾期未确定成交供应商且不提出异议的，视为确定评审报告提出的排序第一的供应商为成交供应商。</w:t>
      </w:r>
    </w:p>
    <w:p w14:paraId="7F367258">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（二）成交供应商的变更</w:t>
      </w:r>
    </w:p>
    <w:p w14:paraId="5AC3DDEB">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1.成交供应商拒绝签订政府采购合同的，采购人可以按照评审报告推荐的成交候选人顺序，确定排名下一位的候选人为成交供应商，也可以重新开展政府采购活动。拒绝签订政府采购合同的成交供应商不得参加对该项目重新开展的采购活动。</w:t>
      </w:r>
    </w:p>
    <w:p w14:paraId="11426DDC">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2.成交供应商无充分理由放弃成交的，采购人将向同级财政部门报告，财政部门将根据相关法律法规的规定进行处理。</w:t>
      </w:r>
    </w:p>
    <w:p w14:paraId="6EE2297C">
      <w:pPr>
        <w:pStyle w:val="4"/>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szCs w:val="24"/>
          <w:highlight w:val="none"/>
        </w:rPr>
      </w:pPr>
      <w:bookmarkStart w:id="109" w:name="_Toc10504"/>
      <w:bookmarkStart w:id="110" w:name="_Toc17760"/>
      <w:bookmarkStart w:id="111" w:name="_Toc106034799"/>
      <w:r>
        <w:rPr>
          <w:rFonts w:hint="eastAsia" w:ascii="宋体" w:hAnsi="宋体" w:eastAsia="宋体" w:cs="宋体"/>
          <w:color w:val="auto"/>
          <w:sz w:val="24"/>
          <w:szCs w:val="24"/>
          <w:highlight w:val="none"/>
        </w:rPr>
        <w:t>五、成交通知</w:t>
      </w:r>
      <w:bookmarkEnd w:id="109"/>
      <w:bookmarkEnd w:id="110"/>
      <w:bookmarkEnd w:id="111"/>
    </w:p>
    <w:p w14:paraId="5C80C475">
      <w:pPr>
        <w:pageBreakBefore w:val="0"/>
        <w:widowControl w:val="0"/>
        <w:kinsoku/>
        <w:wordWrap/>
        <w:overflowPunct/>
        <w:topLinePunct w:val="0"/>
        <w:autoSpaceDE/>
        <w:autoSpaceDN/>
        <w:bidi w:val="0"/>
        <w:spacing w:line="400" w:lineRule="exact"/>
        <w:ind w:firstLine="360" w:firstLineChars="15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（一）成交供应商确定后，采购代理机构将在</w:t>
      </w:r>
      <w:r>
        <w:rPr>
          <w:rFonts w:hint="eastAsia" w:ascii="宋体" w:hAnsi="宋体" w:cs="宋体"/>
          <w:color w:val="auto"/>
          <w:sz w:val="24"/>
          <w:szCs w:val="24"/>
          <w:highlight w:val="none"/>
          <w:lang w:eastAsia="zh-CN"/>
        </w:rPr>
        <w:t>行采家（https://www.gec123.com/）</w:t>
      </w:r>
      <w:r>
        <w:rPr>
          <w:rFonts w:hint="eastAsia" w:ascii="宋体" w:hAnsi="宋体" w:cs="宋体"/>
          <w:color w:val="auto"/>
          <w:sz w:val="24"/>
          <w:szCs w:val="24"/>
          <w:highlight w:val="none"/>
        </w:rPr>
        <w:t>上发布</w:t>
      </w:r>
      <w:r>
        <w:rPr>
          <w:rFonts w:hint="eastAsia" w:ascii="宋体" w:hAnsi="宋体" w:cs="宋体"/>
          <w:color w:val="auto"/>
          <w:sz w:val="24"/>
          <w:szCs w:val="24"/>
          <w:highlight w:val="none"/>
          <w:lang w:eastAsia="zh-CN"/>
        </w:rPr>
        <w:t>询比</w:t>
      </w:r>
      <w:r>
        <w:rPr>
          <w:rFonts w:hint="eastAsia" w:ascii="宋体" w:hAnsi="宋体" w:cs="宋体"/>
          <w:color w:val="auto"/>
          <w:sz w:val="24"/>
          <w:szCs w:val="24"/>
          <w:highlight w:val="none"/>
        </w:rPr>
        <w:t>结果公告。</w:t>
      </w:r>
    </w:p>
    <w:p w14:paraId="2CB728A1">
      <w:pPr>
        <w:pageBreakBefore w:val="0"/>
        <w:widowControl w:val="0"/>
        <w:kinsoku/>
        <w:wordWrap/>
        <w:overflowPunct/>
        <w:topLinePunct w:val="0"/>
        <w:autoSpaceDE/>
        <w:autoSpaceDN/>
        <w:bidi w:val="0"/>
        <w:spacing w:line="400" w:lineRule="exact"/>
        <w:ind w:firstLine="360" w:firstLineChars="15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（二）</w:t>
      </w:r>
      <w:r>
        <w:rPr>
          <w:rFonts w:hint="eastAsia" w:ascii="宋体" w:hAnsi="宋体" w:cs="宋体"/>
          <w:color w:val="auto"/>
          <w:sz w:val="24"/>
          <w:szCs w:val="24"/>
          <w:highlight w:val="none"/>
          <w:lang w:eastAsia="zh-CN"/>
        </w:rPr>
        <w:t>询比</w:t>
      </w:r>
      <w:r>
        <w:rPr>
          <w:rFonts w:hint="eastAsia" w:ascii="宋体" w:hAnsi="宋体" w:cs="宋体"/>
          <w:color w:val="auto"/>
          <w:sz w:val="24"/>
          <w:szCs w:val="24"/>
          <w:highlight w:val="none"/>
        </w:rPr>
        <w:t>结果公告发出同时，采购代理机构将以书面形式发出《成交通知书》。《成交通知书》一经发出即发生法律效力。</w:t>
      </w:r>
    </w:p>
    <w:p w14:paraId="507A5CB8">
      <w:pPr>
        <w:pageBreakBefore w:val="0"/>
        <w:widowControl w:val="0"/>
        <w:kinsoku/>
        <w:wordWrap/>
        <w:overflowPunct/>
        <w:topLinePunct w:val="0"/>
        <w:autoSpaceDE/>
        <w:autoSpaceDN/>
        <w:bidi w:val="0"/>
        <w:spacing w:line="400" w:lineRule="exact"/>
        <w:ind w:firstLine="360" w:firstLineChars="15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（三）《成交通知书》将作为签订合同的依据。</w:t>
      </w:r>
    </w:p>
    <w:p w14:paraId="5EC160FC">
      <w:pPr>
        <w:pStyle w:val="4"/>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szCs w:val="24"/>
          <w:highlight w:val="none"/>
        </w:rPr>
      </w:pPr>
      <w:bookmarkStart w:id="112" w:name="_Toc106034801"/>
      <w:bookmarkStart w:id="113" w:name="_Toc14096"/>
      <w:bookmarkStart w:id="114" w:name="_Toc23778"/>
      <w:r>
        <w:rPr>
          <w:rFonts w:hint="eastAsia" w:ascii="宋体" w:hAnsi="宋体" w:eastAsia="宋体" w:cs="宋体"/>
          <w:color w:val="auto"/>
          <w:sz w:val="24"/>
          <w:szCs w:val="24"/>
          <w:highlight w:val="none"/>
        </w:rPr>
        <w:t>六、签订合同</w:t>
      </w:r>
      <w:bookmarkEnd w:id="112"/>
      <w:bookmarkEnd w:id="113"/>
      <w:bookmarkEnd w:id="114"/>
    </w:p>
    <w:p w14:paraId="2BEAA6F5">
      <w:pPr>
        <w:pageBreakBefore w:val="0"/>
        <w:widowControl w:val="0"/>
        <w:kinsoku/>
        <w:wordWrap/>
        <w:overflowPunct/>
        <w:topLinePunct w:val="0"/>
        <w:autoSpaceDE/>
        <w:autoSpaceDN/>
        <w:bidi w:val="0"/>
        <w:spacing w:line="400" w:lineRule="exact"/>
        <w:ind w:firstLine="360" w:firstLineChars="15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（一）采购人原则上应在成交通知书发出之日起二十日内和成交供应商签订政府采购合同，无正当理由不得拒绝或拖延合同签订。所签订的合同不得对</w:t>
      </w:r>
      <w:r>
        <w:rPr>
          <w:rFonts w:hint="eastAsia" w:ascii="宋体" w:hAnsi="宋体" w:cs="宋体"/>
          <w:color w:val="auto"/>
          <w:sz w:val="24"/>
          <w:szCs w:val="24"/>
          <w:highlight w:val="none"/>
          <w:lang w:eastAsia="zh-CN"/>
        </w:rPr>
        <w:t>询比文件</w:t>
      </w:r>
      <w:r>
        <w:rPr>
          <w:rFonts w:hint="eastAsia" w:ascii="宋体" w:hAnsi="宋体" w:cs="宋体"/>
          <w:color w:val="auto"/>
          <w:sz w:val="24"/>
          <w:szCs w:val="24"/>
          <w:highlight w:val="none"/>
        </w:rPr>
        <w:t>和供应商的响应文件作实质性修改。其他未尽事宜由采购人和成交供应商在采购合同中详细约定。</w:t>
      </w:r>
    </w:p>
    <w:p w14:paraId="6A2CE854">
      <w:pPr>
        <w:pageBreakBefore w:val="0"/>
        <w:widowControl w:val="0"/>
        <w:kinsoku/>
        <w:wordWrap/>
        <w:overflowPunct/>
        <w:topLinePunct w:val="0"/>
        <w:autoSpaceDE/>
        <w:autoSpaceDN/>
        <w:bidi w:val="0"/>
        <w:spacing w:line="400" w:lineRule="exact"/>
        <w:ind w:firstLine="360" w:firstLineChars="15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二</w:t>
      </w:r>
      <w:r>
        <w:rPr>
          <w:rFonts w:hint="eastAsia" w:ascii="宋体" w:hAnsi="宋体" w:cs="宋体"/>
          <w:color w:val="auto"/>
          <w:sz w:val="24"/>
          <w:szCs w:val="24"/>
          <w:highlight w:val="none"/>
        </w:rPr>
        <w:t>）</w:t>
      </w:r>
      <w:r>
        <w:rPr>
          <w:rFonts w:hint="eastAsia" w:ascii="宋体" w:hAnsi="宋体" w:cs="宋体"/>
          <w:color w:val="auto"/>
          <w:sz w:val="24"/>
          <w:szCs w:val="24"/>
          <w:highlight w:val="none"/>
          <w:lang w:eastAsia="zh-CN"/>
        </w:rPr>
        <w:t>询比文件</w:t>
      </w:r>
      <w:r>
        <w:rPr>
          <w:rFonts w:hint="eastAsia" w:ascii="宋体" w:hAnsi="宋体" w:cs="宋体"/>
          <w:color w:val="auto"/>
          <w:sz w:val="24"/>
          <w:szCs w:val="24"/>
          <w:highlight w:val="none"/>
        </w:rPr>
        <w:t>、供应商的响应文件及澄清文件等，均为签订政府采购合同的依据。</w:t>
      </w:r>
    </w:p>
    <w:p w14:paraId="36A8C20D">
      <w:pPr>
        <w:pageBreakBefore w:val="0"/>
        <w:widowControl w:val="0"/>
        <w:kinsoku/>
        <w:wordWrap/>
        <w:overflowPunct/>
        <w:topLinePunct w:val="0"/>
        <w:autoSpaceDE/>
        <w:autoSpaceDN/>
        <w:bidi w:val="0"/>
        <w:spacing w:line="400" w:lineRule="exact"/>
        <w:ind w:firstLine="360" w:firstLineChars="15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（三）合同生效条款由供需双方约定，法律、行政法规规定应当办理批准、登记等手续后生效的合同，依照其规定。</w:t>
      </w:r>
    </w:p>
    <w:p w14:paraId="6234602F">
      <w:pPr>
        <w:pageBreakBefore w:val="0"/>
        <w:widowControl w:val="0"/>
        <w:kinsoku/>
        <w:wordWrap/>
        <w:overflowPunct/>
        <w:topLinePunct w:val="0"/>
        <w:autoSpaceDE/>
        <w:autoSpaceDN/>
        <w:bidi w:val="0"/>
        <w:spacing w:line="400" w:lineRule="exact"/>
        <w:ind w:firstLine="360" w:firstLineChars="15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（四）合同原则上应按照《重庆市政府采购合同》签订，相关单位要求适用合同通用格式版本的，应按其要求另行签订其他合同。</w:t>
      </w:r>
    </w:p>
    <w:p w14:paraId="4B97F837">
      <w:pPr>
        <w:pageBreakBefore w:val="0"/>
        <w:widowControl w:val="0"/>
        <w:kinsoku/>
        <w:wordWrap/>
        <w:overflowPunct/>
        <w:topLinePunct w:val="0"/>
        <w:autoSpaceDE/>
        <w:autoSpaceDN/>
        <w:bidi w:val="0"/>
        <w:spacing w:line="400" w:lineRule="exact"/>
        <w:ind w:firstLine="360" w:firstLineChars="15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（五）采购人要求成交供应商提供履约保证金的，应当在</w:t>
      </w:r>
      <w:r>
        <w:rPr>
          <w:rFonts w:hint="eastAsia" w:ascii="宋体" w:hAnsi="宋体" w:cs="宋体"/>
          <w:color w:val="auto"/>
          <w:sz w:val="24"/>
          <w:szCs w:val="24"/>
          <w:highlight w:val="none"/>
          <w:lang w:eastAsia="zh-CN"/>
        </w:rPr>
        <w:t>询比文件</w:t>
      </w:r>
      <w:r>
        <w:rPr>
          <w:rFonts w:hint="eastAsia" w:ascii="宋体" w:hAnsi="宋体" w:cs="宋体"/>
          <w:color w:val="auto"/>
          <w:sz w:val="24"/>
          <w:szCs w:val="24"/>
          <w:highlight w:val="none"/>
        </w:rPr>
        <w:t>中予以约定。成交供应商履约完毕后，采购人根据采购文件规定无息退还其履约保证金。</w:t>
      </w:r>
    </w:p>
    <w:p w14:paraId="695C64D9">
      <w:pPr>
        <w:pStyle w:val="4"/>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szCs w:val="24"/>
          <w:highlight w:val="none"/>
        </w:rPr>
      </w:pPr>
      <w:bookmarkStart w:id="115" w:name="_Toc21922"/>
      <w:bookmarkStart w:id="116" w:name="_Toc77"/>
      <w:bookmarkStart w:id="117" w:name="_Toc106034802"/>
      <w:r>
        <w:rPr>
          <w:rFonts w:hint="eastAsia" w:ascii="宋体" w:hAnsi="宋体" w:eastAsia="宋体" w:cs="宋体"/>
          <w:color w:val="auto"/>
          <w:sz w:val="24"/>
          <w:szCs w:val="24"/>
          <w:highlight w:val="none"/>
        </w:rPr>
        <w:t>七、项目验收</w:t>
      </w:r>
      <w:bookmarkEnd w:id="115"/>
      <w:bookmarkEnd w:id="116"/>
      <w:bookmarkEnd w:id="117"/>
    </w:p>
    <w:p w14:paraId="542856FD">
      <w:pPr>
        <w:pageBreakBefore w:val="0"/>
        <w:widowControl w:val="0"/>
        <w:kinsoku/>
        <w:wordWrap/>
        <w:overflowPunct/>
        <w:topLinePunct w:val="0"/>
        <w:autoSpaceDE/>
        <w:autoSpaceDN/>
        <w:bidi w:val="0"/>
        <w:spacing w:line="400" w:lineRule="exact"/>
        <w:ind w:firstLine="360" w:firstLineChars="15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合同执行完毕，采购人或采购代理机构原则上应在7个工作日内组织履约情况验收，不得无故拖延或附加额外条件。</w:t>
      </w:r>
    </w:p>
    <w:p w14:paraId="4E149B1C">
      <w:pPr>
        <w:pStyle w:val="4"/>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szCs w:val="24"/>
          <w:highlight w:val="none"/>
        </w:rPr>
      </w:pPr>
      <w:bookmarkStart w:id="118" w:name="_Toc106034803"/>
      <w:bookmarkStart w:id="119" w:name="_Toc17336"/>
      <w:bookmarkStart w:id="120" w:name="_Toc2438"/>
      <w:r>
        <w:rPr>
          <w:rFonts w:hint="eastAsia" w:ascii="宋体" w:hAnsi="宋体" w:eastAsia="宋体" w:cs="宋体"/>
          <w:color w:val="auto"/>
          <w:sz w:val="24"/>
          <w:szCs w:val="24"/>
          <w:highlight w:val="none"/>
        </w:rPr>
        <w:t>八、采购代理服务费</w:t>
      </w:r>
      <w:bookmarkEnd w:id="118"/>
      <w:bookmarkEnd w:id="119"/>
      <w:bookmarkEnd w:id="120"/>
    </w:p>
    <w:p w14:paraId="1A1F32A6">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highlight w:val="none"/>
        </w:rPr>
      </w:pPr>
      <w:bookmarkStart w:id="121" w:name="_Toc106034805"/>
      <w:bookmarkStart w:id="122" w:name="_Toc65660363"/>
      <w:bookmarkStart w:id="123" w:name="_Toc9730"/>
      <w:bookmarkStart w:id="124" w:name="_Toc23463"/>
      <w:bookmarkStart w:id="125" w:name="_Toc4867"/>
      <w:bookmarkStart w:id="126" w:name="_Toc106034655"/>
      <w:bookmarkStart w:id="127" w:name="_Toc76462345"/>
      <w:bookmarkStart w:id="128" w:name="_Toc31595"/>
      <w:r>
        <w:rPr>
          <w:rFonts w:hint="eastAsia" w:ascii="宋体" w:hAnsi="宋体" w:eastAsia="宋体" w:cs="宋体"/>
          <w:color w:val="auto"/>
          <w:sz w:val="24"/>
          <w:highlight w:val="none"/>
        </w:rPr>
        <w:t>（一）供应商成交后向采购代理机构缴纳</w:t>
      </w:r>
      <w:r>
        <w:rPr>
          <w:rFonts w:hint="eastAsia" w:ascii="宋体" w:hAnsi="宋体" w:eastAsia="宋体" w:cs="宋体"/>
          <w:color w:val="auto"/>
          <w:sz w:val="24"/>
          <w:szCs w:val="24"/>
          <w:highlight w:val="none"/>
        </w:rPr>
        <w:t>采购</w:t>
      </w:r>
      <w:r>
        <w:rPr>
          <w:rFonts w:hint="eastAsia" w:ascii="宋体" w:hAnsi="宋体" w:eastAsia="宋体" w:cs="宋体"/>
          <w:color w:val="auto"/>
          <w:sz w:val="24"/>
          <w:highlight w:val="none"/>
        </w:rPr>
        <w:t>代理服务费，</w:t>
      </w:r>
      <w:r>
        <w:rPr>
          <w:rFonts w:hint="eastAsia" w:ascii="宋体" w:hAnsi="宋体" w:eastAsia="宋体" w:cs="宋体"/>
          <w:color w:val="auto"/>
          <w:sz w:val="24"/>
          <w:szCs w:val="24"/>
          <w:highlight w:val="none"/>
        </w:rPr>
        <w:t>采购</w:t>
      </w:r>
      <w:r>
        <w:rPr>
          <w:rFonts w:hint="eastAsia" w:ascii="宋体" w:hAnsi="宋体" w:eastAsia="宋体" w:cs="宋体"/>
          <w:color w:val="auto"/>
          <w:sz w:val="24"/>
          <w:highlight w:val="none"/>
        </w:rPr>
        <w:t>代理服务费</w:t>
      </w:r>
      <w:r>
        <w:rPr>
          <w:rFonts w:hint="eastAsia" w:ascii="宋体" w:hAnsi="宋体" w:cs="宋体"/>
          <w:color w:val="auto"/>
          <w:sz w:val="24"/>
          <w:highlight w:val="none"/>
          <w:lang w:eastAsia="zh-CN"/>
        </w:rPr>
        <w:t>为</w:t>
      </w:r>
      <w:r>
        <w:rPr>
          <w:rFonts w:hint="eastAsia" w:ascii="宋体" w:hAnsi="宋体" w:cs="宋体"/>
          <w:color w:val="auto"/>
          <w:sz w:val="24"/>
          <w:highlight w:val="none"/>
          <w:lang w:val="en-US" w:eastAsia="zh-CN"/>
        </w:rPr>
        <w:t>6785.00 元（大写：陆仟柒佰捌拾伍元整  ）。</w:t>
      </w:r>
    </w:p>
    <w:p w14:paraId="6029CFC6">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四</w:t>
      </w:r>
      <w:r>
        <w:rPr>
          <w:rFonts w:hint="eastAsia" w:ascii="宋体" w:hAnsi="宋体" w:eastAsia="宋体" w:cs="宋体"/>
          <w:color w:val="auto"/>
          <w:sz w:val="24"/>
          <w:highlight w:val="none"/>
        </w:rPr>
        <w:t>）代理服务费由供应商成交后向采购代理机构缴纳。</w:t>
      </w:r>
    </w:p>
    <w:p w14:paraId="7385FC1E">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五</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缴纳账号：</w:t>
      </w:r>
    </w:p>
    <w:bookmarkEnd w:id="121"/>
    <w:bookmarkEnd w:id="122"/>
    <w:bookmarkEnd w:id="123"/>
    <w:bookmarkEnd w:id="124"/>
    <w:bookmarkEnd w:id="125"/>
    <w:bookmarkEnd w:id="126"/>
    <w:bookmarkEnd w:id="127"/>
    <w:bookmarkEnd w:id="128"/>
    <w:p w14:paraId="3AF37186">
      <w:pPr>
        <w:spacing w:line="400" w:lineRule="exact"/>
        <w:ind w:firstLine="480" w:firstLineChars="200"/>
        <w:rPr>
          <w:rFonts w:hint="eastAsia" w:ascii="宋体" w:hAnsi="宋体" w:cs="宋体"/>
          <w:color w:val="auto"/>
          <w:sz w:val="24"/>
          <w:highlight w:val="none"/>
        </w:rPr>
      </w:pPr>
      <w:bookmarkStart w:id="129" w:name="_Toc76462347"/>
      <w:bookmarkStart w:id="130" w:name="_Toc14780"/>
      <w:bookmarkStart w:id="131" w:name="_Toc8532"/>
      <w:r>
        <w:rPr>
          <w:rFonts w:hint="eastAsia" w:ascii="宋体" w:hAnsi="宋体" w:cs="宋体"/>
          <w:color w:val="auto"/>
          <w:sz w:val="24"/>
          <w:highlight w:val="none"/>
        </w:rPr>
        <w:t>户  名：重庆鸿兴招标代理有限公司</w:t>
      </w:r>
    </w:p>
    <w:p w14:paraId="012F8F7C">
      <w:pPr>
        <w:spacing w:line="40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开户行：工行重庆大足支行</w:t>
      </w:r>
    </w:p>
    <w:p w14:paraId="63F21010">
      <w:pPr>
        <w:spacing w:line="400" w:lineRule="exact"/>
        <w:ind w:firstLine="480" w:firstLineChars="200"/>
        <w:rPr>
          <w:rFonts w:hint="eastAsia" w:ascii="宋体" w:hAnsi="宋体" w:eastAsia="宋体" w:cs="宋体"/>
          <w:color w:val="auto"/>
          <w:sz w:val="24"/>
          <w:highlight w:val="none"/>
        </w:rPr>
      </w:pPr>
      <w:r>
        <w:rPr>
          <w:rFonts w:hint="eastAsia" w:ascii="宋体" w:hAnsi="宋体" w:cs="宋体"/>
          <w:color w:val="auto"/>
          <w:sz w:val="24"/>
          <w:highlight w:val="none"/>
        </w:rPr>
        <w:t>账  号：3100096019200111969</w:t>
      </w:r>
    </w:p>
    <w:p w14:paraId="1B1C985F">
      <w:pPr>
        <w:pStyle w:val="4"/>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九</w:t>
      </w:r>
      <w:r>
        <w:rPr>
          <w:rFonts w:hint="eastAsia" w:ascii="宋体" w:hAnsi="宋体" w:eastAsia="宋体" w:cs="宋体"/>
          <w:color w:val="auto"/>
          <w:sz w:val="24"/>
          <w:highlight w:val="none"/>
        </w:rPr>
        <w:t>、政府采购信用融资</w:t>
      </w:r>
      <w:bookmarkEnd w:id="129"/>
      <w:bookmarkEnd w:id="130"/>
      <w:bookmarkEnd w:id="131"/>
    </w:p>
    <w:p w14:paraId="3A781D7F">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color w:val="auto"/>
          <w:sz w:val="24"/>
          <w:szCs w:val="24"/>
          <w:highlight w:val="none"/>
        </w:rPr>
        <w:sectPr>
          <w:headerReference r:id="rId6" w:type="default"/>
          <w:pgSz w:w="11907" w:h="16840"/>
          <w:pgMar w:top="1134" w:right="1191" w:bottom="1134" w:left="1304" w:header="964" w:footer="992" w:gutter="0"/>
          <w:pgBorders>
            <w:top w:val="none" w:sz="0" w:space="0"/>
            <w:left w:val="none" w:sz="0" w:space="0"/>
            <w:bottom w:val="none" w:sz="0" w:space="0"/>
            <w:right w:val="none" w:sz="0" w:space="0"/>
          </w:pgBorders>
          <w:cols w:space="720" w:num="1"/>
          <w:docGrid w:linePitch="312" w:charSpace="0"/>
        </w:sectPr>
      </w:pPr>
      <w:r>
        <w:rPr>
          <w:rFonts w:hint="eastAsia" w:ascii="宋体" w:hAnsi="宋体" w:eastAsia="宋体" w:cs="宋体"/>
          <w:color w:val="auto"/>
          <w:sz w:val="24"/>
          <w:szCs w:val="24"/>
          <w:highlight w:val="none"/>
        </w:rPr>
        <w:t>供应商参与重庆市政府采购活动，成为成交供应商，并与采购人签订政府采购合同后，可按照重庆市政府采购支持中小企业信用融资办法的规定，向开展政府采购信用融资业务的银行申请贷款。具体内容详见重庆市政府采购网“信用融资”信息专栏。</w:t>
      </w:r>
    </w:p>
    <w:bookmarkEnd w:id="34"/>
    <w:p w14:paraId="58A1D2DB">
      <w:pPr>
        <w:pStyle w:val="4"/>
        <w:spacing w:before="0" w:after="0" w:line="360" w:lineRule="auto"/>
        <w:jc w:val="center"/>
        <w:rPr>
          <w:rFonts w:hint="eastAsia" w:ascii="宋体" w:hAnsi="宋体" w:eastAsia="宋体" w:cs="宋体"/>
          <w:b w:val="0"/>
          <w:color w:val="auto"/>
          <w:sz w:val="36"/>
          <w:szCs w:val="30"/>
          <w:highlight w:val="none"/>
        </w:rPr>
      </w:pPr>
      <w:bookmarkStart w:id="132" w:name="_Toc12789059"/>
      <w:bookmarkStart w:id="133" w:name="_Toc11641055"/>
      <w:bookmarkStart w:id="134" w:name="_Toc17949"/>
      <w:r>
        <w:rPr>
          <w:rFonts w:hint="eastAsia" w:ascii="宋体" w:hAnsi="宋体" w:eastAsia="宋体" w:cs="宋体"/>
          <w:b w:val="0"/>
          <w:color w:val="auto"/>
          <w:sz w:val="36"/>
          <w:szCs w:val="30"/>
          <w:highlight w:val="none"/>
        </w:rPr>
        <w:t>第</w:t>
      </w:r>
      <w:r>
        <w:rPr>
          <w:rFonts w:hint="eastAsia" w:ascii="宋体" w:hAnsi="宋体" w:eastAsia="宋体" w:cs="宋体"/>
          <w:b w:val="0"/>
          <w:color w:val="auto"/>
          <w:sz w:val="36"/>
          <w:szCs w:val="30"/>
          <w:highlight w:val="none"/>
          <w:lang w:eastAsia="zh-CN"/>
        </w:rPr>
        <w:t>六</w:t>
      </w:r>
      <w:r>
        <w:rPr>
          <w:rFonts w:hint="eastAsia" w:ascii="宋体" w:hAnsi="宋体" w:eastAsia="宋体" w:cs="宋体"/>
          <w:b w:val="0"/>
          <w:color w:val="auto"/>
          <w:sz w:val="36"/>
          <w:szCs w:val="30"/>
          <w:highlight w:val="none"/>
        </w:rPr>
        <w:t xml:space="preserve">篇  </w:t>
      </w:r>
      <w:bookmarkEnd w:id="132"/>
      <w:bookmarkEnd w:id="133"/>
      <w:r>
        <w:rPr>
          <w:rFonts w:hint="eastAsia" w:ascii="宋体" w:hAnsi="宋体" w:eastAsia="宋体" w:cs="宋体"/>
          <w:b w:val="0"/>
          <w:color w:val="auto"/>
          <w:sz w:val="36"/>
          <w:szCs w:val="30"/>
          <w:highlight w:val="none"/>
        </w:rPr>
        <w:t>合同草案条款</w:t>
      </w:r>
      <w:bookmarkEnd w:id="134"/>
    </w:p>
    <w:p w14:paraId="66B25F17">
      <w:pPr>
        <w:adjustRightInd w:val="0"/>
        <w:snapToGrid w:val="0"/>
        <w:spacing w:line="360" w:lineRule="auto"/>
        <w:ind w:firstLine="440" w:firstLineChars="200"/>
        <w:rPr>
          <w:rFonts w:hint="eastAsia"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注：（以下合同格式为通用版本，合同格式的最终版以签订合同时采购人提供的版本为准）</w:t>
      </w:r>
    </w:p>
    <w:p w14:paraId="402BC177">
      <w:pPr>
        <w:spacing w:line="500" w:lineRule="exact"/>
        <w:jc w:val="center"/>
        <w:rPr>
          <w:rFonts w:hint="eastAsia" w:ascii="宋体" w:hAnsi="宋体" w:eastAsia="宋体" w:cs="宋体"/>
          <w:b/>
          <w:color w:val="auto"/>
          <w:sz w:val="44"/>
          <w:highlight w:val="none"/>
        </w:rPr>
      </w:pPr>
    </w:p>
    <w:p w14:paraId="3A97B5F0">
      <w:pPr>
        <w:spacing w:line="500" w:lineRule="exact"/>
        <w:jc w:val="center"/>
        <w:rPr>
          <w:rFonts w:hint="eastAsia" w:ascii="宋体" w:hAnsi="宋体" w:eastAsia="宋体" w:cs="宋体"/>
          <w:b/>
          <w:color w:val="auto"/>
          <w:sz w:val="44"/>
          <w:highlight w:val="none"/>
        </w:rPr>
      </w:pPr>
      <w:r>
        <w:rPr>
          <w:rFonts w:hint="eastAsia" w:ascii="宋体" w:hAnsi="宋体" w:eastAsia="宋体" w:cs="宋体"/>
          <w:b/>
          <w:color w:val="auto"/>
          <w:sz w:val="44"/>
          <w:highlight w:val="none"/>
        </w:rPr>
        <w:t>采购合同（样本）</w:t>
      </w:r>
    </w:p>
    <w:p w14:paraId="58373A88">
      <w:pPr>
        <w:snapToGrid w:val="0"/>
        <w:spacing w:line="400" w:lineRule="exact"/>
        <w:ind w:firstLine="480" w:firstLineChars="200"/>
        <w:rPr>
          <w:rFonts w:hint="eastAsia" w:ascii="宋体" w:hAnsi="宋体" w:eastAsia="宋体" w:cs="宋体"/>
          <w:color w:val="auto"/>
          <w:sz w:val="24"/>
          <w:szCs w:val="24"/>
          <w:highlight w:val="none"/>
        </w:rPr>
      </w:pPr>
    </w:p>
    <w:p w14:paraId="17CA6E2F">
      <w:pPr>
        <w:snapToGrid w:val="0"/>
        <w:spacing w:line="28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甲方（需方）：___________________________      计价单位：____________</w:t>
      </w:r>
    </w:p>
    <w:p w14:paraId="568E2DD4">
      <w:pPr>
        <w:snapToGrid w:val="0"/>
        <w:spacing w:line="28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乙方（供方）：___________________________      计量单位：_____________</w:t>
      </w:r>
    </w:p>
    <w:p w14:paraId="77F2DAA7">
      <w:pPr>
        <w:snapToGrid w:val="0"/>
        <w:spacing w:line="28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经双方协商一致，达成以下购销合同：</w:t>
      </w:r>
    </w:p>
    <w:tbl>
      <w:tblPr>
        <w:tblStyle w:val="24"/>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984"/>
        <w:gridCol w:w="589"/>
        <w:gridCol w:w="709"/>
        <w:gridCol w:w="1134"/>
        <w:gridCol w:w="1559"/>
        <w:gridCol w:w="1567"/>
        <w:gridCol w:w="15"/>
      </w:tblGrid>
      <w:tr w14:paraId="04507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vAlign w:val="center"/>
          </w:tcPr>
          <w:p w14:paraId="13F9B1F5">
            <w:pPr>
              <w:spacing w:line="280" w:lineRule="exact"/>
              <w:ind w:firstLine="442" w:firstLineChars="200"/>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项目名称</w:t>
            </w:r>
          </w:p>
        </w:tc>
        <w:tc>
          <w:tcPr>
            <w:tcW w:w="984" w:type="dxa"/>
            <w:vAlign w:val="center"/>
          </w:tcPr>
          <w:p w14:paraId="2CA9D743">
            <w:pPr>
              <w:spacing w:line="28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数量</w:t>
            </w:r>
          </w:p>
        </w:tc>
        <w:tc>
          <w:tcPr>
            <w:tcW w:w="1298" w:type="dxa"/>
            <w:gridSpan w:val="2"/>
            <w:vAlign w:val="center"/>
          </w:tcPr>
          <w:p w14:paraId="0EB46A07">
            <w:pPr>
              <w:spacing w:line="28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综合单价</w:t>
            </w:r>
          </w:p>
        </w:tc>
        <w:tc>
          <w:tcPr>
            <w:tcW w:w="1134" w:type="dxa"/>
            <w:vAlign w:val="center"/>
          </w:tcPr>
          <w:p w14:paraId="410D16F6">
            <w:pPr>
              <w:spacing w:line="28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总价</w:t>
            </w:r>
          </w:p>
        </w:tc>
        <w:tc>
          <w:tcPr>
            <w:tcW w:w="1559" w:type="dxa"/>
            <w:vAlign w:val="center"/>
          </w:tcPr>
          <w:p w14:paraId="571A525A">
            <w:pPr>
              <w:spacing w:line="280" w:lineRule="exact"/>
              <w:jc w:val="center"/>
              <w:rPr>
                <w:rFonts w:hint="eastAsia" w:ascii="宋体" w:hAnsi="宋体" w:eastAsia="宋体" w:cs="宋体"/>
                <w:b/>
                <w:bCs/>
                <w:color w:val="auto"/>
                <w:sz w:val="22"/>
                <w:szCs w:val="22"/>
                <w:highlight w:val="none"/>
              </w:rPr>
            </w:pPr>
            <w:r>
              <w:rPr>
                <w:rFonts w:hint="eastAsia" w:ascii="宋体" w:hAnsi="宋体" w:cs="宋体"/>
                <w:b/>
                <w:bCs/>
                <w:color w:val="auto"/>
                <w:sz w:val="22"/>
                <w:szCs w:val="22"/>
                <w:highlight w:val="none"/>
                <w:lang w:eastAsia="zh-CN"/>
              </w:rPr>
              <w:t>交付</w:t>
            </w:r>
            <w:r>
              <w:rPr>
                <w:rFonts w:hint="eastAsia" w:ascii="宋体" w:hAnsi="宋体" w:eastAsia="宋体" w:cs="宋体"/>
                <w:b/>
                <w:bCs/>
                <w:color w:val="auto"/>
                <w:sz w:val="22"/>
                <w:szCs w:val="22"/>
                <w:highlight w:val="none"/>
              </w:rPr>
              <w:t>时间</w:t>
            </w:r>
          </w:p>
        </w:tc>
        <w:tc>
          <w:tcPr>
            <w:tcW w:w="1567" w:type="dxa"/>
            <w:vAlign w:val="center"/>
          </w:tcPr>
          <w:p w14:paraId="7E6D83E3">
            <w:pPr>
              <w:spacing w:line="280" w:lineRule="exact"/>
              <w:jc w:val="center"/>
              <w:rPr>
                <w:rFonts w:hint="eastAsia" w:ascii="宋体" w:hAnsi="宋体" w:eastAsia="宋体" w:cs="宋体"/>
                <w:b/>
                <w:bCs/>
                <w:color w:val="auto"/>
                <w:sz w:val="22"/>
                <w:szCs w:val="22"/>
                <w:highlight w:val="none"/>
              </w:rPr>
            </w:pPr>
            <w:r>
              <w:rPr>
                <w:rFonts w:hint="eastAsia" w:ascii="宋体" w:hAnsi="宋体" w:cs="宋体"/>
                <w:b/>
                <w:bCs/>
                <w:color w:val="auto"/>
                <w:sz w:val="22"/>
                <w:szCs w:val="22"/>
                <w:highlight w:val="none"/>
                <w:lang w:eastAsia="zh-CN"/>
              </w:rPr>
              <w:t>交付</w:t>
            </w:r>
            <w:r>
              <w:rPr>
                <w:rFonts w:hint="eastAsia" w:ascii="宋体" w:hAnsi="宋体" w:eastAsia="宋体" w:cs="宋体"/>
                <w:b/>
                <w:bCs/>
                <w:color w:val="auto"/>
                <w:sz w:val="22"/>
                <w:szCs w:val="22"/>
                <w:highlight w:val="none"/>
              </w:rPr>
              <w:t>地点</w:t>
            </w:r>
          </w:p>
        </w:tc>
      </w:tr>
      <w:tr w14:paraId="6491C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vAlign w:val="center"/>
          </w:tcPr>
          <w:p w14:paraId="634803C5">
            <w:pPr>
              <w:spacing w:line="280" w:lineRule="exact"/>
              <w:ind w:firstLine="440" w:firstLineChars="200"/>
              <w:jc w:val="center"/>
              <w:rPr>
                <w:rFonts w:hint="eastAsia" w:ascii="宋体" w:hAnsi="宋体" w:eastAsia="宋体" w:cs="宋体"/>
                <w:color w:val="auto"/>
                <w:sz w:val="22"/>
                <w:szCs w:val="22"/>
                <w:highlight w:val="none"/>
              </w:rPr>
            </w:pPr>
          </w:p>
        </w:tc>
        <w:tc>
          <w:tcPr>
            <w:tcW w:w="984" w:type="dxa"/>
            <w:vAlign w:val="center"/>
          </w:tcPr>
          <w:p w14:paraId="0FBC8FB0">
            <w:pPr>
              <w:spacing w:line="280" w:lineRule="exact"/>
              <w:ind w:firstLine="440" w:firstLineChars="200"/>
              <w:jc w:val="center"/>
              <w:rPr>
                <w:rFonts w:hint="eastAsia" w:ascii="宋体" w:hAnsi="宋体" w:eastAsia="宋体" w:cs="宋体"/>
                <w:color w:val="auto"/>
                <w:sz w:val="22"/>
                <w:szCs w:val="22"/>
                <w:highlight w:val="none"/>
              </w:rPr>
            </w:pPr>
          </w:p>
        </w:tc>
        <w:tc>
          <w:tcPr>
            <w:tcW w:w="1298" w:type="dxa"/>
            <w:gridSpan w:val="2"/>
            <w:vAlign w:val="center"/>
          </w:tcPr>
          <w:p w14:paraId="77446A8B">
            <w:pPr>
              <w:spacing w:line="280" w:lineRule="exact"/>
              <w:ind w:firstLine="440" w:firstLineChars="200"/>
              <w:jc w:val="center"/>
              <w:rPr>
                <w:rFonts w:hint="eastAsia" w:ascii="宋体" w:hAnsi="宋体" w:eastAsia="宋体" w:cs="宋体"/>
                <w:color w:val="auto"/>
                <w:sz w:val="22"/>
                <w:szCs w:val="22"/>
                <w:highlight w:val="none"/>
              </w:rPr>
            </w:pPr>
          </w:p>
        </w:tc>
        <w:tc>
          <w:tcPr>
            <w:tcW w:w="1134" w:type="dxa"/>
            <w:vAlign w:val="center"/>
          </w:tcPr>
          <w:p w14:paraId="58A4928F">
            <w:pPr>
              <w:spacing w:line="280" w:lineRule="exact"/>
              <w:ind w:firstLine="440" w:firstLineChars="200"/>
              <w:jc w:val="center"/>
              <w:rPr>
                <w:rFonts w:hint="eastAsia" w:ascii="宋体" w:hAnsi="宋体" w:eastAsia="宋体" w:cs="宋体"/>
                <w:color w:val="auto"/>
                <w:sz w:val="22"/>
                <w:szCs w:val="22"/>
                <w:highlight w:val="none"/>
              </w:rPr>
            </w:pPr>
          </w:p>
        </w:tc>
        <w:tc>
          <w:tcPr>
            <w:tcW w:w="1559" w:type="dxa"/>
            <w:vAlign w:val="center"/>
          </w:tcPr>
          <w:p w14:paraId="30939A2F">
            <w:pPr>
              <w:spacing w:line="280" w:lineRule="exact"/>
              <w:ind w:firstLine="440" w:firstLineChars="200"/>
              <w:jc w:val="center"/>
              <w:rPr>
                <w:rFonts w:hint="eastAsia" w:ascii="宋体" w:hAnsi="宋体" w:eastAsia="宋体" w:cs="宋体"/>
                <w:color w:val="auto"/>
                <w:sz w:val="22"/>
                <w:szCs w:val="22"/>
                <w:highlight w:val="none"/>
              </w:rPr>
            </w:pPr>
          </w:p>
        </w:tc>
        <w:tc>
          <w:tcPr>
            <w:tcW w:w="1567" w:type="dxa"/>
            <w:vAlign w:val="center"/>
          </w:tcPr>
          <w:p w14:paraId="5FAB6B81">
            <w:pPr>
              <w:spacing w:line="280" w:lineRule="exact"/>
              <w:ind w:firstLine="440" w:firstLineChars="200"/>
              <w:jc w:val="center"/>
              <w:rPr>
                <w:rFonts w:hint="eastAsia" w:ascii="宋体" w:hAnsi="宋体" w:eastAsia="宋体" w:cs="宋体"/>
                <w:color w:val="auto"/>
                <w:sz w:val="22"/>
                <w:szCs w:val="22"/>
                <w:highlight w:val="none"/>
              </w:rPr>
            </w:pPr>
          </w:p>
        </w:tc>
      </w:tr>
      <w:tr w14:paraId="44C67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vAlign w:val="center"/>
          </w:tcPr>
          <w:p w14:paraId="7DD5E54F">
            <w:pPr>
              <w:spacing w:line="280" w:lineRule="exact"/>
              <w:ind w:firstLine="440" w:firstLineChars="200"/>
              <w:jc w:val="center"/>
              <w:rPr>
                <w:rFonts w:hint="eastAsia" w:ascii="宋体" w:hAnsi="宋体" w:eastAsia="宋体" w:cs="宋体"/>
                <w:color w:val="auto"/>
                <w:sz w:val="22"/>
                <w:szCs w:val="22"/>
                <w:highlight w:val="none"/>
              </w:rPr>
            </w:pPr>
          </w:p>
        </w:tc>
        <w:tc>
          <w:tcPr>
            <w:tcW w:w="984" w:type="dxa"/>
            <w:vAlign w:val="center"/>
          </w:tcPr>
          <w:p w14:paraId="006C3D2A">
            <w:pPr>
              <w:spacing w:line="280" w:lineRule="exact"/>
              <w:ind w:firstLine="440" w:firstLineChars="200"/>
              <w:jc w:val="center"/>
              <w:rPr>
                <w:rFonts w:hint="eastAsia" w:ascii="宋体" w:hAnsi="宋体" w:eastAsia="宋体" w:cs="宋体"/>
                <w:color w:val="auto"/>
                <w:sz w:val="22"/>
                <w:szCs w:val="22"/>
                <w:highlight w:val="none"/>
              </w:rPr>
            </w:pPr>
          </w:p>
        </w:tc>
        <w:tc>
          <w:tcPr>
            <w:tcW w:w="1298" w:type="dxa"/>
            <w:gridSpan w:val="2"/>
            <w:vAlign w:val="center"/>
          </w:tcPr>
          <w:p w14:paraId="34BBC7BB">
            <w:pPr>
              <w:spacing w:line="280" w:lineRule="exact"/>
              <w:ind w:firstLine="440" w:firstLineChars="200"/>
              <w:jc w:val="center"/>
              <w:rPr>
                <w:rFonts w:hint="eastAsia" w:ascii="宋体" w:hAnsi="宋体" w:eastAsia="宋体" w:cs="宋体"/>
                <w:color w:val="auto"/>
                <w:sz w:val="22"/>
                <w:szCs w:val="22"/>
                <w:highlight w:val="none"/>
              </w:rPr>
            </w:pPr>
          </w:p>
        </w:tc>
        <w:tc>
          <w:tcPr>
            <w:tcW w:w="1134" w:type="dxa"/>
            <w:vAlign w:val="center"/>
          </w:tcPr>
          <w:p w14:paraId="7E1E0EBE">
            <w:pPr>
              <w:spacing w:line="280" w:lineRule="exact"/>
              <w:ind w:firstLine="440" w:firstLineChars="200"/>
              <w:jc w:val="center"/>
              <w:rPr>
                <w:rFonts w:hint="eastAsia" w:ascii="宋体" w:hAnsi="宋体" w:eastAsia="宋体" w:cs="宋体"/>
                <w:color w:val="auto"/>
                <w:sz w:val="22"/>
                <w:szCs w:val="22"/>
                <w:highlight w:val="none"/>
              </w:rPr>
            </w:pPr>
          </w:p>
        </w:tc>
        <w:tc>
          <w:tcPr>
            <w:tcW w:w="1559" w:type="dxa"/>
            <w:vAlign w:val="center"/>
          </w:tcPr>
          <w:p w14:paraId="19B3B725">
            <w:pPr>
              <w:spacing w:line="280" w:lineRule="exact"/>
              <w:ind w:firstLine="440" w:firstLineChars="200"/>
              <w:jc w:val="center"/>
              <w:rPr>
                <w:rFonts w:hint="eastAsia" w:ascii="宋体" w:hAnsi="宋体" w:eastAsia="宋体" w:cs="宋体"/>
                <w:color w:val="auto"/>
                <w:sz w:val="22"/>
                <w:szCs w:val="22"/>
                <w:highlight w:val="none"/>
              </w:rPr>
            </w:pPr>
          </w:p>
        </w:tc>
        <w:tc>
          <w:tcPr>
            <w:tcW w:w="1567" w:type="dxa"/>
            <w:vAlign w:val="center"/>
          </w:tcPr>
          <w:p w14:paraId="4A8D10D3">
            <w:pPr>
              <w:spacing w:line="280" w:lineRule="exact"/>
              <w:ind w:firstLine="440" w:firstLineChars="200"/>
              <w:jc w:val="center"/>
              <w:rPr>
                <w:rFonts w:hint="eastAsia" w:ascii="宋体" w:hAnsi="宋体" w:eastAsia="宋体" w:cs="宋体"/>
                <w:color w:val="auto"/>
                <w:sz w:val="22"/>
                <w:szCs w:val="22"/>
                <w:highlight w:val="none"/>
              </w:rPr>
            </w:pPr>
          </w:p>
        </w:tc>
      </w:tr>
      <w:tr w14:paraId="2B43A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9613" w:type="dxa"/>
            <w:gridSpan w:val="7"/>
            <w:vAlign w:val="center"/>
          </w:tcPr>
          <w:p w14:paraId="5A2B3D23">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合计人民币（小写）：</w:t>
            </w:r>
          </w:p>
        </w:tc>
      </w:tr>
      <w:tr w14:paraId="54983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9613" w:type="dxa"/>
            <w:gridSpan w:val="7"/>
            <w:vAlign w:val="center"/>
          </w:tcPr>
          <w:p w14:paraId="1EDBE616">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合计人民币（大写）：</w:t>
            </w:r>
          </w:p>
        </w:tc>
      </w:tr>
      <w:tr w14:paraId="1938B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776" w:hRule="atLeast"/>
        </w:trPr>
        <w:tc>
          <w:tcPr>
            <w:tcW w:w="9613" w:type="dxa"/>
            <w:gridSpan w:val="7"/>
          </w:tcPr>
          <w:p w14:paraId="29624F2F">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一、</w:t>
            </w:r>
            <w:r>
              <w:rPr>
                <w:rFonts w:hint="eastAsia" w:ascii="宋体" w:hAnsi="宋体" w:cs="宋体"/>
                <w:color w:val="auto"/>
                <w:sz w:val="22"/>
                <w:szCs w:val="22"/>
                <w:highlight w:val="none"/>
                <w:lang w:eastAsia="zh-CN"/>
              </w:rPr>
              <w:t>供货</w:t>
            </w:r>
            <w:r>
              <w:rPr>
                <w:rFonts w:hint="eastAsia" w:ascii="宋体" w:hAnsi="宋体" w:eastAsia="宋体" w:cs="宋体"/>
                <w:color w:val="auto"/>
                <w:sz w:val="22"/>
                <w:szCs w:val="22"/>
                <w:highlight w:val="none"/>
              </w:rPr>
              <w:t>要求</w:t>
            </w:r>
          </w:p>
        </w:tc>
      </w:tr>
      <w:tr w14:paraId="2B25C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9628" w:type="dxa"/>
            <w:gridSpan w:val="8"/>
          </w:tcPr>
          <w:p w14:paraId="1FBE9F44">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二、验收方式</w:t>
            </w:r>
          </w:p>
        </w:tc>
      </w:tr>
      <w:tr w14:paraId="3EA6B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9628" w:type="dxa"/>
            <w:gridSpan w:val="8"/>
          </w:tcPr>
          <w:p w14:paraId="0F9FD4FA">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三、付款方式：</w:t>
            </w:r>
          </w:p>
          <w:p w14:paraId="26EAAE49">
            <w:pPr>
              <w:pStyle w:val="12"/>
              <w:spacing w:line="280" w:lineRule="exact"/>
              <w:ind w:firstLine="440" w:firstLineChars="200"/>
              <w:rPr>
                <w:rFonts w:hint="eastAsia" w:ascii="宋体" w:hAnsi="宋体" w:eastAsia="宋体" w:cs="宋体"/>
                <w:color w:val="auto"/>
                <w:sz w:val="22"/>
                <w:szCs w:val="22"/>
                <w:highlight w:val="none"/>
              </w:rPr>
            </w:pPr>
          </w:p>
        </w:tc>
      </w:tr>
      <w:tr w14:paraId="6670B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tcPr>
          <w:p w14:paraId="64659DF3">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四、违约责任：</w:t>
            </w:r>
          </w:p>
          <w:p w14:paraId="7CDB2687">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按《中华人民共和国民法典》、《政府采购法》执行，或按双方约定。</w:t>
            </w:r>
          </w:p>
        </w:tc>
      </w:tr>
      <w:tr w14:paraId="4CEB0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tcPr>
          <w:p w14:paraId="72FA3405">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五、其他约定事项：</w:t>
            </w:r>
          </w:p>
          <w:p w14:paraId="487B5F25">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1.采购文件及其补遗文件、响应文件和承诺是本合同不可分割的部分。</w:t>
            </w:r>
          </w:p>
          <w:p w14:paraId="5BC4F660">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2.本合同如发生争议由双方协商解决，协商不成向需方所在人民法院提请诉讼。</w:t>
            </w:r>
          </w:p>
          <w:p w14:paraId="15F42092">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3.本合同一式__份，需方__份，供方__份，具同等法律效力。</w:t>
            </w:r>
          </w:p>
          <w:p w14:paraId="314ED978">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4.其他：</w:t>
            </w:r>
          </w:p>
        </w:tc>
      </w:tr>
      <w:tr w14:paraId="5379F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gridSpan w:val="3"/>
          </w:tcPr>
          <w:p w14:paraId="17ED2260">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需方：</w:t>
            </w:r>
          </w:p>
          <w:p w14:paraId="597FF336">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地址：</w:t>
            </w:r>
          </w:p>
          <w:p w14:paraId="2A886B38">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联系电话：</w:t>
            </w:r>
          </w:p>
          <w:p w14:paraId="603D2827">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授权代表：</w:t>
            </w:r>
          </w:p>
        </w:tc>
        <w:tc>
          <w:tcPr>
            <w:tcW w:w="4984" w:type="dxa"/>
            <w:gridSpan w:val="5"/>
          </w:tcPr>
          <w:p w14:paraId="7C48AD4B">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供方：</w:t>
            </w:r>
          </w:p>
          <w:p w14:paraId="7E0EFEE5">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地址：</w:t>
            </w:r>
          </w:p>
          <w:p w14:paraId="3A3A7A73">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电话：</w:t>
            </w:r>
          </w:p>
          <w:p w14:paraId="319E58E8">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传真：</w:t>
            </w:r>
          </w:p>
          <w:p w14:paraId="569C1C59">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开户银行：</w:t>
            </w:r>
          </w:p>
          <w:p w14:paraId="56D3BAFF">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账号：</w:t>
            </w:r>
          </w:p>
          <w:p w14:paraId="73A70208">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授权代表：</w:t>
            </w:r>
          </w:p>
          <w:p w14:paraId="0C4B7938">
            <w:pPr>
              <w:widowControl/>
              <w:spacing w:line="280" w:lineRule="exact"/>
              <w:ind w:firstLine="440" w:firstLineChars="20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（本栏请用计算机打印以便于准确付款）</w:t>
            </w:r>
          </w:p>
        </w:tc>
      </w:tr>
      <w:tr w14:paraId="59476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9628" w:type="dxa"/>
            <w:gridSpan w:val="8"/>
          </w:tcPr>
          <w:p w14:paraId="2AB1440F">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备注：</w:t>
            </w:r>
          </w:p>
          <w:p w14:paraId="188BA9B9">
            <w:pPr>
              <w:spacing w:line="280" w:lineRule="exact"/>
              <w:ind w:firstLine="440" w:firstLineChars="200"/>
              <w:rPr>
                <w:rFonts w:hint="eastAsia" w:ascii="宋体" w:hAnsi="宋体" w:eastAsia="宋体" w:cs="宋体"/>
                <w:color w:val="auto"/>
                <w:sz w:val="22"/>
                <w:szCs w:val="22"/>
                <w:highlight w:val="none"/>
              </w:rPr>
            </w:pPr>
          </w:p>
          <w:p w14:paraId="15039FA0">
            <w:pPr>
              <w:spacing w:line="280" w:lineRule="exact"/>
              <w:ind w:firstLine="440" w:firstLineChars="200"/>
              <w:rPr>
                <w:rFonts w:hint="eastAsia" w:ascii="宋体" w:hAnsi="宋体" w:eastAsia="宋体" w:cs="宋体"/>
                <w:color w:val="auto"/>
                <w:sz w:val="22"/>
                <w:szCs w:val="22"/>
                <w:highlight w:val="none"/>
              </w:rPr>
            </w:pPr>
          </w:p>
        </w:tc>
      </w:tr>
    </w:tbl>
    <w:p w14:paraId="7BDF6502">
      <w:pPr>
        <w:snapToGrid w:val="0"/>
        <w:spacing w:line="40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签约时间：  年   月   日                        签约地点：</w:t>
      </w:r>
    </w:p>
    <w:p w14:paraId="225AE2DD">
      <w:pPr>
        <w:tabs>
          <w:tab w:val="left" w:pos="9000"/>
        </w:tabs>
        <w:spacing w:line="276" w:lineRule="auto"/>
        <w:jc w:val="center"/>
        <w:rPr>
          <w:rFonts w:hint="eastAsia" w:ascii="宋体" w:hAnsi="宋体" w:eastAsia="宋体" w:cs="宋体"/>
          <w:color w:val="auto"/>
          <w:sz w:val="21"/>
          <w:szCs w:val="21"/>
          <w:highlight w:val="none"/>
        </w:rPr>
        <w:sectPr>
          <w:footerReference r:id="rId7" w:type="default"/>
          <w:footerReference r:id="rId8" w:type="even"/>
          <w:pgSz w:w="11907" w:h="16840"/>
          <w:pgMar w:top="1134" w:right="1191" w:bottom="1134" w:left="1304" w:header="964" w:footer="992" w:gutter="0"/>
          <w:pgBorders>
            <w:top w:val="none" w:sz="0" w:space="0"/>
            <w:left w:val="none" w:sz="0" w:space="0"/>
            <w:bottom w:val="none" w:sz="0" w:space="0"/>
            <w:right w:val="none" w:sz="0" w:space="0"/>
          </w:pgBorders>
          <w:pgNumType w:fmt="numberInDash"/>
          <w:cols w:space="720" w:num="1"/>
          <w:docGrid w:linePitch="312" w:charSpace="0"/>
        </w:sectPr>
      </w:pPr>
    </w:p>
    <w:p w14:paraId="7D0F8EBC">
      <w:pPr>
        <w:pStyle w:val="4"/>
        <w:spacing w:before="0" w:after="0" w:line="360" w:lineRule="auto"/>
        <w:jc w:val="center"/>
        <w:rPr>
          <w:rFonts w:hint="eastAsia" w:ascii="宋体" w:hAnsi="宋体" w:eastAsia="宋体" w:cs="宋体"/>
          <w:b w:val="0"/>
          <w:color w:val="auto"/>
          <w:sz w:val="36"/>
          <w:szCs w:val="30"/>
          <w:highlight w:val="none"/>
        </w:rPr>
      </w:pPr>
      <w:bookmarkStart w:id="135" w:name="_Hlt41879464"/>
      <w:bookmarkEnd w:id="135"/>
      <w:bookmarkStart w:id="136" w:name="_Toc24744"/>
      <w:bookmarkStart w:id="137" w:name="_Toc12789072"/>
      <w:r>
        <w:rPr>
          <w:rFonts w:hint="eastAsia" w:ascii="宋体" w:hAnsi="宋体" w:eastAsia="宋体" w:cs="宋体"/>
          <w:b w:val="0"/>
          <w:color w:val="auto"/>
          <w:sz w:val="36"/>
          <w:szCs w:val="30"/>
          <w:highlight w:val="none"/>
        </w:rPr>
        <w:t>第</w:t>
      </w:r>
      <w:r>
        <w:rPr>
          <w:rFonts w:hint="eastAsia" w:ascii="宋体" w:hAnsi="宋体" w:eastAsia="宋体" w:cs="宋体"/>
          <w:b w:val="0"/>
          <w:color w:val="auto"/>
          <w:sz w:val="36"/>
          <w:szCs w:val="30"/>
          <w:highlight w:val="none"/>
          <w:lang w:eastAsia="zh-CN"/>
        </w:rPr>
        <w:t>七</w:t>
      </w:r>
      <w:r>
        <w:rPr>
          <w:rFonts w:hint="eastAsia" w:ascii="宋体" w:hAnsi="宋体" w:eastAsia="宋体" w:cs="宋体"/>
          <w:b w:val="0"/>
          <w:color w:val="auto"/>
          <w:sz w:val="36"/>
          <w:szCs w:val="30"/>
          <w:highlight w:val="none"/>
        </w:rPr>
        <w:t>篇  响应文件格式要求</w:t>
      </w:r>
      <w:bookmarkEnd w:id="136"/>
      <w:bookmarkEnd w:id="137"/>
    </w:p>
    <w:p w14:paraId="50932232">
      <w:pPr>
        <w:pStyle w:val="13"/>
        <w:spacing w:line="40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一、经济部分</w:t>
      </w:r>
    </w:p>
    <w:p w14:paraId="05EF8D6F">
      <w:pPr>
        <w:pStyle w:val="13"/>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（一）报价函</w:t>
      </w:r>
    </w:p>
    <w:p w14:paraId="4287EAB7">
      <w:pPr>
        <w:pStyle w:val="13"/>
        <w:spacing w:line="4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（二）明细报价表</w:t>
      </w:r>
    </w:p>
    <w:p w14:paraId="111DE340">
      <w:pPr>
        <w:pStyle w:val="13"/>
        <w:spacing w:line="40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二、</w:t>
      </w:r>
      <w:r>
        <w:rPr>
          <w:rFonts w:hint="eastAsia" w:ascii="宋体" w:hAnsi="宋体" w:cs="宋体"/>
          <w:b/>
          <w:color w:val="auto"/>
          <w:sz w:val="24"/>
          <w:szCs w:val="24"/>
          <w:highlight w:val="none"/>
          <w:lang w:eastAsia="zh-CN"/>
        </w:rPr>
        <w:t>技术</w:t>
      </w:r>
      <w:r>
        <w:rPr>
          <w:rFonts w:hint="eastAsia" w:ascii="宋体" w:hAnsi="宋体" w:eastAsia="宋体" w:cs="宋体"/>
          <w:b/>
          <w:color w:val="auto"/>
          <w:sz w:val="24"/>
          <w:szCs w:val="24"/>
          <w:highlight w:val="none"/>
        </w:rPr>
        <w:t>部分</w:t>
      </w:r>
    </w:p>
    <w:p w14:paraId="7FB6203A">
      <w:pPr>
        <w:pStyle w:val="13"/>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（一）</w:t>
      </w:r>
      <w:r>
        <w:rPr>
          <w:rFonts w:hint="eastAsia" w:ascii="宋体" w:hAnsi="宋体" w:cs="宋体"/>
          <w:color w:val="auto"/>
          <w:sz w:val="24"/>
          <w:szCs w:val="24"/>
          <w:highlight w:val="none"/>
          <w:lang w:eastAsia="zh-CN"/>
        </w:rPr>
        <w:t>技术</w:t>
      </w:r>
      <w:r>
        <w:rPr>
          <w:rFonts w:hint="eastAsia" w:ascii="宋体" w:hAnsi="宋体" w:eastAsia="宋体" w:cs="宋体"/>
          <w:color w:val="auto"/>
          <w:sz w:val="24"/>
          <w:szCs w:val="24"/>
          <w:highlight w:val="none"/>
        </w:rPr>
        <w:t>响应偏离表</w:t>
      </w:r>
    </w:p>
    <w:p w14:paraId="3530E581">
      <w:pPr>
        <w:pStyle w:val="13"/>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（二）其他</w:t>
      </w:r>
      <w:r>
        <w:rPr>
          <w:rFonts w:hint="eastAsia" w:ascii="宋体" w:hAnsi="宋体" w:cs="宋体"/>
          <w:color w:val="auto"/>
          <w:sz w:val="24"/>
          <w:szCs w:val="24"/>
          <w:highlight w:val="none"/>
          <w:lang w:val="en-US" w:eastAsia="zh-CN"/>
        </w:rPr>
        <w:t>项目</w:t>
      </w:r>
      <w:r>
        <w:rPr>
          <w:rFonts w:hint="eastAsia" w:ascii="宋体" w:hAnsi="宋体" w:eastAsia="宋体" w:cs="宋体"/>
          <w:color w:val="auto"/>
          <w:sz w:val="24"/>
          <w:szCs w:val="24"/>
          <w:highlight w:val="none"/>
          <w:lang w:val="en-US" w:eastAsia="zh-CN"/>
        </w:rPr>
        <w:t>资料</w:t>
      </w:r>
    </w:p>
    <w:p w14:paraId="6AC55D71">
      <w:pPr>
        <w:pStyle w:val="13"/>
        <w:spacing w:line="40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三、商务部分</w:t>
      </w:r>
    </w:p>
    <w:p w14:paraId="569A31D8">
      <w:pPr>
        <w:pStyle w:val="13"/>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（一）商务响应偏离表</w:t>
      </w:r>
    </w:p>
    <w:p w14:paraId="0FACC853">
      <w:pPr>
        <w:pStyle w:val="13"/>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（二）其它商务资料</w:t>
      </w:r>
    </w:p>
    <w:p w14:paraId="36282CAC">
      <w:pPr>
        <w:pStyle w:val="13"/>
        <w:spacing w:line="40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四、资格条件及其他</w:t>
      </w:r>
    </w:p>
    <w:p w14:paraId="3F25ABE4">
      <w:pPr>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（一）法人营业执照（副本）或事业单位法人证书（副本）或个体工商户营业执照或有效的自然人身份证明或社会团体法人登记证书复印件</w:t>
      </w:r>
    </w:p>
    <w:p w14:paraId="27EA9CAC">
      <w:pPr>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（二）法定代表人身份证明书（格式）</w:t>
      </w:r>
    </w:p>
    <w:p w14:paraId="4CD6E0FC">
      <w:pPr>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（三）法定代表人授权委托书（格式）</w:t>
      </w:r>
    </w:p>
    <w:p w14:paraId="2FA1CADD">
      <w:pPr>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（四）基本资格条件承诺函（格式）</w:t>
      </w:r>
    </w:p>
    <w:p w14:paraId="17C8F188">
      <w:pPr>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（五）特定资格条件证书或证明文件（如有）</w:t>
      </w:r>
    </w:p>
    <w:p w14:paraId="21CAEBA2">
      <w:pPr>
        <w:pStyle w:val="13"/>
        <w:spacing w:line="40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五、其他资料</w:t>
      </w:r>
    </w:p>
    <w:p w14:paraId="3763C4FF">
      <w:pPr>
        <w:pStyle w:val="13"/>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（一）中小企业声明函、监狱企业证明文件、残疾人福利性单位声明函</w:t>
      </w:r>
    </w:p>
    <w:p w14:paraId="3E7BDF95">
      <w:pPr>
        <w:pStyle w:val="13"/>
        <w:spacing w:line="400" w:lineRule="exact"/>
        <w:ind w:firstLine="480" w:firstLineChars="200"/>
        <w:rPr>
          <w:rFonts w:hint="eastAsia" w:ascii="宋体" w:hAnsi="宋体" w:eastAsia="宋体" w:cs="宋体"/>
          <w:color w:val="auto"/>
          <w:sz w:val="24"/>
          <w:szCs w:val="24"/>
          <w:highlight w:val="none"/>
        </w:rPr>
        <w:sectPr>
          <w:pgSz w:w="11907" w:h="16840"/>
          <w:pgMar w:top="1134" w:right="1191" w:bottom="1134" w:left="1304" w:header="851" w:footer="992" w:gutter="0"/>
          <w:pgBorders>
            <w:top w:val="none" w:sz="0" w:space="0"/>
            <w:left w:val="none" w:sz="0" w:space="0"/>
            <w:bottom w:val="none" w:sz="0" w:space="0"/>
            <w:right w:val="none" w:sz="0" w:space="0"/>
          </w:pgBorders>
          <w:pgNumType w:fmt="numberInDash"/>
          <w:cols w:space="720" w:num="1"/>
          <w:docGrid w:linePitch="380" w:charSpace="-5735"/>
        </w:sectPr>
      </w:pPr>
      <w:r>
        <w:rPr>
          <w:rFonts w:hint="eastAsia" w:ascii="宋体" w:hAnsi="宋体" w:cs="宋体"/>
          <w:color w:val="auto"/>
          <w:sz w:val="24"/>
          <w:szCs w:val="24"/>
          <w:highlight w:val="none"/>
          <w:lang w:eastAsia="zh-CN"/>
        </w:rPr>
        <w:t>（二）</w:t>
      </w:r>
      <w:r>
        <w:rPr>
          <w:rFonts w:hint="eastAsia" w:ascii="宋体" w:hAnsi="宋体" w:eastAsia="宋体" w:cs="宋体"/>
          <w:color w:val="auto"/>
          <w:sz w:val="24"/>
          <w:szCs w:val="24"/>
          <w:highlight w:val="none"/>
        </w:rPr>
        <w:t>其他与项目有关的资料（</w:t>
      </w:r>
      <w:r>
        <w:rPr>
          <w:rFonts w:hint="eastAsia" w:ascii="宋体" w:hAnsi="宋体" w:cs="宋体"/>
          <w:color w:val="auto"/>
          <w:sz w:val="24"/>
          <w:szCs w:val="24"/>
          <w:highlight w:val="none"/>
          <w:lang w:eastAsia="zh-CN"/>
        </w:rPr>
        <w:t>如有</w:t>
      </w:r>
      <w:r>
        <w:rPr>
          <w:rFonts w:hint="eastAsia" w:ascii="宋体" w:hAnsi="宋体" w:eastAsia="宋体" w:cs="宋体"/>
          <w:color w:val="auto"/>
          <w:sz w:val="24"/>
          <w:szCs w:val="24"/>
          <w:highlight w:val="none"/>
        </w:rPr>
        <w:t>）</w:t>
      </w:r>
    </w:p>
    <w:p w14:paraId="70857A50">
      <w:pPr>
        <w:pStyle w:val="2"/>
        <w:adjustRightInd w:val="0"/>
        <w:snapToGrid w:val="0"/>
        <w:spacing w:before="0" w:after="0" w:line="400" w:lineRule="exact"/>
        <w:ind w:firstLine="643" w:firstLineChars="200"/>
        <w:rPr>
          <w:rFonts w:hint="eastAsia" w:ascii="宋体" w:hAnsi="宋体" w:eastAsia="宋体" w:cs="宋体"/>
          <w:color w:val="auto"/>
          <w:highlight w:val="none"/>
        </w:rPr>
      </w:pPr>
      <w:bookmarkStart w:id="138" w:name="_Toc342913419"/>
      <w:bookmarkStart w:id="139" w:name="_Toc24835"/>
      <w:bookmarkStart w:id="140" w:name="_Toc313888360"/>
      <w:bookmarkStart w:id="141" w:name="_Toc313008356"/>
      <w:bookmarkStart w:id="142" w:name="_Toc283382454"/>
      <w:bookmarkStart w:id="143" w:name="_Toc12789073"/>
      <w:r>
        <w:rPr>
          <w:rFonts w:hint="eastAsia" w:ascii="宋体" w:hAnsi="宋体" w:eastAsia="宋体" w:cs="宋体"/>
          <w:color w:val="auto"/>
          <w:highlight w:val="none"/>
        </w:rPr>
        <w:t>一、经济部分</w:t>
      </w:r>
      <w:bookmarkEnd w:id="138"/>
      <w:bookmarkEnd w:id="139"/>
      <w:bookmarkEnd w:id="140"/>
      <w:bookmarkEnd w:id="141"/>
    </w:p>
    <w:bookmarkEnd w:id="142"/>
    <w:bookmarkEnd w:id="143"/>
    <w:p w14:paraId="609281FC">
      <w:pPr>
        <w:tabs>
          <w:tab w:val="left" w:pos="6300"/>
        </w:tabs>
        <w:snapToGrid w:val="0"/>
        <w:spacing w:line="5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采购报价函</w:t>
      </w:r>
    </w:p>
    <w:p w14:paraId="1DEA59FD">
      <w:pPr>
        <w:tabs>
          <w:tab w:val="left" w:pos="6300"/>
        </w:tabs>
        <w:snapToGrid w:val="0"/>
        <w:spacing w:line="540" w:lineRule="exact"/>
        <w:jc w:val="center"/>
        <w:rPr>
          <w:rFonts w:hint="eastAsia" w:ascii="宋体" w:hAnsi="宋体" w:eastAsia="宋体" w:cs="宋体"/>
          <w:b/>
          <w:color w:val="auto"/>
          <w:sz w:val="36"/>
          <w:szCs w:val="36"/>
          <w:highlight w:val="none"/>
        </w:rPr>
      </w:pPr>
      <w:r>
        <w:rPr>
          <w:rFonts w:hint="eastAsia" w:ascii="宋体" w:hAnsi="宋体" w:cs="宋体"/>
          <w:b/>
          <w:color w:val="auto"/>
          <w:sz w:val="36"/>
          <w:szCs w:val="36"/>
          <w:highlight w:val="none"/>
          <w:lang w:eastAsia="zh-CN"/>
        </w:rPr>
        <w:t>询比</w:t>
      </w:r>
      <w:r>
        <w:rPr>
          <w:rFonts w:hint="eastAsia" w:ascii="宋体" w:hAnsi="宋体" w:eastAsia="宋体" w:cs="宋体"/>
          <w:b/>
          <w:color w:val="auto"/>
          <w:sz w:val="36"/>
          <w:szCs w:val="36"/>
          <w:highlight w:val="none"/>
        </w:rPr>
        <w:t>采购报价函</w:t>
      </w:r>
    </w:p>
    <w:p w14:paraId="416A8D49">
      <w:pPr>
        <w:keepNext w:val="0"/>
        <w:keepLines w:val="0"/>
        <w:pageBreakBefore w:val="0"/>
        <w:widowControl w:val="0"/>
        <w:tabs>
          <w:tab w:val="left" w:pos="6300"/>
        </w:tabs>
        <w:kinsoku/>
        <w:wordWrap/>
        <w:overflowPunct/>
        <w:topLinePunct w:val="0"/>
        <w:autoSpaceDE/>
        <w:autoSpaceDN/>
        <w:bidi w:val="0"/>
        <w:adjustRightInd/>
        <w:snapToGrid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（采购人名称）</w:t>
      </w:r>
      <w:r>
        <w:rPr>
          <w:rFonts w:hint="eastAsia" w:ascii="宋体" w:hAnsi="宋体" w:eastAsia="宋体" w:cs="宋体"/>
          <w:color w:val="auto"/>
          <w:sz w:val="24"/>
          <w:szCs w:val="24"/>
          <w:highlight w:val="none"/>
        </w:rPr>
        <w:t>：</w:t>
      </w:r>
    </w:p>
    <w:p w14:paraId="44D9A8E0">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我方收到___________________________（项目名称）的</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采购文件，经详细研究，决定参加该项目的</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采购。</w:t>
      </w:r>
    </w:p>
    <w:p w14:paraId="564149D3">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1、愿意按照</w:t>
      </w: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rPr>
        <w:t>中的一切要求，提供本项目的</w:t>
      </w:r>
      <w:r>
        <w:rPr>
          <w:rFonts w:hint="eastAsia" w:ascii="宋体" w:hAnsi="宋体" w:cs="宋体"/>
          <w:color w:val="auto"/>
          <w:sz w:val="24"/>
          <w:szCs w:val="24"/>
          <w:highlight w:val="none"/>
          <w:lang w:eastAsia="zh-CN"/>
        </w:rPr>
        <w:t>技术</w:t>
      </w:r>
      <w:r>
        <w:rPr>
          <w:rFonts w:hint="eastAsia" w:ascii="宋体" w:hAnsi="宋体" w:eastAsia="宋体" w:cs="宋体"/>
          <w:color w:val="auto"/>
          <w:sz w:val="24"/>
          <w:szCs w:val="24"/>
          <w:highlight w:val="none"/>
        </w:rPr>
        <w:t>要求，</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总报价为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元</w:t>
      </w:r>
      <w:r>
        <w:rPr>
          <w:rFonts w:hint="eastAsia" w:ascii="宋体" w:hAnsi="宋体" w:cs="宋体"/>
          <w:color w:val="auto"/>
          <w:sz w:val="24"/>
          <w:szCs w:val="24"/>
          <w:highlight w:val="none"/>
        </w:rPr>
        <w:t xml:space="preserve"> </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大写</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lang w:eastAsia="zh-CN"/>
        </w:rPr>
        <w:t>元整</w:t>
      </w:r>
      <w:r>
        <w:rPr>
          <w:rFonts w:hint="eastAsia" w:ascii="宋体" w:hAnsi="宋体" w:cs="宋体"/>
          <w:color w:val="auto"/>
          <w:sz w:val="24"/>
          <w:szCs w:val="24"/>
          <w:highlight w:val="none"/>
        </w:rPr>
        <w:t>。</w:t>
      </w:r>
    </w:p>
    <w:p w14:paraId="706EB1B2">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2、我方现提交的响应文件为：响应文件</w:t>
      </w:r>
      <w:r>
        <w:rPr>
          <w:rFonts w:hint="eastAsia" w:ascii="宋体" w:hAnsi="宋体" w:cs="宋体"/>
          <w:color w:val="auto"/>
          <w:sz w:val="24"/>
          <w:szCs w:val="24"/>
          <w:highlight w:val="none"/>
          <w:u w:val="none"/>
          <w:lang w:val="en-US" w:eastAsia="zh-CN"/>
        </w:rPr>
        <w:t>正本</w:t>
      </w:r>
      <w:r>
        <w:rPr>
          <w:rFonts w:hint="eastAsia" w:ascii="宋体" w:hAnsi="宋体" w:cs="宋体"/>
          <w:color w:val="auto"/>
          <w:sz w:val="24"/>
          <w:szCs w:val="24"/>
          <w:highlight w:val="none"/>
          <w:u w:val="single"/>
          <w:lang w:val="en-US" w:eastAsia="zh-CN"/>
        </w:rPr>
        <w:t xml:space="preserve">  1 </w:t>
      </w:r>
      <w:r>
        <w:rPr>
          <w:rFonts w:hint="eastAsia" w:ascii="宋体" w:hAnsi="宋体" w:eastAsia="宋体" w:cs="宋体"/>
          <w:color w:val="auto"/>
          <w:sz w:val="24"/>
          <w:szCs w:val="24"/>
          <w:highlight w:val="none"/>
        </w:rPr>
        <w:t>份</w:t>
      </w:r>
      <w:r>
        <w:rPr>
          <w:rFonts w:hint="eastAsia" w:ascii="宋体" w:hAnsi="宋体" w:cs="宋体"/>
          <w:color w:val="auto"/>
          <w:sz w:val="24"/>
          <w:szCs w:val="24"/>
          <w:highlight w:val="none"/>
          <w:lang w:eastAsia="zh-CN"/>
        </w:rPr>
        <w:t>，副本</w:t>
      </w:r>
      <w:r>
        <w:rPr>
          <w:rFonts w:hint="eastAsia" w:ascii="宋体" w:hAnsi="宋体" w:cs="宋体"/>
          <w:color w:val="auto"/>
          <w:sz w:val="24"/>
          <w:szCs w:val="24"/>
          <w:highlight w:val="none"/>
          <w:u w:val="single"/>
          <w:lang w:val="en-US" w:eastAsia="zh-CN"/>
        </w:rPr>
        <w:t xml:space="preserve">  1 </w:t>
      </w:r>
      <w:r>
        <w:rPr>
          <w:rFonts w:hint="eastAsia" w:ascii="宋体" w:hAnsi="宋体" w:eastAsia="宋体" w:cs="宋体"/>
          <w:color w:val="auto"/>
          <w:sz w:val="24"/>
          <w:szCs w:val="24"/>
          <w:highlight w:val="none"/>
        </w:rPr>
        <w:t>份。</w:t>
      </w:r>
    </w:p>
    <w:p w14:paraId="264FBCD7">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3、我方承诺：本次</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的有效期为90天。</w:t>
      </w:r>
    </w:p>
    <w:p w14:paraId="04B54AC6">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4、我方完全理解和接受贵方</w:t>
      </w: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rPr>
        <w:t>的一切规定和要求及评审办法。</w:t>
      </w:r>
    </w:p>
    <w:p w14:paraId="547CD00C">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5、在整个</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过程中，我方若有违规行为，接受按照《中华人民共和国政府采购法》和《重庆市政府采购云平台网上</w:t>
      </w:r>
      <w:r>
        <w:rPr>
          <w:rFonts w:hint="eastAsia" w:ascii="宋体" w:hAnsi="宋体" w:cs="宋体"/>
          <w:color w:val="auto"/>
          <w:sz w:val="24"/>
          <w:szCs w:val="24"/>
          <w:highlight w:val="none"/>
          <w:lang w:eastAsia="zh-CN"/>
        </w:rPr>
        <w:t>询比文件</w:t>
      </w:r>
      <w:r>
        <w:rPr>
          <w:rFonts w:hint="eastAsia" w:ascii="宋体" w:hAnsi="宋体" w:eastAsia="宋体" w:cs="宋体"/>
          <w:color w:val="auto"/>
          <w:sz w:val="24"/>
          <w:szCs w:val="24"/>
          <w:highlight w:val="none"/>
        </w:rPr>
        <w:t>》之规定给予惩罚。</w:t>
      </w:r>
    </w:p>
    <w:p w14:paraId="64D89FA8">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6、我方若成为成交供应商，将按照最终</w:t>
      </w:r>
      <w:r>
        <w:rPr>
          <w:rFonts w:hint="eastAsia" w:ascii="宋体" w:hAnsi="宋体" w:cs="宋体"/>
          <w:color w:val="auto"/>
          <w:sz w:val="24"/>
          <w:szCs w:val="24"/>
          <w:highlight w:val="none"/>
          <w:lang w:eastAsia="zh-CN"/>
        </w:rPr>
        <w:t>询比</w:t>
      </w:r>
      <w:r>
        <w:rPr>
          <w:rFonts w:hint="eastAsia" w:ascii="宋体" w:hAnsi="宋体" w:eastAsia="宋体" w:cs="宋体"/>
          <w:color w:val="auto"/>
          <w:sz w:val="24"/>
          <w:szCs w:val="24"/>
          <w:highlight w:val="none"/>
        </w:rPr>
        <w:t>结果签订合同，并且严格履行合同义务。本承诺函将成为合同不可分割的一部分，与合同具有同等的法律效力。</w:t>
      </w:r>
    </w:p>
    <w:p w14:paraId="378B69CB">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7.如果我方成为成交供应商，保证在接到成交通知书后，向采购代理机构</w:t>
      </w:r>
      <w:r>
        <w:rPr>
          <w:rFonts w:hint="eastAsia" w:ascii="宋体" w:hAnsi="宋体" w:eastAsia="宋体" w:cs="宋体"/>
          <w:color w:val="auto"/>
          <w:sz w:val="24"/>
          <w:highlight w:val="none"/>
        </w:rPr>
        <w:t>缴纳</w:t>
      </w:r>
      <w:r>
        <w:rPr>
          <w:rFonts w:hint="eastAsia" w:ascii="宋体" w:hAnsi="宋体" w:cs="宋体"/>
          <w:color w:val="auto"/>
          <w:sz w:val="24"/>
          <w:szCs w:val="24"/>
          <w:highlight w:val="none"/>
          <w:lang w:val="en-US" w:eastAsia="zh-CN"/>
        </w:rPr>
        <w:t>询比文件</w:t>
      </w:r>
      <w:r>
        <w:rPr>
          <w:rFonts w:hint="eastAsia" w:ascii="宋体" w:hAnsi="宋体" w:eastAsia="宋体" w:cs="宋体"/>
          <w:color w:val="auto"/>
          <w:sz w:val="24"/>
          <w:szCs w:val="24"/>
          <w:highlight w:val="none"/>
        </w:rPr>
        <w:t>规定的采购代理服务费和</w:t>
      </w:r>
      <w:r>
        <w:rPr>
          <w:rFonts w:hint="eastAsia" w:ascii="宋体" w:hAnsi="宋体" w:eastAsia="宋体" w:cs="宋体"/>
          <w:color w:val="auto"/>
          <w:sz w:val="24"/>
          <w:szCs w:val="24"/>
          <w:highlight w:val="none"/>
          <w:lang w:eastAsia="zh-CN"/>
        </w:rPr>
        <w:t>场地</w:t>
      </w:r>
      <w:r>
        <w:rPr>
          <w:rFonts w:hint="eastAsia" w:ascii="宋体" w:hAnsi="宋体" w:eastAsia="宋体" w:cs="宋体"/>
          <w:color w:val="auto"/>
          <w:sz w:val="24"/>
          <w:szCs w:val="24"/>
          <w:highlight w:val="none"/>
        </w:rPr>
        <w:t>服务费。</w:t>
      </w:r>
    </w:p>
    <w:p w14:paraId="3E300A44">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8"/>
          <w:highlight w:val="none"/>
        </w:rPr>
        <w:t>我方未</w:t>
      </w:r>
      <w:r>
        <w:rPr>
          <w:rFonts w:hint="eastAsia" w:ascii="宋体" w:hAnsi="宋体" w:eastAsia="宋体" w:cs="宋体"/>
          <w:color w:val="auto"/>
          <w:sz w:val="24"/>
          <w:szCs w:val="24"/>
          <w:highlight w:val="none"/>
        </w:rPr>
        <w:t>为采购项目提供整体设计、规范编制或者项目管理、监理、检测等服务。</w:t>
      </w:r>
    </w:p>
    <w:p w14:paraId="7317A0DF">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供应商（公章）：</w:t>
      </w:r>
    </w:p>
    <w:p w14:paraId="1A819DD1">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地址：  </w:t>
      </w:r>
    </w:p>
    <w:p w14:paraId="6951891F">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电话：                                             传真：</w:t>
      </w:r>
    </w:p>
    <w:p w14:paraId="1B0A15A4">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网址：                                             邮编：</w:t>
      </w:r>
    </w:p>
    <w:p w14:paraId="299D4C4F">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w:t>
      </w:r>
    </w:p>
    <w:p w14:paraId="5136C13B">
      <w:pPr>
        <w:snapToGrid w:val="0"/>
        <w:spacing w:line="540" w:lineRule="exact"/>
        <w:ind w:firstLine="480" w:firstLineChars="200"/>
        <w:rPr>
          <w:rFonts w:hint="eastAsia" w:ascii="宋体" w:hAnsi="宋体" w:eastAsia="宋体" w:cs="宋体"/>
          <w:color w:val="auto"/>
          <w:sz w:val="24"/>
          <w:szCs w:val="24"/>
          <w:highlight w:val="none"/>
        </w:rPr>
      </w:pPr>
    </w:p>
    <w:p w14:paraId="6C830F82">
      <w:pPr>
        <w:snapToGrid w:val="0"/>
        <w:spacing w:line="540" w:lineRule="exact"/>
        <w:ind w:firstLine="480" w:firstLineChars="200"/>
        <w:rPr>
          <w:rFonts w:hint="eastAsia" w:ascii="宋体" w:hAnsi="宋体" w:eastAsia="宋体" w:cs="宋体"/>
          <w:color w:val="auto"/>
          <w:sz w:val="24"/>
          <w:szCs w:val="24"/>
          <w:highlight w:val="none"/>
        </w:rPr>
      </w:pPr>
    </w:p>
    <w:p w14:paraId="3DB659E7">
      <w:pPr>
        <w:snapToGrid w:val="0"/>
        <w:spacing w:line="540" w:lineRule="exact"/>
        <w:ind w:firstLine="480" w:firstLineChars="200"/>
        <w:jc w:val="right"/>
        <w:rPr>
          <w:rFonts w:hint="eastAsia" w:ascii="宋体" w:hAnsi="宋体" w:cs="宋体"/>
          <w:color w:val="auto"/>
          <w:sz w:val="24"/>
          <w:szCs w:val="24"/>
          <w:highlight w:val="none"/>
        </w:rPr>
      </w:pPr>
      <w:r>
        <w:rPr>
          <w:rFonts w:hint="eastAsia" w:ascii="宋体" w:hAnsi="宋体" w:eastAsia="宋体" w:cs="宋体"/>
          <w:color w:val="auto"/>
          <w:sz w:val="24"/>
          <w:szCs w:val="24"/>
          <w:highlight w:val="none"/>
        </w:rPr>
        <w:t xml:space="preserve">      年   月   日</w:t>
      </w:r>
      <w:bookmarkStart w:id="144" w:name="_Toc9841"/>
      <w:bookmarkStart w:id="145" w:name="_Toc11495"/>
      <w:bookmarkStart w:id="146" w:name="_Toc101387457"/>
    </w:p>
    <w:p w14:paraId="60832D77">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6161C09D">
      <w:pPr>
        <w:pStyle w:val="2"/>
        <w:spacing w:before="0" w:after="0" w:line="540" w:lineRule="exact"/>
        <w:rPr>
          <w:rFonts w:hint="eastAsia" w:ascii="宋体" w:hAnsi="宋体" w:eastAsia="宋体" w:cs="宋体"/>
          <w:color w:val="auto"/>
          <w:highlight w:val="none"/>
        </w:rPr>
      </w:pPr>
      <w:r>
        <w:rPr>
          <w:rFonts w:hint="eastAsia" w:ascii="宋体" w:hAnsi="宋体" w:eastAsia="宋体" w:cs="宋体"/>
          <w:color w:val="auto"/>
          <w:highlight w:val="none"/>
        </w:rPr>
        <w:t>二、</w:t>
      </w:r>
      <w:r>
        <w:rPr>
          <w:rFonts w:hint="eastAsia" w:ascii="宋体" w:hAnsi="宋体" w:cs="宋体"/>
          <w:color w:val="auto"/>
          <w:highlight w:val="none"/>
          <w:lang w:eastAsia="zh-CN"/>
        </w:rPr>
        <w:t>服务</w:t>
      </w:r>
      <w:r>
        <w:rPr>
          <w:rFonts w:hint="eastAsia" w:ascii="宋体" w:hAnsi="宋体" w:eastAsia="宋体" w:cs="宋体"/>
          <w:color w:val="auto"/>
          <w:highlight w:val="none"/>
        </w:rPr>
        <w:t>部分</w:t>
      </w:r>
      <w:bookmarkEnd w:id="144"/>
      <w:bookmarkEnd w:id="145"/>
      <w:bookmarkEnd w:id="146"/>
    </w:p>
    <w:p w14:paraId="41A7CF41">
      <w:pPr>
        <w:tabs>
          <w:tab w:val="left" w:pos="6300"/>
        </w:tabs>
        <w:snapToGrid w:val="0"/>
        <w:spacing w:line="540" w:lineRule="exact"/>
        <w:jc w:val="left"/>
        <w:rPr>
          <w:rFonts w:hint="eastAsia" w:ascii="宋体" w:hAnsi="宋体" w:eastAsia="宋体" w:cs="宋体"/>
          <w:color w:val="auto"/>
          <w:sz w:val="24"/>
          <w:szCs w:val="24"/>
          <w:highlight w:val="none"/>
        </w:rPr>
      </w:pPr>
    </w:p>
    <w:p w14:paraId="418BBB45">
      <w:pPr>
        <w:tabs>
          <w:tab w:val="left" w:pos="6300"/>
        </w:tabs>
        <w:snapToGrid w:val="0"/>
        <w:spacing w:line="540" w:lineRule="exact"/>
        <w:ind w:firstLine="3313" w:firstLineChars="1100"/>
        <w:jc w:val="both"/>
        <w:rPr>
          <w:rFonts w:hint="eastAsia" w:ascii="宋体" w:hAnsi="宋体" w:eastAsia="宋体" w:cs="宋体"/>
          <w:color w:val="auto"/>
          <w:sz w:val="24"/>
          <w:szCs w:val="24"/>
          <w:highlight w:val="none"/>
        </w:rPr>
      </w:pPr>
      <w:r>
        <w:rPr>
          <w:rFonts w:hint="eastAsia" w:ascii="宋体" w:hAnsi="宋体" w:eastAsia="宋体" w:cs="宋体"/>
          <w:b/>
          <w:color w:val="auto"/>
          <w:sz w:val="30"/>
          <w:szCs w:val="30"/>
          <w:highlight w:val="none"/>
        </w:rPr>
        <w:t>服务响应偏离表</w:t>
      </w:r>
    </w:p>
    <w:p w14:paraId="3099B472">
      <w:pPr>
        <w:tabs>
          <w:tab w:val="left" w:pos="2145"/>
        </w:tabs>
        <w:spacing w:line="5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项目名称：</w:t>
      </w:r>
      <w:r>
        <w:rPr>
          <w:rFonts w:hint="eastAsia" w:ascii="宋体" w:hAnsi="宋体" w:eastAsia="宋体" w:cs="宋体"/>
          <w:color w:val="auto"/>
          <w:sz w:val="24"/>
          <w:szCs w:val="24"/>
          <w:highlight w:val="none"/>
        </w:rPr>
        <w:tab/>
      </w:r>
    </w:p>
    <w:tbl>
      <w:tblPr>
        <w:tblStyle w:val="24"/>
        <w:tblW w:w="8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5"/>
        <w:gridCol w:w="2428"/>
        <w:gridCol w:w="2520"/>
        <w:gridCol w:w="2147"/>
      </w:tblGrid>
      <w:tr w14:paraId="76B68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865" w:type="dxa"/>
            <w:vAlign w:val="center"/>
          </w:tcPr>
          <w:p w14:paraId="754482C7">
            <w:pPr>
              <w:tabs>
                <w:tab w:val="left" w:pos="6300"/>
              </w:tabs>
              <w:snapToGrid w:val="0"/>
              <w:spacing w:line="500" w:lineRule="exact"/>
              <w:jc w:val="center"/>
              <w:outlineLvl w:val="0"/>
              <w:rPr>
                <w:rFonts w:hint="eastAsia" w:ascii="宋体" w:hAnsi="宋体" w:eastAsia="宋体" w:cs="宋体"/>
                <w:b/>
                <w:bCs/>
                <w:color w:val="auto"/>
                <w:sz w:val="24"/>
                <w:szCs w:val="24"/>
                <w:highlight w:val="none"/>
              </w:rPr>
            </w:pPr>
            <w:bookmarkStart w:id="147" w:name="_Toc17194"/>
            <w:bookmarkStart w:id="148" w:name="_Toc20661"/>
            <w:bookmarkStart w:id="149" w:name="_Toc15500"/>
            <w:bookmarkStart w:id="150" w:name="_Toc22449"/>
            <w:r>
              <w:rPr>
                <w:rFonts w:hint="eastAsia" w:ascii="宋体" w:hAnsi="宋体" w:eastAsia="宋体" w:cs="宋体"/>
                <w:b/>
                <w:bCs/>
                <w:color w:val="auto"/>
                <w:sz w:val="24"/>
                <w:szCs w:val="24"/>
                <w:highlight w:val="none"/>
              </w:rPr>
              <w:t>序号</w:t>
            </w:r>
            <w:bookmarkEnd w:id="147"/>
            <w:bookmarkEnd w:id="148"/>
            <w:bookmarkEnd w:id="149"/>
            <w:bookmarkEnd w:id="150"/>
          </w:p>
        </w:tc>
        <w:tc>
          <w:tcPr>
            <w:tcW w:w="2428" w:type="dxa"/>
            <w:vAlign w:val="center"/>
          </w:tcPr>
          <w:p w14:paraId="1D0488F0">
            <w:pPr>
              <w:tabs>
                <w:tab w:val="left" w:pos="6300"/>
              </w:tabs>
              <w:snapToGrid w:val="0"/>
              <w:spacing w:line="500" w:lineRule="exact"/>
              <w:jc w:val="center"/>
              <w:outlineLvl w:val="0"/>
              <w:rPr>
                <w:rFonts w:hint="eastAsia" w:ascii="宋体" w:hAnsi="宋体" w:eastAsia="宋体" w:cs="宋体"/>
                <w:b/>
                <w:bCs/>
                <w:color w:val="auto"/>
                <w:sz w:val="24"/>
                <w:szCs w:val="24"/>
                <w:highlight w:val="none"/>
              </w:rPr>
            </w:pPr>
            <w:bookmarkStart w:id="151" w:name="_Toc3612"/>
            <w:bookmarkStart w:id="152" w:name="_Toc23948"/>
            <w:bookmarkStart w:id="153" w:name="_Toc9653"/>
            <w:bookmarkStart w:id="154" w:name="_Toc24053"/>
            <w:r>
              <w:rPr>
                <w:rFonts w:hint="eastAsia" w:ascii="宋体" w:hAnsi="宋体" w:eastAsia="宋体" w:cs="宋体"/>
                <w:b/>
                <w:bCs/>
                <w:color w:val="auto"/>
                <w:sz w:val="24"/>
                <w:szCs w:val="24"/>
                <w:highlight w:val="none"/>
              </w:rPr>
              <w:t>采购需求</w:t>
            </w:r>
            <w:bookmarkEnd w:id="151"/>
            <w:bookmarkEnd w:id="152"/>
            <w:bookmarkEnd w:id="153"/>
            <w:bookmarkEnd w:id="154"/>
          </w:p>
        </w:tc>
        <w:tc>
          <w:tcPr>
            <w:tcW w:w="2520" w:type="dxa"/>
            <w:vAlign w:val="center"/>
          </w:tcPr>
          <w:p w14:paraId="0CAB19DD">
            <w:pPr>
              <w:tabs>
                <w:tab w:val="left" w:pos="6300"/>
              </w:tabs>
              <w:snapToGrid w:val="0"/>
              <w:spacing w:line="500" w:lineRule="exact"/>
              <w:jc w:val="center"/>
              <w:outlineLvl w:val="0"/>
              <w:rPr>
                <w:rFonts w:hint="eastAsia" w:ascii="宋体" w:hAnsi="宋体" w:eastAsia="宋体" w:cs="宋体"/>
                <w:b/>
                <w:bCs/>
                <w:color w:val="auto"/>
                <w:sz w:val="24"/>
                <w:szCs w:val="24"/>
                <w:highlight w:val="none"/>
              </w:rPr>
            </w:pPr>
            <w:bookmarkStart w:id="155" w:name="_Toc25924"/>
            <w:bookmarkStart w:id="156" w:name="_Toc7843"/>
            <w:bookmarkStart w:id="157" w:name="_Toc10505"/>
            <w:bookmarkStart w:id="158" w:name="_Toc14755"/>
            <w:r>
              <w:rPr>
                <w:rFonts w:hint="eastAsia" w:ascii="宋体" w:hAnsi="宋体" w:eastAsia="宋体" w:cs="宋体"/>
                <w:b/>
                <w:bCs/>
                <w:color w:val="auto"/>
                <w:sz w:val="24"/>
                <w:szCs w:val="24"/>
                <w:highlight w:val="none"/>
              </w:rPr>
              <w:t>响应情况</w:t>
            </w:r>
            <w:bookmarkEnd w:id="155"/>
            <w:bookmarkEnd w:id="156"/>
            <w:bookmarkEnd w:id="157"/>
            <w:bookmarkEnd w:id="158"/>
          </w:p>
        </w:tc>
        <w:tc>
          <w:tcPr>
            <w:tcW w:w="2147" w:type="dxa"/>
            <w:vAlign w:val="center"/>
          </w:tcPr>
          <w:p w14:paraId="20965517">
            <w:pPr>
              <w:tabs>
                <w:tab w:val="left" w:pos="6300"/>
              </w:tabs>
              <w:snapToGrid w:val="0"/>
              <w:spacing w:line="500" w:lineRule="exact"/>
              <w:jc w:val="center"/>
              <w:outlineLvl w:val="0"/>
              <w:rPr>
                <w:rFonts w:hint="eastAsia" w:ascii="宋体" w:hAnsi="宋体" w:eastAsia="宋体" w:cs="宋体"/>
                <w:b/>
                <w:bCs/>
                <w:color w:val="auto"/>
                <w:sz w:val="24"/>
                <w:szCs w:val="24"/>
                <w:highlight w:val="none"/>
              </w:rPr>
            </w:pPr>
            <w:bookmarkStart w:id="159" w:name="_Toc5131"/>
            <w:bookmarkStart w:id="160" w:name="_Toc17545"/>
            <w:bookmarkStart w:id="161" w:name="_Toc13589"/>
            <w:bookmarkStart w:id="162" w:name="_Toc30658"/>
            <w:r>
              <w:rPr>
                <w:rFonts w:hint="eastAsia" w:ascii="宋体" w:hAnsi="宋体" w:eastAsia="宋体" w:cs="宋体"/>
                <w:b/>
                <w:bCs/>
                <w:color w:val="auto"/>
                <w:sz w:val="24"/>
                <w:szCs w:val="24"/>
                <w:highlight w:val="none"/>
              </w:rPr>
              <w:t>差异说明</w:t>
            </w:r>
            <w:bookmarkEnd w:id="159"/>
            <w:bookmarkEnd w:id="160"/>
            <w:bookmarkEnd w:id="161"/>
            <w:bookmarkEnd w:id="162"/>
          </w:p>
        </w:tc>
      </w:tr>
      <w:tr w14:paraId="0FC7A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65" w:type="dxa"/>
            <w:vAlign w:val="center"/>
          </w:tcPr>
          <w:p w14:paraId="00B5FB3D">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480FC9DE">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6BE9C8F4">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147" w:type="dxa"/>
            <w:vAlign w:val="center"/>
          </w:tcPr>
          <w:p w14:paraId="43D22144">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0AFF0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65" w:type="dxa"/>
            <w:vAlign w:val="center"/>
          </w:tcPr>
          <w:p w14:paraId="09037221">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15602E6C">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3486C0D0">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147" w:type="dxa"/>
            <w:vAlign w:val="center"/>
          </w:tcPr>
          <w:p w14:paraId="5A8CE055">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13C67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65" w:type="dxa"/>
            <w:vAlign w:val="center"/>
          </w:tcPr>
          <w:p w14:paraId="7A37B0A4">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0E4EE863">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6EC10A19">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147" w:type="dxa"/>
            <w:vAlign w:val="center"/>
          </w:tcPr>
          <w:p w14:paraId="4286E0CD">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5AB63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65" w:type="dxa"/>
            <w:vAlign w:val="center"/>
          </w:tcPr>
          <w:p w14:paraId="64C142A3">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55BCF197">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3CC29BDE">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147" w:type="dxa"/>
            <w:vAlign w:val="center"/>
          </w:tcPr>
          <w:p w14:paraId="5508DC9C">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5B086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65" w:type="dxa"/>
            <w:vAlign w:val="center"/>
          </w:tcPr>
          <w:p w14:paraId="6D3FD2F0">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1E04BBE2">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44A9618E">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147" w:type="dxa"/>
            <w:vAlign w:val="center"/>
          </w:tcPr>
          <w:p w14:paraId="44C0DF96">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0F395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65" w:type="dxa"/>
            <w:vAlign w:val="center"/>
          </w:tcPr>
          <w:p w14:paraId="43E8D926">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01DB76C9">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286D79D4">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147" w:type="dxa"/>
            <w:vAlign w:val="center"/>
          </w:tcPr>
          <w:p w14:paraId="59C14EED">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189EB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65" w:type="dxa"/>
            <w:vAlign w:val="center"/>
          </w:tcPr>
          <w:p w14:paraId="7CA30A33">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48965599">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41DE4C2E">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147" w:type="dxa"/>
            <w:vAlign w:val="center"/>
          </w:tcPr>
          <w:p w14:paraId="0ECE0975">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2A147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65" w:type="dxa"/>
            <w:vAlign w:val="center"/>
          </w:tcPr>
          <w:p w14:paraId="445B18E6">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668F9215">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31B35F1B">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147" w:type="dxa"/>
            <w:vAlign w:val="center"/>
          </w:tcPr>
          <w:p w14:paraId="1FC6723D">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0B9E1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65" w:type="dxa"/>
            <w:vAlign w:val="center"/>
          </w:tcPr>
          <w:p w14:paraId="3CB138B9">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46D07AD0">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6B1CAD8C">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147" w:type="dxa"/>
            <w:vAlign w:val="center"/>
          </w:tcPr>
          <w:p w14:paraId="5E7C8E44">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11A74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65" w:type="dxa"/>
            <w:vAlign w:val="center"/>
          </w:tcPr>
          <w:p w14:paraId="0D42FCF9">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4431AE10">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072FD8F8">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147" w:type="dxa"/>
            <w:vAlign w:val="center"/>
          </w:tcPr>
          <w:p w14:paraId="40C6B9F7">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bl>
    <w:p w14:paraId="7A2BB424">
      <w:pPr>
        <w:spacing w:line="500" w:lineRule="exact"/>
        <w:ind w:firstLine="720" w:firstLineChars="3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               法定代表人（或法定代表人授权代表）或自然人：</w:t>
      </w:r>
    </w:p>
    <w:p w14:paraId="6F85D194">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（供应商公章）                                 （签字或盖章）</w:t>
      </w:r>
    </w:p>
    <w:p w14:paraId="0E4CC52A">
      <w:pPr>
        <w:tabs>
          <w:tab w:val="left" w:pos="6300"/>
        </w:tabs>
        <w:snapToGri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年     月     日</w:t>
      </w:r>
    </w:p>
    <w:p w14:paraId="5C7FC6A0">
      <w:pPr>
        <w:tabs>
          <w:tab w:val="left" w:pos="6300"/>
        </w:tabs>
        <w:snapToGrid w:val="0"/>
        <w:spacing w:line="36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w:t>
      </w:r>
    </w:p>
    <w:p w14:paraId="17AB3E90">
      <w:pPr>
        <w:tabs>
          <w:tab w:val="left" w:pos="6300"/>
        </w:tabs>
        <w:snapToGrid w:val="0"/>
        <w:spacing w:line="360" w:lineRule="exact"/>
        <w:ind w:firstLine="480" w:firstLineChars="200"/>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1.本表即为对本项目“第二篇  </w:t>
      </w:r>
      <w:r>
        <w:rPr>
          <w:rFonts w:hint="eastAsia" w:ascii="宋体" w:hAnsi="宋体" w:cs="宋体"/>
          <w:bCs/>
          <w:color w:val="auto"/>
          <w:sz w:val="24"/>
          <w:szCs w:val="24"/>
          <w:highlight w:val="none"/>
          <w:lang w:eastAsia="zh-CN"/>
        </w:rPr>
        <w:t>项目服务需求</w:t>
      </w:r>
      <w:r>
        <w:rPr>
          <w:rFonts w:hint="eastAsia" w:ascii="宋体" w:hAnsi="宋体" w:eastAsia="宋体" w:cs="宋体"/>
          <w:bCs/>
          <w:color w:val="auto"/>
          <w:sz w:val="24"/>
          <w:szCs w:val="24"/>
          <w:highlight w:val="none"/>
        </w:rPr>
        <w:t>”中所列全部条款进行比较和响应；该表必须按照</w:t>
      </w:r>
      <w:r>
        <w:rPr>
          <w:rFonts w:hint="eastAsia" w:ascii="宋体" w:hAnsi="宋体" w:cs="宋体"/>
          <w:bCs/>
          <w:color w:val="auto"/>
          <w:sz w:val="24"/>
          <w:szCs w:val="24"/>
          <w:highlight w:val="none"/>
          <w:lang w:eastAsia="zh-CN"/>
        </w:rPr>
        <w:t>询比文件</w:t>
      </w:r>
      <w:r>
        <w:rPr>
          <w:rFonts w:hint="eastAsia" w:ascii="宋体" w:hAnsi="宋体" w:eastAsia="宋体" w:cs="宋体"/>
          <w:bCs/>
          <w:color w:val="auto"/>
          <w:sz w:val="24"/>
          <w:szCs w:val="24"/>
          <w:highlight w:val="none"/>
        </w:rPr>
        <w:t>要求逐条如实填写，根据响应情况在“差异说明”项填写“正偏离”或“负偏离”及原因，完全符合的填写“无差异”。</w:t>
      </w:r>
    </w:p>
    <w:p w14:paraId="33A8DA8F">
      <w:pPr>
        <w:tabs>
          <w:tab w:val="left" w:pos="6300"/>
        </w:tabs>
        <w:snapToGrid w:val="0"/>
        <w:spacing w:line="360" w:lineRule="exact"/>
        <w:ind w:firstLine="480" w:firstLineChars="200"/>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2.该表可扩展，并逐页签字或盖章，可附相关技术支撑材料（格式自定）。</w:t>
      </w:r>
    </w:p>
    <w:p w14:paraId="234D50BA">
      <w:pPr>
        <w:tabs>
          <w:tab w:val="left" w:pos="6300"/>
        </w:tabs>
        <w:snapToGrid w:val="0"/>
        <w:spacing w:line="360" w:lineRule="exact"/>
        <w:ind w:firstLine="480" w:firstLineChars="200"/>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3.若“响应情况”栏仅填写“无偏离”或“有偏离”等内容而未作实质性参数描述，该供应商将失去成为成交供应商的资格。</w:t>
      </w:r>
    </w:p>
    <w:p w14:paraId="684F1116">
      <w:pPr>
        <w:pStyle w:val="22"/>
        <w:rPr>
          <w:rFonts w:hint="eastAsia" w:ascii="宋体" w:hAnsi="宋体" w:eastAsia="宋体" w:cs="宋体"/>
          <w:color w:val="auto"/>
          <w:highlight w:val="none"/>
        </w:rPr>
      </w:pPr>
    </w:p>
    <w:p w14:paraId="3A61BB89">
      <w:pPr>
        <w:rPr>
          <w:rFonts w:hint="eastAsia" w:ascii="宋体" w:hAnsi="宋体" w:eastAsia="宋体" w:cs="宋体"/>
          <w:color w:val="auto"/>
          <w:highlight w:val="none"/>
        </w:rPr>
      </w:pPr>
    </w:p>
    <w:p w14:paraId="0FD0FA32">
      <w:pPr>
        <w:pStyle w:val="22"/>
        <w:rPr>
          <w:rFonts w:hint="eastAsia" w:ascii="宋体" w:hAnsi="宋体" w:eastAsia="宋体" w:cs="宋体"/>
          <w:color w:val="auto"/>
          <w:highlight w:val="none"/>
        </w:rPr>
      </w:pPr>
    </w:p>
    <w:p w14:paraId="406D49DC">
      <w:pPr>
        <w:rPr>
          <w:rFonts w:hint="eastAsia" w:ascii="宋体" w:hAnsi="宋体" w:eastAsia="宋体" w:cs="宋体"/>
          <w:color w:val="auto"/>
          <w:highlight w:val="none"/>
        </w:rPr>
      </w:pPr>
    </w:p>
    <w:p w14:paraId="1B846CE8">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52C60D1D">
      <w:pPr>
        <w:snapToGrid w:val="0"/>
        <w:spacing w:line="360" w:lineRule="auto"/>
        <w:jc w:val="left"/>
        <w:rPr>
          <w:rFonts w:hint="eastAsia" w:ascii="宋体" w:hAnsi="宋体" w:cs="宋体"/>
          <w:color w:val="auto"/>
          <w:sz w:val="24"/>
          <w:szCs w:val="24"/>
          <w:highlight w:val="none"/>
          <w:bdr w:val="single" w:color="auto" w:sz="4" w:space="0"/>
        </w:rPr>
      </w:pPr>
      <w:r>
        <w:rPr>
          <w:rFonts w:hint="eastAsia" w:ascii="宋体" w:hAnsi="宋体" w:cs="宋体"/>
          <w:color w:val="auto"/>
          <w:sz w:val="24"/>
          <w:szCs w:val="24"/>
          <w:highlight w:val="none"/>
        </w:rPr>
        <w:t>（二）其他</w:t>
      </w:r>
      <w:r>
        <w:rPr>
          <w:rFonts w:hint="eastAsia" w:ascii="宋体" w:hAnsi="宋体" w:cs="宋体"/>
          <w:color w:val="auto"/>
          <w:sz w:val="24"/>
          <w:szCs w:val="24"/>
          <w:highlight w:val="none"/>
          <w:lang w:eastAsia="zh-CN"/>
        </w:rPr>
        <w:t>项目</w:t>
      </w:r>
      <w:r>
        <w:rPr>
          <w:rFonts w:hint="eastAsia" w:ascii="宋体" w:hAnsi="宋体" w:eastAsia="宋体" w:cs="宋体"/>
          <w:color w:val="auto"/>
          <w:sz w:val="24"/>
          <w:szCs w:val="24"/>
          <w:highlight w:val="none"/>
        </w:rPr>
        <w:t>资料（自附）</w:t>
      </w:r>
    </w:p>
    <w:p w14:paraId="395E383A">
      <w:pPr>
        <w:snapToGrid w:val="0"/>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（可参照</w:t>
      </w:r>
      <w:r>
        <w:rPr>
          <w:rFonts w:hint="eastAsia" w:ascii="宋体" w:hAnsi="宋体" w:cs="宋体"/>
          <w:color w:val="auto"/>
          <w:sz w:val="24"/>
          <w:szCs w:val="24"/>
          <w:highlight w:val="none"/>
          <w:lang w:eastAsia="zh-CN"/>
        </w:rPr>
        <w:t>服务需求</w:t>
      </w:r>
      <w:r>
        <w:rPr>
          <w:rFonts w:hint="eastAsia" w:ascii="宋体" w:hAnsi="宋体" w:eastAsia="宋体" w:cs="宋体"/>
          <w:color w:val="auto"/>
          <w:sz w:val="24"/>
          <w:szCs w:val="24"/>
          <w:highlight w:val="none"/>
        </w:rPr>
        <w:t>部分评分内容提供相关资料，为方便评审专家评审，可编制目录）</w:t>
      </w:r>
    </w:p>
    <w:p w14:paraId="164E4057">
      <w:pPr>
        <w:snapToGrid w:val="0"/>
        <w:spacing w:line="360" w:lineRule="auto"/>
        <w:jc w:val="center"/>
        <w:rPr>
          <w:rFonts w:hint="eastAsia" w:ascii="宋体" w:hAnsi="宋体" w:cs="宋体"/>
          <w:color w:val="auto"/>
          <w:sz w:val="21"/>
          <w:szCs w:val="21"/>
          <w:highlight w:val="none"/>
        </w:rPr>
      </w:pPr>
    </w:p>
    <w:p w14:paraId="035BB840">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5E33CE0F">
      <w:pPr>
        <w:pStyle w:val="2"/>
        <w:spacing w:before="0" w:after="0" w:line="540" w:lineRule="exact"/>
        <w:rPr>
          <w:rFonts w:hint="eastAsia" w:ascii="宋体" w:hAnsi="宋体" w:eastAsia="宋体" w:cs="宋体"/>
          <w:color w:val="auto"/>
          <w:highlight w:val="none"/>
        </w:rPr>
      </w:pPr>
      <w:bookmarkStart w:id="163" w:name="_Toc8023"/>
      <w:r>
        <w:rPr>
          <w:rFonts w:hint="eastAsia" w:ascii="宋体" w:hAnsi="宋体" w:eastAsia="宋体" w:cs="宋体"/>
          <w:color w:val="auto"/>
          <w:highlight w:val="none"/>
        </w:rPr>
        <w:t>三、商务部分</w:t>
      </w:r>
      <w:bookmarkEnd w:id="163"/>
    </w:p>
    <w:p w14:paraId="72FF20E9">
      <w:pPr>
        <w:tabs>
          <w:tab w:val="left" w:pos="6300"/>
        </w:tabs>
        <w:snapToGrid w:val="0"/>
        <w:spacing w:line="540" w:lineRule="exact"/>
        <w:ind w:firstLine="301" w:firstLineChars="100"/>
        <w:jc w:val="center"/>
        <w:rPr>
          <w:rFonts w:hint="eastAsia" w:ascii="宋体" w:hAnsi="宋体" w:eastAsia="宋体" w:cs="宋体"/>
          <w:b/>
          <w:color w:val="auto"/>
          <w:sz w:val="24"/>
          <w:szCs w:val="24"/>
          <w:highlight w:val="none"/>
        </w:rPr>
      </w:pPr>
      <w:r>
        <w:rPr>
          <w:rFonts w:hint="eastAsia" w:ascii="宋体" w:hAnsi="宋体" w:eastAsia="宋体" w:cs="宋体"/>
          <w:b/>
          <w:color w:val="auto"/>
          <w:sz w:val="30"/>
          <w:szCs w:val="30"/>
          <w:highlight w:val="none"/>
        </w:rPr>
        <w:t>商务响应偏离表</w:t>
      </w:r>
    </w:p>
    <w:p w14:paraId="351409A7">
      <w:pPr>
        <w:tabs>
          <w:tab w:val="left" w:pos="2145"/>
        </w:tabs>
        <w:spacing w:line="5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项目名称：</w:t>
      </w:r>
      <w:r>
        <w:rPr>
          <w:rFonts w:hint="eastAsia" w:ascii="宋体" w:hAnsi="宋体" w:eastAsia="宋体" w:cs="宋体"/>
          <w:color w:val="auto"/>
          <w:sz w:val="24"/>
          <w:szCs w:val="24"/>
          <w:highlight w:val="none"/>
        </w:rPr>
        <w:tab/>
      </w:r>
    </w:p>
    <w:tbl>
      <w:tblPr>
        <w:tblStyle w:val="24"/>
        <w:tblW w:w="88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6"/>
        <w:gridCol w:w="2428"/>
        <w:gridCol w:w="2520"/>
        <w:gridCol w:w="2222"/>
      </w:tblGrid>
      <w:tr w14:paraId="5C0B5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666" w:type="dxa"/>
            <w:vAlign w:val="center"/>
          </w:tcPr>
          <w:p w14:paraId="3C66BBD8">
            <w:pPr>
              <w:tabs>
                <w:tab w:val="left" w:pos="6300"/>
              </w:tabs>
              <w:snapToGrid w:val="0"/>
              <w:spacing w:line="500" w:lineRule="exact"/>
              <w:jc w:val="center"/>
              <w:outlineLvl w:val="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序号</w:t>
            </w:r>
          </w:p>
        </w:tc>
        <w:tc>
          <w:tcPr>
            <w:tcW w:w="2428" w:type="dxa"/>
            <w:vAlign w:val="center"/>
          </w:tcPr>
          <w:p w14:paraId="4B844DC9">
            <w:pPr>
              <w:tabs>
                <w:tab w:val="left" w:pos="6300"/>
              </w:tabs>
              <w:snapToGrid w:val="0"/>
              <w:spacing w:line="500" w:lineRule="exact"/>
              <w:jc w:val="center"/>
              <w:outlineLvl w:val="0"/>
              <w:rPr>
                <w:rFonts w:hint="eastAsia" w:ascii="宋体" w:hAnsi="宋体" w:eastAsia="宋体" w:cs="宋体"/>
                <w:b/>
                <w:bCs/>
                <w:color w:val="auto"/>
                <w:sz w:val="24"/>
                <w:szCs w:val="24"/>
                <w:highlight w:val="none"/>
              </w:rPr>
            </w:pPr>
            <w:r>
              <w:rPr>
                <w:rFonts w:hint="eastAsia" w:ascii="宋体" w:hAnsi="宋体" w:cs="宋体"/>
                <w:b/>
                <w:bCs/>
                <w:color w:val="auto"/>
                <w:sz w:val="24"/>
                <w:szCs w:val="24"/>
                <w:highlight w:val="none"/>
                <w:lang w:eastAsia="zh-CN"/>
              </w:rPr>
              <w:t>采购</w:t>
            </w:r>
            <w:r>
              <w:rPr>
                <w:rFonts w:hint="eastAsia" w:ascii="宋体" w:hAnsi="宋体" w:eastAsia="宋体" w:cs="宋体"/>
                <w:b/>
                <w:bCs/>
                <w:color w:val="auto"/>
                <w:sz w:val="24"/>
                <w:szCs w:val="24"/>
                <w:highlight w:val="none"/>
              </w:rPr>
              <w:t>需求</w:t>
            </w:r>
          </w:p>
        </w:tc>
        <w:tc>
          <w:tcPr>
            <w:tcW w:w="2520" w:type="dxa"/>
            <w:vAlign w:val="center"/>
          </w:tcPr>
          <w:p w14:paraId="79F4CD1F">
            <w:pPr>
              <w:tabs>
                <w:tab w:val="left" w:pos="6300"/>
              </w:tabs>
              <w:snapToGrid w:val="0"/>
              <w:spacing w:line="500" w:lineRule="exact"/>
              <w:jc w:val="center"/>
              <w:outlineLvl w:val="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响应情况</w:t>
            </w:r>
          </w:p>
        </w:tc>
        <w:tc>
          <w:tcPr>
            <w:tcW w:w="2222" w:type="dxa"/>
            <w:vAlign w:val="center"/>
          </w:tcPr>
          <w:p w14:paraId="4FB3065E">
            <w:pPr>
              <w:tabs>
                <w:tab w:val="left" w:pos="6300"/>
              </w:tabs>
              <w:snapToGrid w:val="0"/>
              <w:spacing w:line="500" w:lineRule="exact"/>
              <w:jc w:val="center"/>
              <w:outlineLvl w:val="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差异说明</w:t>
            </w:r>
          </w:p>
        </w:tc>
      </w:tr>
      <w:tr w14:paraId="59B49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66" w:type="dxa"/>
            <w:vAlign w:val="center"/>
          </w:tcPr>
          <w:p w14:paraId="1EA16918">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434014AE">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32FEF7E7">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222" w:type="dxa"/>
            <w:vAlign w:val="center"/>
          </w:tcPr>
          <w:p w14:paraId="4C36AF4E">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007E2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66" w:type="dxa"/>
            <w:vAlign w:val="center"/>
          </w:tcPr>
          <w:p w14:paraId="6B245B9D">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3B6B12FD">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2F69477C">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222" w:type="dxa"/>
            <w:vAlign w:val="center"/>
          </w:tcPr>
          <w:p w14:paraId="1246E6EE">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33C98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66" w:type="dxa"/>
            <w:vAlign w:val="center"/>
          </w:tcPr>
          <w:p w14:paraId="2522F744">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02FF8010">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10320DED">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222" w:type="dxa"/>
            <w:vAlign w:val="center"/>
          </w:tcPr>
          <w:p w14:paraId="1872AF34">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206DF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66" w:type="dxa"/>
            <w:vAlign w:val="center"/>
          </w:tcPr>
          <w:p w14:paraId="0FF257D0">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4EBC55D8">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7629C3E6">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222" w:type="dxa"/>
            <w:vAlign w:val="center"/>
          </w:tcPr>
          <w:p w14:paraId="35132498">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25EBA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66" w:type="dxa"/>
            <w:vAlign w:val="center"/>
          </w:tcPr>
          <w:p w14:paraId="7C8C4814">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7662D0D3">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3B76DEC0">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222" w:type="dxa"/>
            <w:vAlign w:val="center"/>
          </w:tcPr>
          <w:p w14:paraId="51B6D3AD">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191FF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66" w:type="dxa"/>
            <w:vAlign w:val="center"/>
          </w:tcPr>
          <w:p w14:paraId="0CA6B70A">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41650A4F">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1478CCA9">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222" w:type="dxa"/>
            <w:vAlign w:val="center"/>
          </w:tcPr>
          <w:p w14:paraId="2A1446C0">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26730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66" w:type="dxa"/>
            <w:vAlign w:val="center"/>
          </w:tcPr>
          <w:p w14:paraId="5566235E">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27E34AF9">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47A5BE5A">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222" w:type="dxa"/>
            <w:vAlign w:val="center"/>
          </w:tcPr>
          <w:p w14:paraId="7C943D79">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7F23E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66" w:type="dxa"/>
            <w:vAlign w:val="center"/>
          </w:tcPr>
          <w:p w14:paraId="711D4299">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697F841A">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799E2CB3">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222" w:type="dxa"/>
            <w:vAlign w:val="center"/>
          </w:tcPr>
          <w:p w14:paraId="788F4505">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38152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66" w:type="dxa"/>
            <w:vAlign w:val="center"/>
          </w:tcPr>
          <w:p w14:paraId="458F3A68">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593B9BDF">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2F062818">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222" w:type="dxa"/>
            <w:vAlign w:val="center"/>
          </w:tcPr>
          <w:p w14:paraId="27A658DB">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08376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66" w:type="dxa"/>
            <w:vAlign w:val="center"/>
          </w:tcPr>
          <w:p w14:paraId="131FB6A5">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5432B855">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5928264F">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222" w:type="dxa"/>
            <w:vAlign w:val="center"/>
          </w:tcPr>
          <w:p w14:paraId="58E77E41">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79EA4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66" w:type="dxa"/>
            <w:vAlign w:val="center"/>
          </w:tcPr>
          <w:p w14:paraId="25901C4D">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7AD430C3">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3A3003B0">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222" w:type="dxa"/>
            <w:vAlign w:val="center"/>
          </w:tcPr>
          <w:p w14:paraId="228C0B93">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bl>
    <w:p w14:paraId="6922E822">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               法定代表人（或法定代表人授权代表）或自然人：</w:t>
      </w:r>
    </w:p>
    <w:p w14:paraId="16BB191C">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（供应商公章）                                 （签字或盖章）</w:t>
      </w:r>
    </w:p>
    <w:p w14:paraId="2C4E9C7B">
      <w:pPr>
        <w:tabs>
          <w:tab w:val="left" w:pos="6300"/>
        </w:tabs>
        <w:snapToGri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年     月     日</w:t>
      </w:r>
    </w:p>
    <w:p w14:paraId="30F4F27B">
      <w:pPr>
        <w:tabs>
          <w:tab w:val="left" w:pos="6300"/>
        </w:tabs>
        <w:snapToGrid w:val="0"/>
        <w:spacing w:line="36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注：</w:t>
      </w:r>
    </w:p>
    <w:p w14:paraId="5603CB4C">
      <w:pPr>
        <w:tabs>
          <w:tab w:val="left" w:pos="6300"/>
        </w:tabs>
        <w:snapToGrid w:val="0"/>
        <w:spacing w:line="360" w:lineRule="exact"/>
        <w:ind w:firstLine="480" w:firstLineChars="200"/>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1.本表即为对本项目“第三篇 项目商务需求”中所列全部条款进行比较和响应；该表必须按照</w:t>
      </w:r>
      <w:r>
        <w:rPr>
          <w:rFonts w:hint="eastAsia" w:ascii="宋体" w:hAnsi="宋体" w:cs="宋体"/>
          <w:bCs/>
          <w:color w:val="auto"/>
          <w:sz w:val="24"/>
          <w:szCs w:val="24"/>
          <w:highlight w:val="none"/>
          <w:lang w:eastAsia="zh-CN"/>
        </w:rPr>
        <w:t>询比文件</w:t>
      </w:r>
      <w:r>
        <w:rPr>
          <w:rFonts w:hint="eastAsia" w:ascii="宋体" w:hAnsi="宋体" w:eastAsia="宋体" w:cs="宋体"/>
          <w:bCs/>
          <w:color w:val="auto"/>
          <w:sz w:val="24"/>
          <w:szCs w:val="24"/>
          <w:highlight w:val="none"/>
        </w:rPr>
        <w:t>要求逐条如实填写，根据响应情况在“差异说明”项填写“正偏离”或“负偏离”及原因，完全符合的填写“无差异”。若“响应情况”栏仅填写“无偏离”或“有偏离”等内容而未作实质性描述，该供应商将失去成为成交供应商的资格。</w:t>
      </w:r>
    </w:p>
    <w:p w14:paraId="601D67FA">
      <w:pPr>
        <w:tabs>
          <w:tab w:val="left" w:pos="6300"/>
        </w:tabs>
        <w:snapToGrid w:val="0"/>
        <w:spacing w:line="360" w:lineRule="exact"/>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2.该表可扩展。</w:t>
      </w:r>
    </w:p>
    <w:p w14:paraId="49D71511">
      <w:pPr>
        <w:rPr>
          <w:rFonts w:hint="eastAsia" w:ascii="宋体" w:hAnsi="宋体" w:eastAsia="宋体" w:cs="宋体"/>
          <w:color w:val="auto"/>
          <w:highlight w:val="none"/>
        </w:rPr>
        <w:sectPr>
          <w:headerReference r:id="rId9" w:type="default"/>
          <w:pgSz w:w="11907" w:h="16840"/>
          <w:pgMar w:top="1134" w:right="1191" w:bottom="1134" w:left="1304" w:header="851" w:footer="850" w:gutter="0"/>
          <w:pgBorders>
            <w:top w:val="none" w:sz="0" w:space="0"/>
            <w:left w:val="none" w:sz="0" w:space="0"/>
            <w:bottom w:val="none" w:sz="0" w:space="0"/>
            <w:right w:val="none" w:sz="0" w:space="0"/>
          </w:pgBorders>
          <w:cols w:space="720" w:num="1"/>
          <w:docGrid w:linePitch="380" w:charSpace="-5735"/>
        </w:sectPr>
      </w:pPr>
    </w:p>
    <w:p w14:paraId="7A71E093">
      <w:pPr>
        <w:pStyle w:val="30"/>
        <w:rPr>
          <w:rFonts w:hint="eastAsia" w:ascii="宋体" w:hAnsi="宋体" w:eastAsia="宋体" w:cs="宋体"/>
          <w:color w:val="auto"/>
          <w:szCs w:val="24"/>
          <w:highlight w:val="none"/>
        </w:rPr>
      </w:pPr>
      <w:r>
        <w:rPr>
          <w:rFonts w:hint="eastAsia" w:ascii="宋体" w:hAnsi="宋体" w:eastAsia="宋体" w:cs="宋体"/>
          <w:color w:val="auto"/>
          <w:szCs w:val="24"/>
          <w:highlight w:val="none"/>
        </w:rPr>
        <w:t>（二）其他商务资料</w:t>
      </w:r>
      <w:bookmarkStart w:id="164" w:name="_Toc101387459"/>
      <w:bookmarkStart w:id="165" w:name="_Toc80104371"/>
      <w:r>
        <w:rPr>
          <w:rFonts w:hint="eastAsia" w:ascii="宋体" w:hAnsi="宋体" w:eastAsia="宋体" w:cs="宋体"/>
          <w:color w:val="auto"/>
          <w:szCs w:val="24"/>
          <w:highlight w:val="none"/>
        </w:rPr>
        <w:t>（自附）</w:t>
      </w:r>
    </w:p>
    <w:p w14:paraId="2753C1FD">
      <w:pPr>
        <w:snapToGrid w:val="0"/>
        <w:spacing w:line="360" w:lineRule="auto"/>
        <w:ind w:firstLine="420" w:firstLineChars="200"/>
        <w:jc w:val="center"/>
        <w:rPr>
          <w:rFonts w:ascii="宋体" w:hAnsi="宋体"/>
          <w:color w:val="auto"/>
          <w:sz w:val="21"/>
          <w:szCs w:val="21"/>
          <w:highlight w:val="none"/>
        </w:rPr>
      </w:pPr>
    </w:p>
    <w:p w14:paraId="14A5B67E">
      <w:pPr>
        <w:snapToGrid w:val="0"/>
        <w:spacing w:line="360" w:lineRule="auto"/>
        <w:ind w:firstLine="480" w:firstLineChars="200"/>
        <w:jc w:val="center"/>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（可参照商务部分评分需要的资料提供，为方便专家评审，可自行编制目录）</w:t>
      </w:r>
    </w:p>
    <w:p w14:paraId="63E965E7">
      <w:pPr>
        <w:pStyle w:val="33"/>
        <w:rPr>
          <w:rFonts w:hint="eastAsia" w:ascii="宋体" w:hAnsi="宋体" w:eastAsia="宋体" w:cs="宋体"/>
          <w:color w:val="auto"/>
          <w:kern w:val="0"/>
          <w:sz w:val="24"/>
          <w:szCs w:val="24"/>
          <w:highlight w:val="none"/>
          <w:lang w:val="en-US" w:eastAsia="zh-CN" w:bidi="ar-SA"/>
        </w:rPr>
        <w:sectPr>
          <w:headerReference r:id="rId10" w:type="default"/>
          <w:pgSz w:w="11907" w:h="16840"/>
          <w:pgMar w:top="1134" w:right="1191" w:bottom="1134" w:left="1304" w:header="851" w:footer="850" w:gutter="0"/>
          <w:pgBorders>
            <w:top w:val="none" w:sz="0" w:space="0"/>
            <w:left w:val="none" w:sz="0" w:space="0"/>
            <w:bottom w:val="none" w:sz="0" w:space="0"/>
            <w:right w:val="none" w:sz="0" w:space="0"/>
          </w:pgBorders>
          <w:cols w:space="720" w:num="1"/>
          <w:docGrid w:linePitch="380" w:charSpace="-5735"/>
        </w:sectPr>
      </w:pPr>
    </w:p>
    <w:p w14:paraId="0540A926">
      <w:pPr>
        <w:pStyle w:val="30"/>
        <w:spacing w:line="540" w:lineRule="exact"/>
        <w:rPr>
          <w:rFonts w:hint="eastAsia" w:ascii="宋体" w:hAnsi="宋体" w:eastAsia="宋体" w:cs="宋体"/>
          <w:b/>
          <w:color w:val="auto"/>
          <w:sz w:val="40"/>
          <w:szCs w:val="22"/>
          <w:highlight w:val="none"/>
        </w:rPr>
      </w:pPr>
      <w:r>
        <w:rPr>
          <w:rFonts w:hint="eastAsia" w:ascii="宋体" w:hAnsi="宋体" w:eastAsia="宋体" w:cs="宋体"/>
          <w:b/>
          <w:color w:val="auto"/>
          <w:kern w:val="2"/>
          <w:sz w:val="32"/>
          <w:szCs w:val="32"/>
          <w:highlight w:val="none"/>
        </w:rPr>
        <w:t>四、资格条件</w:t>
      </w:r>
      <w:bookmarkEnd w:id="164"/>
      <w:bookmarkEnd w:id="165"/>
    </w:p>
    <w:p w14:paraId="4DE9E434">
      <w:pPr>
        <w:tabs>
          <w:tab w:val="left" w:pos="6300"/>
        </w:tabs>
        <w:snapToGrid w:val="0"/>
        <w:spacing w:line="500" w:lineRule="exact"/>
        <w:ind w:firstLine="480" w:firstLineChars="200"/>
        <w:rPr>
          <w:rFonts w:hint="eastAsia" w:ascii="宋体" w:hAnsi="宋体" w:eastAsia="宋体" w:cs="宋体"/>
          <w:color w:val="auto"/>
          <w:sz w:val="24"/>
          <w:szCs w:val="24"/>
          <w:highlight w:val="none"/>
        </w:rPr>
        <w:sectPr>
          <w:pgSz w:w="11907" w:h="16840"/>
          <w:pgMar w:top="1134" w:right="1191" w:bottom="1134" w:left="1304" w:header="851" w:footer="850" w:gutter="0"/>
          <w:pgBorders>
            <w:top w:val="none" w:sz="0" w:space="0"/>
            <w:left w:val="none" w:sz="0" w:space="0"/>
            <w:bottom w:val="none" w:sz="0" w:space="0"/>
            <w:right w:val="none" w:sz="0" w:space="0"/>
          </w:pgBorders>
          <w:cols w:space="720" w:num="1"/>
          <w:docGrid w:linePitch="380" w:charSpace="-5735"/>
        </w:sectPr>
      </w:pPr>
      <w:r>
        <w:rPr>
          <w:rFonts w:hint="eastAsia" w:ascii="宋体" w:hAnsi="宋体" w:eastAsia="宋体" w:cs="宋体"/>
          <w:color w:val="auto"/>
          <w:sz w:val="24"/>
          <w:szCs w:val="24"/>
          <w:highlight w:val="none"/>
        </w:rPr>
        <w:t>（一）法人营业执照（副本）或事业单位法人证书（副本）或个体工商户营业执照或有效的自然人身份证明或社会团体法人登记证书复印件。</w:t>
      </w:r>
    </w:p>
    <w:p w14:paraId="1FB17C4F">
      <w:pPr>
        <w:tabs>
          <w:tab w:val="left" w:pos="6300"/>
        </w:tabs>
        <w:snapToGrid w:val="0"/>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（二）法定代表人身份证明书</w:t>
      </w:r>
    </w:p>
    <w:p w14:paraId="0CDB0D00">
      <w:pPr>
        <w:pStyle w:val="8"/>
        <w:jc w:val="center"/>
        <w:rPr>
          <w:rFonts w:hint="eastAsia" w:ascii="宋体" w:hAnsi="宋体" w:eastAsia="宋体" w:cs="宋体"/>
          <w:b/>
          <w:bCs/>
          <w:color w:val="auto"/>
          <w:sz w:val="32"/>
          <w:szCs w:val="32"/>
          <w:highlight w:val="none"/>
        </w:rPr>
      </w:pPr>
    </w:p>
    <w:p w14:paraId="5E5D3B0C">
      <w:pPr>
        <w:pStyle w:val="8"/>
        <w:jc w:val="center"/>
        <w:rPr>
          <w:rFonts w:hint="eastAsia" w:ascii="宋体" w:hAnsi="宋体" w:eastAsia="宋体" w:cs="宋体"/>
          <w:color w:val="auto"/>
          <w:sz w:val="24"/>
          <w:highlight w:val="none"/>
        </w:rPr>
      </w:pPr>
      <w:r>
        <w:rPr>
          <w:rFonts w:hint="eastAsia" w:ascii="宋体" w:hAnsi="宋体" w:eastAsia="宋体" w:cs="宋体"/>
          <w:b/>
          <w:bCs/>
          <w:color w:val="auto"/>
          <w:sz w:val="32"/>
          <w:szCs w:val="32"/>
          <w:highlight w:val="none"/>
        </w:rPr>
        <w:t>法定代表人身份证明书</w:t>
      </w:r>
    </w:p>
    <w:p w14:paraId="5A185AE3">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项目名称：</w:t>
      </w:r>
      <w:r>
        <w:rPr>
          <w:rFonts w:hint="eastAsia" w:ascii="宋体" w:hAnsi="宋体" w:eastAsia="宋体" w:cs="宋体"/>
          <w:color w:val="auto"/>
          <w:sz w:val="24"/>
          <w:highlight w:val="none"/>
          <w:u w:val="single"/>
        </w:rPr>
        <w:t xml:space="preserve">                                                </w:t>
      </w:r>
    </w:p>
    <w:p w14:paraId="1C3F01F6">
      <w:pPr>
        <w:tabs>
          <w:tab w:val="left" w:pos="6300"/>
        </w:tabs>
        <w:snapToGrid w:val="0"/>
        <w:spacing w:line="500" w:lineRule="exact"/>
        <w:ind w:firstLine="570"/>
        <w:rPr>
          <w:rFonts w:hint="eastAsia" w:ascii="宋体" w:hAnsi="宋体" w:eastAsia="宋体" w:cs="宋体"/>
          <w:color w:val="auto"/>
          <w:sz w:val="24"/>
          <w:highlight w:val="none"/>
        </w:rPr>
      </w:pPr>
    </w:p>
    <w:p w14:paraId="2F9C7421">
      <w:pPr>
        <w:tabs>
          <w:tab w:val="left" w:pos="6300"/>
        </w:tabs>
        <w:snapToGrid w:val="0"/>
        <w:spacing w:line="5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（采购代理机构名称）：</w:t>
      </w:r>
    </w:p>
    <w:p w14:paraId="2854C88F">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（法定代表人姓名）在</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（供应商名称）任</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（职务名称）职务，是（供应商名称）</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的法定代表人。</w:t>
      </w:r>
    </w:p>
    <w:p w14:paraId="5CF0E555">
      <w:pPr>
        <w:tabs>
          <w:tab w:val="left" w:pos="6300"/>
        </w:tabs>
        <w:snapToGrid w:val="0"/>
        <w:spacing w:line="500" w:lineRule="exact"/>
        <w:ind w:firstLine="570"/>
        <w:rPr>
          <w:rFonts w:hint="eastAsia" w:ascii="宋体" w:hAnsi="宋体" w:eastAsia="宋体" w:cs="宋体"/>
          <w:color w:val="auto"/>
          <w:sz w:val="24"/>
          <w:highlight w:val="none"/>
        </w:rPr>
      </w:pPr>
    </w:p>
    <w:p w14:paraId="69E4D3EA">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特此证明。</w:t>
      </w:r>
    </w:p>
    <w:p w14:paraId="59444AE9">
      <w:pPr>
        <w:tabs>
          <w:tab w:val="left" w:pos="6300"/>
        </w:tabs>
        <w:snapToGrid w:val="0"/>
        <w:spacing w:line="500" w:lineRule="exact"/>
        <w:ind w:firstLine="570"/>
        <w:rPr>
          <w:rFonts w:hint="eastAsia" w:ascii="宋体" w:hAnsi="宋体" w:eastAsia="宋体" w:cs="宋体"/>
          <w:color w:val="auto"/>
          <w:sz w:val="24"/>
          <w:highlight w:val="none"/>
        </w:rPr>
      </w:pPr>
    </w:p>
    <w:p w14:paraId="0A1B4712">
      <w:pPr>
        <w:tabs>
          <w:tab w:val="left" w:pos="6300"/>
        </w:tabs>
        <w:snapToGrid w:val="0"/>
        <w:spacing w:line="500" w:lineRule="exact"/>
        <w:ind w:firstLine="570"/>
        <w:rPr>
          <w:rFonts w:hint="eastAsia" w:ascii="宋体" w:hAnsi="宋体" w:eastAsia="宋体" w:cs="宋体"/>
          <w:color w:val="auto"/>
          <w:sz w:val="24"/>
          <w:highlight w:val="none"/>
        </w:rPr>
      </w:pPr>
    </w:p>
    <w:p w14:paraId="00113E58">
      <w:pPr>
        <w:tabs>
          <w:tab w:val="left" w:pos="6300"/>
        </w:tabs>
        <w:snapToGrid w:val="0"/>
        <w:spacing w:line="500" w:lineRule="exact"/>
        <w:ind w:firstLine="570"/>
        <w:rPr>
          <w:rFonts w:hint="eastAsia" w:ascii="宋体" w:hAnsi="宋体" w:eastAsia="宋体" w:cs="宋体"/>
          <w:color w:val="auto"/>
          <w:sz w:val="24"/>
          <w:highlight w:val="none"/>
        </w:rPr>
      </w:pPr>
    </w:p>
    <w:p w14:paraId="1F4ED0CF">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（供应商公章）</w:t>
      </w:r>
    </w:p>
    <w:p w14:paraId="185637A2">
      <w:pPr>
        <w:tabs>
          <w:tab w:val="left" w:pos="6300"/>
        </w:tabs>
        <w:snapToGrid w:val="0"/>
        <w:spacing w:line="500" w:lineRule="exact"/>
        <w:ind w:firstLine="570"/>
        <w:rPr>
          <w:rFonts w:hint="eastAsia" w:ascii="宋体" w:hAnsi="宋体" w:eastAsia="宋体" w:cs="宋体"/>
          <w:color w:val="auto"/>
          <w:sz w:val="24"/>
          <w:highlight w:val="none"/>
        </w:rPr>
      </w:pPr>
    </w:p>
    <w:p w14:paraId="36510F1C">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年   月   日</w:t>
      </w:r>
    </w:p>
    <w:p w14:paraId="2574873B">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法定代表人电话：XXXXXXX      电子邮箱：XXXXXX@XXXXX（若授权他人办理并签署响应文件的可不填写）</w:t>
      </w:r>
    </w:p>
    <w:p w14:paraId="6D644A72">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（附：法定代表人身份证正反面复印件）</w:t>
      </w:r>
    </w:p>
    <w:p w14:paraId="790BBAC6">
      <w:pPr>
        <w:tabs>
          <w:tab w:val="left" w:pos="6300"/>
        </w:tabs>
        <w:snapToGrid w:val="0"/>
        <w:spacing w:line="500" w:lineRule="exact"/>
        <w:ind w:firstLine="570"/>
        <w:rPr>
          <w:rFonts w:hint="eastAsia" w:ascii="宋体" w:hAnsi="宋体" w:eastAsia="宋体" w:cs="宋体"/>
          <w:color w:val="auto"/>
          <w:sz w:val="24"/>
          <w:highlight w:val="none"/>
        </w:rPr>
      </w:pPr>
    </w:p>
    <w:p w14:paraId="2BD3B240">
      <w:pPr>
        <w:rPr>
          <w:rFonts w:hint="eastAsia" w:ascii="宋体" w:hAnsi="宋体" w:eastAsia="宋体" w:cs="宋体"/>
          <w:color w:val="auto"/>
          <w:szCs w:val="28"/>
          <w:highlight w:val="none"/>
        </w:rPr>
      </w:pPr>
      <w:r>
        <w:rPr>
          <w:rFonts w:hint="eastAsia" w:ascii="宋体" w:hAnsi="宋体" w:eastAsia="宋体" w:cs="宋体"/>
          <w:color w:val="auto"/>
          <w:szCs w:val="28"/>
          <w:highlight w:val="none"/>
        </w:rPr>
        <w:br w:type="page"/>
      </w:r>
    </w:p>
    <w:p w14:paraId="0F63E1BB">
      <w:pPr>
        <w:tabs>
          <w:tab w:val="left" w:pos="6300"/>
        </w:tabs>
        <w:snapToGrid w:val="0"/>
        <w:spacing w:line="50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（三）法定代表人授权委托书</w:t>
      </w:r>
    </w:p>
    <w:p w14:paraId="57FB51A4">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14:paraId="7E2CDC61">
      <w:pPr>
        <w:pStyle w:val="8"/>
        <w:jc w:val="center"/>
        <w:rPr>
          <w:rFonts w:hint="eastAsia" w:ascii="宋体" w:hAnsi="宋体" w:eastAsia="宋体" w:cs="宋体"/>
          <w:color w:val="auto"/>
          <w:sz w:val="24"/>
          <w:highlight w:val="none"/>
        </w:rPr>
      </w:pPr>
      <w:r>
        <w:rPr>
          <w:rFonts w:hint="eastAsia" w:ascii="宋体" w:hAnsi="宋体" w:eastAsia="宋体" w:cs="宋体"/>
          <w:b/>
          <w:bCs/>
          <w:color w:val="auto"/>
          <w:sz w:val="32"/>
          <w:szCs w:val="32"/>
          <w:highlight w:val="none"/>
        </w:rPr>
        <w:t>法定代表人授权委托书</w:t>
      </w:r>
    </w:p>
    <w:p w14:paraId="54F98649">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szCs w:val="28"/>
          <w:highlight w:val="none"/>
        </w:rPr>
        <w:t>项目名称</w:t>
      </w:r>
      <w:r>
        <w:rPr>
          <w:rFonts w:hint="eastAsia" w:ascii="宋体" w:hAnsi="宋体" w:eastAsia="宋体" w:cs="宋体"/>
          <w:color w:val="auto"/>
          <w:sz w:val="24"/>
          <w:highlight w:val="none"/>
        </w:rPr>
        <w:t>：</w:t>
      </w:r>
      <w:r>
        <w:rPr>
          <w:rFonts w:hint="eastAsia" w:ascii="宋体" w:hAnsi="宋体" w:eastAsia="宋体" w:cs="宋体"/>
          <w:color w:val="auto"/>
          <w:sz w:val="24"/>
          <w:highlight w:val="none"/>
          <w:u w:val="single"/>
        </w:rPr>
        <w:t xml:space="preserve">                                                </w:t>
      </w:r>
    </w:p>
    <w:p w14:paraId="0F13BCA8">
      <w:pPr>
        <w:tabs>
          <w:tab w:val="left" w:pos="6300"/>
        </w:tabs>
        <w:snapToGrid w:val="0"/>
        <w:spacing w:line="500" w:lineRule="exact"/>
        <w:ind w:firstLine="570"/>
        <w:rPr>
          <w:rFonts w:hint="eastAsia" w:ascii="宋体" w:hAnsi="宋体" w:eastAsia="宋体" w:cs="宋体"/>
          <w:color w:val="auto"/>
          <w:sz w:val="24"/>
          <w:highlight w:val="none"/>
        </w:rPr>
      </w:pPr>
    </w:p>
    <w:p w14:paraId="7DA46CFC">
      <w:pPr>
        <w:tabs>
          <w:tab w:val="left" w:pos="6300"/>
        </w:tabs>
        <w:snapToGrid w:val="0"/>
        <w:spacing w:line="5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（采购代理机构名称）：</w:t>
      </w:r>
    </w:p>
    <w:p w14:paraId="5E757A04">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（供应商法定代表人名称）是</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（供应商名称）的法定代表人，特授权</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（被授权人姓名及身份证代码）代表我单位全权办理上述项目的</w:t>
      </w:r>
      <w:r>
        <w:rPr>
          <w:rFonts w:hint="eastAsia" w:ascii="宋体" w:hAnsi="宋体" w:cs="宋体"/>
          <w:color w:val="auto"/>
          <w:sz w:val="24"/>
          <w:highlight w:val="none"/>
          <w:lang w:eastAsia="zh-CN"/>
        </w:rPr>
        <w:t>询比</w:t>
      </w:r>
      <w:r>
        <w:rPr>
          <w:rFonts w:hint="eastAsia" w:ascii="宋体" w:hAnsi="宋体" w:eastAsia="宋体" w:cs="宋体"/>
          <w:color w:val="auto"/>
          <w:sz w:val="24"/>
          <w:highlight w:val="none"/>
        </w:rPr>
        <w:t>、签约等具体工作，并签署全部有关文件、协议及合同。</w:t>
      </w:r>
    </w:p>
    <w:p w14:paraId="192A0653">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我单位对被授权人的</w:t>
      </w:r>
      <w:r>
        <w:rPr>
          <w:rFonts w:hint="eastAsia" w:ascii="宋体" w:hAnsi="宋体" w:eastAsia="宋体" w:cs="宋体"/>
          <w:color w:val="auto"/>
          <w:sz w:val="24"/>
          <w:szCs w:val="28"/>
          <w:highlight w:val="none"/>
        </w:rPr>
        <w:t>签署</w:t>
      </w:r>
      <w:r>
        <w:rPr>
          <w:rFonts w:hint="eastAsia" w:ascii="宋体" w:hAnsi="宋体" w:eastAsia="宋体" w:cs="宋体"/>
          <w:color w:val="auto"/>
          <w:sz w:val="24"/>
          <w:highlight w:val="none"/>
        </w:rPr>
        <w:t>负全部责任。</w:t>
      </w:r>
    </w:p>
    <w:p w14:paraId="1228B2CC">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在撤销授权的书面通知以前，本授权书一直有效。被授权人在授权书有效期内签署的所有文件不因授权的撤销而失效。</w:t>
      </w:r>
    </w:p>
    <w:p w14:paraId="4B95ADFD">
      <w:pPr>
        <w:tabs>
          <w:tab w:val="left" w:pos="6300"/>
        </w:tabs>
        <w:snapToGrid w:val="0"/>
        <w:spacing w:line="500" w:lineRule="exact"/>
        <w:ind w:firstLine="570"/>
        <w:rPr>
          <w:rFonts w:hint="eastAsia" w:ascii="宋体" w:hAnsi="宋体" w:eastAsia="宋体" w:cs="宋体"/>
          <w:color w:val="auto"/>
          <w:sz w:val="24"/>
          <w:highlight w:val="none"/>
        </w:rPr>
      </w:pPr>
    </w:p>
    <w:p w14:paraId="36FF1FE7">
      <w:pPr>
        <w:tabs>
          <w:tab w:val="left" w:pos="6300"/>
        </w:tabs>
        <w:snapToGrid w:val="0"/>
        <w:spacing w:line="500" w:lineRule="exact"/>
        <w:ind w:firstLine="570"/>
        <w:rPr>
          <w:rFonts w:hint="eastAsia" w:ascii="宋体" w:hAnsi="宋体" w:eastAsia="宋体" w:cs="宋体"/>
          <w:color w:val="auto"/>
          <w:sz w:val="24"/>
          <w:highlight w:val="none"/>
        </w:rPr>
      </w:pPr>
    </w:p>
    <w:p w14:paraId="6ED6636E">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被授权人：                                 供应商法定代表人：</w:t>
      </w:r>
    </w:p>
    <w:p w14:paraId="29D3E05B">
      <w:pPr>
        <w:tabs>
          <w:tab w:val="left" w:pos="6300"/>
        </w:tabs>
        <w:snapToGrid w:val="0"/>
        <w:spacing w:line="500" w:lineRule="exact"/>
        <w:ind w:firstLine="570"/>
        <w:rPr>
          <w:rFonts w:hint="eastAsia" w:ascii="宋体" w:hAnsi="宋体" w:eastAsia="宋体" w:cs="宋体"/>
          <w:color w:val="auto"/>
          <w:sz w:val="24"/>
          <w:szCs w:val="28"/>
          <w:highlight w:val="none"/>
        </w:rPr>
      </w:pPr>
      <w:r>
        <w:rPr>
          <w:rFonts w:hint="eastAsia" w:ascii="宋体" w:hAnsi="宋体" w:eastAsia="宋体" w:cs="宋体"/>
          <w:color w:val="auto"/>
          <w:sz w:val="24"/>
          <w:szCs w:val="28"/>
          <w:highlight w:val="none"/>
        </w:rPr>
        <w:t>（签署或盖章）                                （签署或盖章）</w:t>
      </w:r>
    </w:p>
    <w:p w14:paraId="3D487426">
      <w:pPr>
        <w:tabs>
          <w:tab w:val="left" w:pos="6300"/>
        </w:tabs>
        <w:snapToGrid w:val="0"/>
        <w:spacing w:line="500" w:lineRule="exact"/>
        <w:ind w:firstLine="570"/>
        <w:rPr>
          <w:rFonts w:hint="eastAsia" w:ascii="宋体" w:hAnsi="宋体" w:eastAsia="宋体" w:cs="宋体"/>
          <w:color w:val="auto"/>
          <w:sz w:val="24"/>
          <w:szCs w:val="28"/>
          <w:highlight w:val="none"/>
        </w:rPr>
      </w:pPr>
    </w:p>
    <w:p w14:paraId="3A5AB67F">
      <w:pPr>
        <w:tabs>
          <w:tab w:val="left" w:pos="6300"/>
        </w:tabs>
        <w:snapToGrid w:val="0"/>
        <w:spacing w:line="500" w:lineRule="exact"/>
        <w:ind w:firstLine="570"/>
        <w:rPr>
          <w:rFonts w:hint="eastAsia" w:ascii="宋体" w:hAnsi="宋体" w:eastAsia="宋体" w:cs="宋体"/>
          <w:color w:val="auto"/>
          <w:sz w:val="24"/>
          <w:highlight w:val="none"/>
        </w:rPr>
      </w:pPr>
    </w:p>
    <w:p w14:paraId="012D8426">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（附：被授权人身份证正反面复印件）</w:t>
      </w:r>
    </w:p>
    <w:p w14:paraId="185527DC">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14:paraId="7952EA81">
      <w:pPr>
        <w:tabs>
          <w:tab w:val="left" w:pos="6300"/>
        </w:tabs>
        <w:snapToGrid w:val="0"/>
        <w:spacing w:line="500" w:lineRule="exact"/>
        <w:ind w:firstLine="570"/>
        <w:rPr>
          <w:rFonts w:hint="eastAsia" w:ascii="宋体" w:hAnsi="宋体" w:eastAsia="宋体" w:cs="宋体"/>
          <w:color w:val="auto"/>
          <w:sz w:val="24"/>
          <w:highlight w:val="none"/>
        </w:rPr>
      </w:pPr>
    </w:p>
    <w:p w14:paraId="31AC1638">
      <w:pPr>
        <w:tabs>
          <w:tab w:val="left" w:pos="6300"/>
        </w:tabs>
        <w:snapToGrid w:val="0"/>
        <w:spacing w:line="500" w:lineRule="exact"/>
        <w:ind w:firstLine="570"/>
        <w:rPr>
          <w:rFonts w:hint="eastAsia" w:ascii="宋体" w:hAnsi="宋体" w:eastAsia="宋体" w:cs="宋体"/>
          <w:color w:val="auto"/>
          <w:sz w:val="24"/>
          <w:highlight w:val="none"/>
        </w:rPr>
      </w:pPr>
    </w:p>
    <w:p w14:paraId="1E717795">
      <w:pPr>
        <w:tabs>
          <w:tab w:val="left" w:pos="6300"/>
        </w:tabs>
        <w:snapToGrid w:val="0"/>
        <w:spacing w:line="500" w:lineRule="exact"/>
        <w:ind w:right="480" w:firstLine="570"/>
        <w:jc w:val="right"/>
        <w:rPr>
          <w:rFonts w:hint="eastAsia" w:ascii="宋体" w:hAnsi="宋体" w:eastAsia="宋体" w:cs="宋体"/>
          <w:color w:val="auto"/>
          <w:sz w:val="24"/>
          <w:highlight w:val="none"/>
        </w:rPr>
      </w:pPr>
      <w:r>
        <w:rPr>
          <w:rFonts w:hint="eastAsia" w:ascii="宋体" w:hAnsi="宋体" w:eastAsia="宋体" w:cs="宋体"/>
          <w:color w:val="auto"/>
          <w:sz w:val="24"/>
          <w:highlight w:val="none"/>
        </w:rPr>
        <w:t>（供应商公章）</w:t>
      </w:r>
    </w:p>
    <w:p w14:paraId="4D778F1F">
      <w:pPr>
        <w:tabs>
          <w:tab w:val="left" w:pos="6300"/>
        </w:tabs>
        <w:snapToGrid w:val="0"/>
        <w:spacing w:line="500" w:lineRule="exact"/>
        <w:ind w:right="480" w:firstLine="570"/>
        <w:jc w:val="right"/>
        <w:rPr>
          <w:rFonts w:hint="eastAsia" w:ascii="宋体" w:hAnsi="宋体" w:eastAsia="宋体" w:cs="宋体"/>
          <w:color w:val="auto"/>
          <w:sz w:val="24"/>
          <w:highlight w:val="none"/>
        </w:rPr>
      </w:pPr>
      <w:r>
        <w:rPr>
          <w:rFonts w:hint="eastAsia" w:ascii="宋体" w:hAnsi="宋体" w:eastAsia="宋体" w:cs="宋体"/>
          <w:color w:val="auto"/>
          <w:sz w:val="24"/>
          <w:highlight w:val="none"/>
        </w:rPr>
        <w:t>年   月   日</w:t>
      </w:r>
    </w:p>
    <w:p w14:paraId="106D4FBD">
      <w:pPr>
        <w:tabs>
          <w:tab w:val="left" w:pos="6300"/>
        </w:tabs>
        <w:snapToGrid w:val="0"/>
        <w:spacing w:line="500" w:lineRule="exact"/>
        <w:ind w:right="480" w:firstLine="57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被授权人电话：XXXXXXX     电子邮箱：XXXXXX@XXXXX（若法定代表人办理并签署响应文件的可不填写）</w:t>
      </w:r>
    </w:p>
    <w:p w14:paraId="1E0919D5">
      <w:pPr>
        <w:tabs>
          <w:tab w:val="left" w:pos="6300"/>
        </w:tabs>
        <w:snapToGrid w:val="0"/>
        <w:spacing w:line="500" w:lineRule="exact"/>
        <w:ind w:right="480" w:firstLine="57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注：</w:t>
      </w:r>
    </w:p>
    <w:p w14:paraId="67335F0B">
      <w:pPr>
        <w:tabs>
          <w:tab w:val="left" w:pos="6300"/>
        </w:tabs>
        <w:snapToGrid w:val="0"/>
        <w:spacing w:line="500" w:lineRule="exact"/>
        <w:ind w:right="480" w:firstLine="57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1.若为法定代表人办理并签署响应文件的，不提供此文件。</w:t>
      </w:r>
    </w:p>
    <w:p w14:paraId="41A9B65F">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2.若为联合体参与的，法定代表人授权委托书由联合体主办方</w:t>
      </w:r>
      <w:r>
        <w:rPr>
          <w:rFonts w:hint="eastAsia" w:ascii="宋体" w:hAnsi="宋体" w:eastAsia="宋体" w:cs="宋体"/>
          <w:color w:val="auto"/>
          <w:kern w:val="0"/>
          <w:sz w:val="24"/>
          <w:szCs w:val="24"/>
          <w:highlight w:val="none"/>
        </w:rPr>
        <w:t>（主体）</w:t>
      </w:r>
      <w:r>
        <w:rPr>
          <w:rFonts w:hint="eastAsia" w:ascii="宋体" w:hAnsi="宋体" w:eastAsia="宋体" w:cs="宋体"/>
          <w:color w:val="auto"/>
          <w:sz w:val="24"/>
          <w:highlight w:val="none"/>
        </w:rPr>
        <w:t>出具。</w:t>
      </w:r>
    </w:p>
    <w:p w14:paraId="695B4ED5">
      <w:pPr>
        <w:rPr>
          <w:rFonts w:hint="eastAsia" w:ascii="宋体" w:hAnsi="宋体" w:eastAsia="宋体" w:cs="宋体"/>
          <w:color w:val="auto"/>
          <w:szCs w:val="28"/>
          <w:highlight w:val="none"/>
        </w:rPr>
      </w:pPr>
      <w:r>
        <w:rPr>
          <w:rFonts w:hint="eastAsia" w:ascii="宋体" w:hAnsi="宋体" w:eastAsia="宋体" w:cs="宋体"/>
          <w:color w:val="auto"/>
          <w:szCs w:val="28"/>
          <w:highlight w:val="none"/>
        </w:rPr>
        <w:br w:type="page"/>
      </w:r>
    </w:p>
    <w:p w14:paraId="3C54A36D">
      <w:pPr>
        <w:tabs>
          <w:tab w:val="left" w:pos="6300"/>
        </w:tabs>
        <w:snapToGrid w:val="0"/>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（四）基本资格条件承诺函</w:t>
      </w:r>
    </w:p>
    <w:p w14:paraId="65743586">
      <w:pPr>
        <w:tabs>
          <w:tab w:val="left" w:pos="6300"/>
        </w:tabs>
        <w:snapToGrid w:val="0"/>
        <w:spacing w:line="500" w:lineRule="exact"/>
        <w:ind w:firstLine="720" w:firstLineChars="200"/>
        <w:jc w:val="center"/>
        <w:rPr>
          <w:rFonts w:hint="eastAsia" w:ascii="宋体" w:hAnsi="宋体" w:eastAsia="宋体" w:cs="宋体"/>
          <w:color w:val="auto"/>
          <w:sz w:val="36"/>
          <w:szCs w:val="36"/>
          <w:highlight w:val="none"/>
        </w:rPr>
      </w:pPr>
    </w:p>
    <w:p w14:paraId="3D5F2955">
      <w:pPr>
        <w:tabs>
          <w:tab w:val="left" w:pos="6300"/>
        </w:tabs>
        <w:snapToGrid w:val="0"/>
        <w:spacing w:line="500" w:lineRule="exact"/>
        <w:ind w:firstLine="643" w:firstLineChars="200"/>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基本资格条件承诺函</w:t>
      </w:r>
    </w:p>
    <w:p w14:paraId="041B39A0">
      <w:pPr>
        <w:tabs>
          <w:tab w:val="left" w:pos="6300"/>
        </w:tabs>
        <w:snapToGrid w:val="0"/>
        <w:spacing w:line="530" w:lineRule="exact"/>
        <w:rPr>
          <w:rFonts w:hint="eastAsia" w:ascii="宋体" w:hAnsi="宋体" w:eastAsia="宋体" w:cs="宋体"/>
          <w:color w:val="auto"/>
          <w:sz w:val="24"/>
          <w:highlight w:val="none"/>
        </w:rPr>
      </w:pPr>
    </w:p>
    <w:p w14:paraId="20EE1C52">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（采购代理机构名称）：</w:t>
      </w:r>
    </w:p>
    <w:p w14:paraId="0AEC1982">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（供应商名称）郑重承诺：</w:t>
      </w:r>
    </w:p>
    <w:p w14:paraId="55C5B84A">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1.我方具有良好的商业信誉和健全的财务会计制度，具有履行合同所必需的设备和专业技术能力，具</w:t>
      </w:r>
      <w:r>
        <w:rPr>
          <w:rFonts w:hint="eastAsia" w:ascii="宋体" w:hAnsi="宋体" w:eastAsia="宋体" w:cs="宋体"/>
          <w:color w:val="auto"/>
          <w:sz w:val="24"/>
          <w:highlight w:val="none"/>
          <w:lang w:val="zh-CN"/>
        </w:rPr>
        <w:t>有依法缴纳税收和社会保障金的良好记录</w:t>
      </w:r>
      <w:r>
        <w:rPr>
          <w:rFonts w:hint="eastAsia" w:ascii="宋体" w:hAnsi="宋体" w:eastAsia="宋体" w:cs="宋体"/>
          <w:color w:val="auto"/>
          <w:sz w:val="24"/>
          <w:highlight w:val="none"/>
        </w:rPr>
        <w:t>，参加本项目采购活动前三年内无重大违法活动记录。</w:t>
      </w:r>
    </w:p>
    <w:p w14:paraId="75E4E485">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2.我方未列入在信用中国网站（www.creditchina.gov.cn）“失信被执行人”、“重大税收违法案件当事人名单”中，也未列入中国政府采购网（www.ccgp.gov.cn）“政府采购严重违法失信行为记录名单”中。</w:t>
      </w:r>
    </w:p>
    <w:p w14:paraId="3967E32D">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3.我方在采购项目评审（评标）环节结束后，随时接受采购人、采购代理机构的检查验证，配合提供相关证明材料，证明符合《中华人民共和国政府采购法》规定的供应商基本资格条件。</w:t>
      </w:r>
    </w:p>
    <w:p w14:paraId="584E40C8">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我方对以上承诺负全部法律责任。</w:t>
      </w:r>
    </w:p>
    <w:p w14:paraId="5CBD8DF7">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特此承诺。</w:t>
      </w:r>
    </w:p>
    <w:p w14:paraId="3F9F1D64">
      <w:pPr>
        <w:tabs>
          <w:tab w:val="left" w:pos="6300"/>
        </w:tabs>
        <w:snapToGrid w:val="0"/>
        <w:spacing w:line="500" w:lineRule="exact"/>
        <w:ind w:firstLine="480" w:firstLineChars="200"/>
        <w:rPr>
          <w:rFonts w:hint="eastAsia" w:ascii="宋体" w:hAnsi="宋体" w:eastAsia="宋体" w:cs="宋体"/>
          <w:color w:val="auto"/>
          <w:sz w:val="24"/>
          <w:highlight w:val="none"/>
        </w:rPr>
      </w:pPr>
    </w:p>
    <w:p w14:paraId="3AB6E870">
      <w:pPr>
        <w:tabs>
          <w:tab w:val="left" w:pos="6300"/>
        </w:tabs>
        <w:snapToGrid w:val="0"/>
        <w:spacing w:line="500" w:lineRule="exact"/>
        <w:ind w:firstLine="480" w:firstLineChars="200"/>
        <w:jc w:val="right"/>
        <w:rPr>
          <w:rFonts w:hint="eastAsia" w:ascii="宋体" w:hAnsi="宋体" w:eastAsia="宋体" w:cs="宋体"/>
          <w:color w:val="auto"/>
          <w:sz w:val="24"/>
          <w:highlight w:val="none"/>
        </w:rPr>
      </w:pPr>
      <w:r>
        <w:rPr>
          <w:rFonts w:hint="eastAsia" w:ascii="宋体" w:hAnsi="宋体" w:eastAsia="宋体" w:cs="宋体"/>
          <w:color w:val="auto"/>
          <w:sz w:val="24"/>
          <w:highlight w:val="none"/>
        </w:rPr>
        <w:t>（供应商公章）</w:t>
      </w:r>
    </w:p>
    <w:p w14:paraId="2D34A8D0">
      <w:pPr>
        <w:tabs>
          <w:tab w:val="left" w:pos="6300"/>
        </w:tabs>
        <w:snapToGrid w:val="0"/>
        <w:spacing w:line="500" w:lineRule="exact"/>
        <w:ind w:firstLine="7920" w:firstLineChars="3300"/>
        <w:rPr>
          <w:rFonts w:hint="eastAsia" w:ascii="宋体" w:hAnsi="宋体" w:eastAsia="宋体" w:cs="宋体"/>
          <w:color w:val="auto"/>
          <w:sz w:val="24"/>
          <w:szCs w:val="24"/>
          <w:highlight w:val="none"/>
        </w:rPr>
      </w:pPr>
      <w:r>
        <w:rPr>
          <w:rFonts w:hint="eastAsia" w:ascii="宋体" w:hAnsi="宋体" w:eastAsia="宋体" w:cs="宋体"/>
          <w:color w:val="auto"/>
          <w:sz w:val="24"/>
          <w:highlight w:val="none"/>
        </w:rPr>
        <w:t>年   月   日</w:t>
      </w:r>
    </w:p>
    <w:p w14:paraId="03CD734B">
      <w:pPr>
        <w:pStyle w:val="8"/>
        <w:rPr>
          <w:rFonts w:hint="eastAsia" w:ascii="宋体" w:hAnsi="宋体" w:eastAsia="宋体" w:cs="宋体"/>
          <w:color w:val="auto"/>
          <w:highlight w:val="none"/>
        </w:rPr>
        <w:sectPr>
          <w:pgSz w:w="11907" w:h="16840"/>
          <w:pgMar w:top="1134" w:right="1191" w:bottom="1134" w:left="1304" w:header="851" w:footer="850" w:gutter="0"/>
          <w:pgBorders>
            <w:top w:val="none" w:sz="0" w:space="0"/>
            <w:left w:val="none" w:sz="0" w:space="0"/>
            <w:bottom w:val="none" w:sz="0" w:space="0"/>
            <w:right w:val="none" w:sz="0" w:space="0"/>
          </w:pgBorders>
          <w:cols w:space="720" w:num="1"/>
          <w:docGrid w:linePitch="380" w:charSpace="-5735"/>
        </w:sectPr>
      </w:pPr>
      <w:r>
        <w:rPr>
          <w:rFonts w:hint="eastAsia" w:ascii="宋体" w:hAnsi="宋体" w:eastAsia="宋体" w:cs="宋体"/>
          <w:color w:val="auto"/>
          <w:highlight w:val="none"/>
        </w:rPr>
        <w:br w:type="page"/>
      </w:r>
    </w:p>
    <w:p w14:paraId="675E8C16">
      <w:pPr>
        <w:tabs>
          <w:tab w:val="left" w:pos="6300"/>
        </w:tabs>
        <w:snapToGrid w:val="0"/>
        <w:spacing w:line="500" w:lineRule="exact"/>
        <w:rPr>
          <w:rFonts w:hint="eastAsia" w:ascii="宋体" w:hAnsi="宋体" w:eastAsia="宋体" w:cs="宋体"/>
          <w:color w:val="auto"/>
          <w:szCs w:val="28"/>
          <w:highlight w:val="none"/>
        </w:rPr>
      </w:pPr>
      <w:r>
        <w:rPr>
          <w:rFonts w:hint="eastAsia" w:ascii="宋体" w:hAnsi="宋体" w:eastAsia="宋体" w:cs="宋体"/>
          <w:color w:val="auto"/>
          <w:szCs w:val="28"/>
          <w:highlight w:val="none"/>
        </w:rPr>
        <w:t>（五）特定资格条件证明文件（如有）</w:t>
      </w:r>
    </w:p>
    <w:p w14:paraId="5B29C9EF">
      <w:pPr>
        <w:pStyle w:val="22"/>
        <w:ind w:firstLine="0"/>
        <w:rPr>
          <w:rFonts w:hint="eastAsia" w:ascii="宋体" w:hAnsi="宋体" w:eastAsia="宋体" w:cs="宋体"/>
          <w:b/>
          <w:color w:val="auto"/>
          <w:sz w:val="32"/>
          <w:szCs w:val="32"/>
          <w:highlight w:val="none"/>
        </w:rPr>
        <w:sectPr>
          <w:pgSz w:w="11907" w:h="16840"/>
          <w:pgMar w:top="1134" w:right="1191" w:bottom="1134" w:left="1304" w:header="851" w:footer="850" w:gutter="0"/>
          <w:pgBorders>
            <w:top w:val="none" w:sz="0" w:space="0"/>
            <w:left w:val="none" w:sz="0" w:space="0"/>
            <w:bottom w:val="none" w:sz="0" w:space="0"/>
            <w:right w:val="none" w:sz="0" w:space="0"/>
          </w:pgBorders>
          <w:cols w:space="720" w:num="1"/>
          <w:docGrid w:linePitch="380" w:charSpace="-5735"/>
        </w:sectPr>
      </w:pPr>
      <w:bookmarkStart w:id="166" w:name="_Toc101387460"/>
    </w:p>
    <w:p w14:paraId="0478D8C8">
      <w:pPr>
        <w:pStyle w:val="22"/>
        <w:ind w:firstLine="0"/>
        <w:rPr>
          <w:rFonts w:hint="eastAsia" w:ascii="宋体" w:hAnsi="宋体" w:cs="宋体"/>
          <w:b/>
          <w:color w:val="auto"/>
          <w:sz w:val="32"/>
          <w:szCs w:val="32"/>
          <w:highlight w:val="none"/>
          <w:lang w:eastAsia="zh-CN"/>
        </w:rPr>
      </w:pPr>
      <w:r>
        <w:rPr>
          <w:rFonts w:hint="eastAsia" w:ascii="宋体" w:hAnsi="宋体" w:eastAsia="宋体" w:cs="宋体"/>
          <w:b/>
          <w:color w:val="auto"/>
          <w:sz w:val="32"/>
          <w:szCs w:val="32"/>
          <w:highlight w:val="none"/>
        </w:rPr>
        <w:t>五、</w:t>
      </w:r>
      <w:r>
        <w:rPr>
          <w:rFonts w:hint="eastAsia" w:ascii="宋体" w:hAnsi="宋体" w:cs="宋体"/>
          <w:b/>
          <w:color w:val="auto"/>
          <w:sz w:val="32"/>
          <w:szCs w:val="32"/>
          <w:highlight w:val="none"/>
          <w:lang w:eastAsia="zh-CN"/>
        </w:rPr>
        <w:t>其他资料</w:t>
      </w:r>
    </w:p>
    <w:bookmarkEnd w:id="166"/>
    <w:p w14:paraId="5895E3CA">
      <w:pPr>
        <w:rPr>
          <w:rFonts w:hint="eastAsia" w:ascii="宋体" w:hAnsi="宋体" w:eastAsia="宋体" w:cs="宋体"/>
          <w:color w:val="auto"/>
          <w:highlight w:val="none"/>
        </w:rPr>
      </w:pPr>
    </w:p>
    <w:p w14:paraId="2EB7D095">
      <w:pPr>
        <w:pStyle w:val="22"/>
        <w:rPr>
          <w:rFonts w:hint="eastAsia" w:ascii="宋体" w:hAnsi="宋体" w:eastAsia="宋体" w:cs="宋体"/>
          <w:color w:val="auto"/>
          <w:highlight w:val="none"/>
        </w:rPr>
      </w:pPr>
    </w:p>
    <w:p w14:paraId="5A504F18">
      <w:pPr>
        <w:rPr>
          <w:rFonts w:hint="eastAsia" w:ascii="宋体" w:hAnsi="宋体" w:eastAsia="宋体" w:cs="宋体"/>
          <w:color w:val="auto"/>
          <w:highlight w:val="none"/>
        </w:rPr>
      </w:pPr>
    </w:p>
    <w:p w14:paraId="340449FB">
      <w:pPr>
        <w:pStyle w:val="22"/>
        <w:rPr>
          <w:rFonts w:hint="eastAsia" w:ascii="宋体" w:hAnsi="宋体" w:eastAsia="宋体" w:cs="宋体"/>
          <w:color w:val="auto"/>
          <w:highlight w:val="none"/>
        </w:rPr>
      </w:pPr>
    </w:p>
    <w:p w14:paraId="0853578B">
      <w:pPr>
        <w:rPr>
          <w:rFonts w:hint="eastAsia" w:ascii="宋体" w:hAnsi="宋体" w:eastAsia="宋体" w:cs="宋体"/>
          <w:color w:val="auto"/>
          <w:highlight w:val="none"/>
        </w:rPr>
      </w:pPr>
    </w:p>
    <w:p w14:paraId="5023FEAC">
      <w:pPr>
        <w:pStyle w:val="22"/>
        <w:rPr>
          <w:rFonts w:hint="eastAsia" w:ascii="宋体" w:hAnsi="宋体" w:eastAsia="宋体" w:cs="宋体"/>
          <w:color w:val="auto"/>
          <w:highlight w:val="none"/>
        </w:rPr>
      </w:pPr>
    </w:p>
    <w:p w14:paraId="1CAF4997">
      <w:pPr>
        <w:rPr>
          <w:rFonts w:hint="eastAsia" w:ascii="宋体" w:hAnsi="宋体" w:eastAsia="宋体" w:cs="宋体"/>
          <w:color w:val="auto"/>
          <w:highlight w:val="none"/>
        </w:rPr>
      </w:pPr>
    </w:p>
    <w:p w14:paraId="5032BFDE">
      <w:pPr>
        <w:pStyle w:val="22"/>
        <w:rPr>
          <w:rFonts w:hint="eastAsia" w:ascii="宋体" w:hAnsi="宋体" w:eastAsia="宋体" w:cs="宋体"/>
          <w:color w:val="auto"/>
          <w:highlight w:val="none"/>
        </w:rPr>
      </w:pPr>
    </w:p>
    <w:p w14:paraId="3F18A214">
      <w:pPr>
        <w:rPr>
          <w:rFonts w:hint="eastAsia" w:ascii="宋体" w:hAnsi="宋体" w:eastAsia="宋体" w:cs="宋体"/>
          <w:color w:val="auto"/>
          <w:highlight w:val="none"/>
        </w:rPr>
      </w:pPr>
    </w:p>
    <w:p w14:paraId="54864E42">
      <w:pPr>
        <w:pStyle w:val="22"/>
        <w:rPr>
          <w:rFonts w:hint="eastAsia" w:ascii="宋体" w:hAnsi="宋体" w:eastAsia="宋体" w:cs="宋体"/>
          <w:color w:val="auto"/>
          <w:highlight w:val="none"/>
        </w:rPr>
      </w:pPr>
    </w:p>
    <w:p w14:paraId="645C56EE">
      <w:pPr>
        <w:rPr>
          <w:rFonts w:hint="eastAsia" w:ascii="宋体" w:hAnsi="宋体" w:eastAsia="宋体" w:cs="宋体"/>
          <w:color w:val="auto"/>
          <w:highlight w:val="none"/>
        </w:rPr>
      </w:pPr>
    </w:p>
    <w:p w14:paraId="4244B5EA">
      <w:pPr>
        <w:pStyle w:val="22"/>
        <w:rPr>
          <w:rFonts w:hint="eastAsia" w:ascii="宋体" w:hAnsi="宋体" w:eastAsia="宋体" w:cs="宋体"/>
          <w:color w:val="auto"/>
          <w:highlight w:val="none"/>
        </w:rPr>
      </w:pPr>
    </w:p>
    <w:p w14:paraId="550DE604">
      <w:pPr>
        <w:rPr>
          <w:rFonts w:hint="eastAsia" w:ascii="宋体" w:hAnsi="宋体" w:eastAsia="宋体" w:cs="宋体"/>
          <w:color w:val="auto"/>
          <w:highlight w:val="none"/>
        </w:rPr>
      </w:pPr>
    </w:p>
    <w:p w14:paraId="7083F5E6">
      <w:pPr>
        <w:pStyle w:val="22"/>
        <w:rPr>
          <w:rFonts w:hint="eastAsia" w:ascii="宋体" w:hAnsi="宋体" w:eastAsia="宋体" w:cs="宋体"/>
          <w:color w:val="auto"/>
          <w:highlight w:val="none"/>
        </w:rPr>
      </w:pPr>
    </w:p>
    <w:p w14:paraId="2E3F4D50">
      <w:pPr>
        <w:rPr>
          <w:rFonts w:hint="eastAsia" w:ascii="宋体" w:hAnsi="宋体" w:eastAsia="宋体" w:cs="宋体"/>
          <w:color w:val="auto"/>
          <w:highlight w:val="none"/>
        </w:rPr>
      </w:pPr>
    </w:p>
    <w:p w14:paraId="05E6AD54">
      <w:pPr>
        <w:pStyle w:val="22"/>
        <w:rPr>
          <w:rFonts w:hint="eastAsia" w:ascii="宋体" w:hAnsi="宋体" w:eastAsia="宋体" w:cs="宋体"/>
          <w:color w:val="auto"/>
          <w:highlight w:val="none"/>
        </w:rPr>
      </w:pPr>
    </w:p>
    <w:p w14:paraId="3DBDD5E5">
      <w:pPr>
        <w:rPr>
          <w:rFonts w:hint="eastAsia" w:ascii="宋体" w:hAnsi="宋体" w:eastAsia="宋体" w:cs="宋体"/>
          <w:color w:val="auto"/>
          <w:highlight w:val="none"/>
        </w:rPr>
      </w:pPr>
    </w:p>
    <w:p w14:paraId="77840048">
      <w:pPr>
        <w:pStyle w:val="22"/>
        <w:rPr>
          <w:rFonts w:hint="eastAsia" w:ascii="宋体" w:hAnsi="宋体" w:eastAsia="宋体" w:cs="宋体"/>
          <w:color w:val="auto"/>
          <w:highlight w:val="none"/>
        </w:rPr>
      </w:pPr>
    </w:p>
    <w:p w14:paraId="5FF8C077">
      <w:pPr>
        <w:rPr>
          <w:rFonts w:hint="eastAsia" w:ascii="宋体" w:hAnsi="宋体" w:eastAsia="宋体" w:cs="宋体"/>
          <w:color w:val="auto"/>
          <w:highlight w:val="none"/>
        </w:rPr>
      </w:pPr>
    </w:p>
    <w:p w14:paraId="4E1FF93E">
      <w:pPr>
        <w:pStyle w:val="22"/>
        <w:rPr>
          <w:rFonts w:hint="eastAsia" w:ascii="宋体" w:hAnsi="宋体" w:eastAsia="宋体" w:cs="宋体"/>
          <w:color w:val="auto"/>
          <w:highlight w:val="none"/>
        </w:rPr>
      </w:pPr>
    </w:p>
    <w:p w14:paraId="28FAD73D">
      <w:pPr>
        <w:rPr>
          <w:rFonts w:hint="eastAsia" w:ascii="宋体" w:hAnsi="宋体" w:eastAsia="宋体" w:cs="宋体"/>
          <w:color w:val="auto"/>
          <w:highlight w:val="none"/>
        </w:rPr>
      </w:pPr>
    </w:p>
    <w:p w14:paraId="4FF9AA89">
      <w:pPr>
        <w:pStyle w:val="36"/>
        <w:ind w:firstLine="480"/>
        <w:rPr>
          <w:rFonts w:hint="eastAsia" w:ascii="宋体" w:hAnsi="宋体" w:eastAsia="宋体" w:cs="宋体"/>
          <w:color w:val="auto"/>
          <w:highlight w:val="none"/>
        </w:rPr>
      </w:pPr>
      <w:bookmarkStart w:id="167" w:name="_Toc25402"/>
      <w:bookmarkStart w:id="168" w:name="_Toc17153"/>
      <w:bookmarkStart w:id="169" w:name="_Toc7382"/>
      <w:r>
        <w:rPr>
          <w:rFonts w:hint="eastAsia" w:ascii="宋体" w:hAnsi="宋体" w:eastAsia="宋体" w:cs="宋体"/>
          <w:color w:val="auto"/>
          <w:highlight w:val="none"/>
        </w:rPr>
        <w:t>（结束）</w:t>
      </w:r>
      <w:bookmarkEnd w:id="167"/>
      <w:bookmarkEnd w:id="168"/>
      <w:bookmarkEnd w:id="169"/>
      <w:bookmarkStart w:id="170" w:name="_Toc19707"/>
      <w:bookmarkStart w:id="171" w:name="_Toc22835"/>
      <w:bookmarkStart w:id="172" w:name="_Toc32111"/>
      <w:bookmarkStart w:id="173" w:name="_Toc477027621"/>
      <w:bookmarkStart w:id="174" w:name="_Toc21179"/>
      <w:bookmarkStart w:id="175" w:name="_Toc24258"/>
      <w:bookmarkStart w:id="176" w:name="_Toc18063"/>
      <w:bookmarkStart w:id="177" w:name="_Toc20722"/>
      <w:bookmarkStart w:id="178" w:name="_Toc8321"/>
      <w:bookmarkStart w:id="179" w:name="_Toc10567"/>
      <w:bookmarkStart w:id="180" w:name="_Toc26458"/>
      <w:bookmarkStart w:id="181" w:name="_Toc13336"/>
    </w:p>
    <w:p w14:paraId="3B8B7109">
      <w:pPr>
        <w:pStyle w:val="36"/>
        <w:ind w:firstLine="480"/>
        <w:rPr>
          <w:rFonts w:hint="eastAsia" w:ascii="宋体" w:hAnsi="宋体" w:eastAsia="宋体" w:cs="宋体"/>
          <w:color w:val="auto"/>
          <w:highlight w:val="none"/>
        </w:rPr>
      </w:pPr>
    </w:p>
    <w:p w14:paraId="4112C39E">
      <w:pPr>
        <w:pStyle w:val="36"/>
        <w:ind w:firstLine="480"/>
        <w:rPr>
          <w:rFonts w:hint="eastAsia" w:ascii="宋体" w:hAnsi="宋体" w:eastAsia="宋体" w:cs="宋体"/>
          <w:color w:val="auto"/>
          <w:highlight w:val="none"/>
        </w:rPr>
      </w:pPr>
    </w:p>
    <w:p w14:paraId="494E6E13">
      <w:pPr>
        <w:pStyle w:val="36"/>
        <w:ind w:firstLine="480"/>
        <w:rPr>
          <w:rFonts w:hint="eastAsia" w:ascii="宋体" w:hAnsi="宋体" w:eastAsia="宋体" w:cs="宋体"/>
          <w:color w:val="auto"/>
          <w:highlight w:val="none"/>
        </w:rPr>
      </w:pPr>
    </w:p>
    <w:p w14:paraId="2108CC84">
      <w:pPr>
        <w:pStyle w:val="36"/>
        <w:ind w:firstLine="480"/>
        <w:rPr>
          <w:rFonts w:hint="eastAsia" w:ascii="宋体" w:hAnsi="宋体" w:eastAsia="宋体" w:cs="宋体"/>
          <w:color w:val="auto"/>
          <w:highlight w:val="none"/>
        </w:rPr>
      </w:pPr>
    </w:p>
    <w:p w14:paraId="6030B419">
      <w:pPr>
        <w:pStyle w:val="36"/>
        <w:ind w:firstLine="480"/>
        <w:rPr>
          <w:rFonts w:hint="eastAsia" w:ascii="宋体" w:hAnsi="宋体" w:eastAsia="宋体" w:cs="宋体"/>
          <w:color w:val="auto"/>
          <w:highlight w:val="none"/>
        </w:rPr>
      </w:pPr>
    </w:p>
    <w:p w14:paraId="612CFAD7">
      <w:pPr>
        <w:pStyle w:val="36"/>
        <w:ind w:firstLine="480"/>
        <w:rPr>
          <w:rFonts w:hint="eastAsia" w:ascii="宋体" w:hAnsi="宋体" w:eastAsia="宋体" w:cs="宋体"/>
          <w:color w:val="auto"/>
          <w:highlight w:val="none"/>
        </w:rPr>
      </w:pPr>
    </w:p>
    <w:p w14:paraId="61E2477E">
      <w:pPr>
        <w:pStyle w:val="36"/>
        <w:ind w:firstLine="480"/>
        <w:rPr>
          <w:rFonts w:hint="eastAsia" w:ascii="宋体" w:hAnsi="宋体" w:eastAsia="宋体" w:cs="宋体"/>
          <w:color w:val="auto"/>
          <w:highlight w:val="none"/>
        </w:rPr>
      </w:pPr>
    </w:p>
    <w:p w14:paraId="0929362A">
      <w:pPr>
        <w:pStyle w:val="36"/>
        <w:ind w:firstLine="480"/>
        <w:rPr>
          <w:rFonts w:hint="eastAsia" w:ascii="宋体" w:hAnsi="宋体" w:eastAsia="宋体" w:cs="宋体"/>
          <w:color w:val="auto"/>
          <w:highlight w:val="none"/>
        </w:rPr>
      </w:pPr>
    </w:p>
    <w:p w14:paraId="71932D72">
      <w:pPr>
        <w:pStyle w:val="36"/>
        <w:ind w:firstLine="480"/>
        <w:rPr>
          <w:rFonts w:hint="eastAsia" w:ascii="宋体" w:hAnsi="宋体" w:eastAsia="宋体" w:cs="宋体"/>
          <w:color w:val="auto"/>
          <w:highlight w:val="none"/>
        </w:rPr>
      </w:pPr>
    </w:p>
    <w:p w14:paraId="3EAB617A">
      <w:pPr>
        <w:pStyle w:val="36"/>
        <w:ind w:firstLine="480"/>
        <w:rPr>
          <w:rFonts w:hint="eastAsia" w:ascii="宋体" w:hAnsi="宋体" w:eastAsia="宋体" w:cs="宋体"/>
          <w:color w:val="auto"/>
          <w:highlight w:val="none"/>
        </w:rPr>
      </w:pPr>
    </w:p>
    <w:p w14:paraId="024CE916">
      <w:pPr>
        <w:pStyle w:val="36"/>
        <w:ind w:firstLine="480"/>
        <w:rPr>
          <w:rFonts w:hint="eastAsia" w:ascii="宋体" w:hAnsi="宋体" w:eastAsia="宋体" w:cs="宋体"/>
          <w:color w:val="auto"/>
          <w:highlight w:val="none"/>
        </w:rPr>
      </w:pPr>
    </w:p>
    <w:p w14:paraId="09BB9D9A">
      <w:pPr>
        <w:pStyle w:val="36"/>
        <w:ind w:firstLine="480"/>
        <w:jc w:val="center"/>
        <w:rPr>
          <w:rFonts w:hint="eastAsia" w:ascii="宋体" w:hAnsi="宋体" w:eastAsia="宋体" w:cs="宋体"/>
          <w:color w:val="auto"/>
          <w:szCs w:val="22"/>
          <w:highlight w:val="none"/>
        </w:rPr>
      </w:pPr>
      <w:bookmarkStart w:id="182" w:name="_Toc12065"/>
      <w:r>
        <w:rPr>
          <w:rFonts w:hint="eastAsia" w:ascii="宋体" w:hAnsi="宋体" w:eastAsia="宋体" w:cs="宋体"/>
          <w:color w:val="auto"/>
          <w:szCs w:val="22"/>
          <w:highlight w:val="none"/>
        </w:rPr>
        <w:t>附件一：供应商信息卡</w:t>
      </w:r>
      <w:bookmarkEnd w:id="170"/>
      <w:bookmarkEnd w:id="171"/>
      <w:bookmarkEnd w:id="172"/>
      <w:bookmarkEnd w:id="173"/>
      <w:bookmarkEnd w:id="174"/>
      <w:bookmarkEnd w:id="175"/>
      <w:bookmarkEnd w:id="176"/>
      <w:bookmarkEnd w:id="177"/>
      <w:bookmarkEnd w:id="178"/>
      <w:bookmarkEnd w:id="179"/>
      <w:bookmarkEnd w:id="180"/>
      <w:bookmarkEnd w:id="181"/>
      <w:bookmarkEnd w:id="182"/>
    </w:p>
    <w:p w14:paraId="6DC97F12">
      <w:pPr>
        <w:pStyle w:val="52"/>
        <w:spacing w:line="860" w:lineRule="exact"/>
        <w:ind w:firstLine="720" w:firstLineChars="300"/>
        <w:jc w:val="both"/>
        <w:rPr>
          <w:rFonts w:hint="eastAsia" w:ascii="宋体" w:hAnsi="宋体" w:eastAsia="宋体" w:cs="宋体"/>
          <w:color w:val="auto"/>
          <w:szCs w:val="24"/>
          <w:highlight w:val="none"/>
        </w:rPr>
      </w:pPr>
      <w:r>
        <w:rPr>
          <w:rFonts w:hint="eastAsia" w:ascii="宋体" w:hAnsi="宋体" w:eastAsia="宋体" w:cs="宋体"/>
          <w:color w:val="auto"/>
          <w:szCs w:val="24"/>
          <w:highlight w:val="none"/>
        </w:rPr>
        <w:t>项目名称（分包）：</w:t>
      </w:r>
    </w:p>
    <w:p w14:paraId="731C923C">
      <w:pPr>
        <w:pStyle w:val="52"/>
        <w:spacing w:line="860" w:lineRule="exact"/>
        <w:ind w:firstLine="720" w:firstLineChars="300"/>
        <w:jc w:val="both"/>
        <w:rPr>
          <w:rFonts w:hint="eastAsia" w:ascii="宋体" w:hAnsi="宋体" w:eastAsia="宋体" w:cs="宋体"/>
          <w:color w:val="auto"/>
          <w:szCs w:val="24"/>
          <w:highlight w:val="none"/>
        </w:rPr>
      </w:pPr>
      <w:r>
        <w:rPr>
          <w:rFonts w:hint="eastAsia" w:ascii="宋体" w:hAnsi="宋体" w:eastAsia="宋体" w:cs="宋体"/>
          <w:color w:val="auto"/>
          <w:szCs w:val="24"/>
          <w:highlight w:val="none"/>
        </w:rPr>
        <w:t>项目号：</w:t>
      </w:r>
    </w:p>
    <w:p w14:paraId="64CF1A95">
      <w:pPr>
        <w:pStyle w:val="52"/>
        <w:spacing w:line="860" w:lineRule="exact"/>
        <w:ind w:firstLine="720" w:firstLineChars="300"/>
        <w:jc w:val="both"/>
        <w:rPr>
          <w:rFonts w:hint="eastAsia" w:ascii="宋体" w:hAnsi="宋体" w:eastAsia="宋体" w:cs="宋体"/>
          <w:color w:val="auto"/>
          <w:szCs w:val="24"/>
          <w:highlight w:val="none"/>
        </w:rPr>
      </w:pPr>
      <w:r>
        <w:rPr>
          <w:rFonts w:hint="eastAsia" w:ascii="宋体" w:hAnsi="宋体" w:eastAsia="宋体" w:cs="宋体"/>
          <w:color w:val="auto"/>
          <w:szCs w:val="24"/>
          <w:highlight w:val="none"/>
        </w:rPr>
        <w:t>供应商名称：</w:t>
      </w:r>
    </w:p>
    <w:p w14:paraId="63D7673D">
      <w:pPr>
        <w:pStyle w:val="52"/>
        <w:spacing w:line="860" w:lineRule="exact"/>
        <w:ind w:firstLine="720" w:firstLineChars="300"/>
        <w:jc w:val="both"/>
        <w:rPr>
          <w:rFonts w:hint="eastAsia" w:ascii="宋体" w:hAnsi="宋体" w:eastAsia="宋体" w:cs="宋体"/>
          <w:color w:val="auto"/>
          <w:szCs w:val="24"/>
          <w:highlight w:val="none"/>
        </w:rPr>
      </w:pPr>
      <w:r>
        <w:rPr>
          <w:rFonts w:hint="eastAsia" w:ascii="宋体" w:hAnsi="宋体" w:eastAsia="宋体" w:cs="宋体"/>
          <w:color w:val="auto"/>
          <w:szCs w:val="24"/>
          <w:highlight w:val="none"/>
        </w:rPr>
        <w:t>法定代表人：</w:t>
      </w:r>
    </w:p>
    <w:p w14:paraId="4F5CF766">
      <w:pPr>
        <w:pStyle w:val="52"/>
        <w:spacing w:line="860" w:lineRule="exact"/>
        <w:ind w:firstLine="720" w:firstLineChars="300"/>
        <w:jc w:val="both"/>
        <w:rPr>
          <w:rFonts w:hint="eastAsia" w:ascii="宋体" w:hAnsi="宋体" w:eastAsia="宋体" w:cs="宋体"/>
          <w:color w:val="auto"/>
          <w:szCs w:val="24"/>
          <w:highlight w:val="none"/>
        </w:rPr>
      </w:pPr>
      <w:r>
        <w:rPr>
          <w:rFonts w:hint="eastAsia" w:ascii="宋体" w:hAnsi="宋体" w:eastAsia="宋体" w:cs="宋体"/>
          <w:color w:val="auto"/>
          <w:szCs w:val="24"/>
          <w:highlight w:val="none"/>
        </w:rPr>
        <w:t>联系电话：</w:t>
      </w:r>
    </w:p>
    <w:p w14:paraId="13310F49">
      <w:pPr>
        <w:pStyle w:val="52"/>
        <w:spacing w:line="860" w:lineRule="exact"/>
        <w:ind w:firstLine="720" w:firstLineChars="300"/>
        <w:jc w:val="both"/>
        <w:rPr>
          <w:rFonts w:hint="eastAsia" w:ascii="宋体" w:hAnsi="宋体" w:eastAsia="宋体" w:cs="宋体"/>
          <w:color w:val="auto"/>
          <w:szCs w:val="24"/>
          <w:highlight w:val="none"/>
        </w:rPr>
      </w:pPr>
      <w:r>
        <w:rPr>
          <w:rFonts w:hint="eastAsia" w:ascii="宋体" w:hAnsi="宋体" w:eastAsia="宋体" w:cs="宋体"/>
          <w:color w:val="auto"/>
          <w:szCs w:val="24"/>
          <w:highlight w:val="none"/>
        </w:rPr>
        <w:t>授权代表：</w:t>
      </w:r>
    </w:p>
    <w:p w14:paraId="64CD4068">
      <w:pPr>
        <w:pStyle w:val="52"/>
        <w:spacing w:line="860" w:lineRule="exact"/>
        <w:ind w:firstLine="720" w:firstLineChars="300"/>
        <w:jc w:val="both"/>
        <w:rPr>
          <w:rFonts w:hint="eastAsia" w:ascii="宋体" w:hAnsi="宋体" w:eastAsia="宋体" w:cs="宋体"/>
          <w:color w:val="auto"/>
          <w:szCs w:val="24"/>
          <w:highlight w:val="none"/>
        </w:rPr>
      </w:pPr>
      <w:r>
        <w:rPr>
          <w:rFonts w:hint="eastAsia" w:ascii="宋体" w:hAnsi="宋体" w:eastAsia="宋体" w:cs="宋体"/>
          <w:color w:val="auto"/>
          <w:szCs w:val="24"/>
          <w:highlight w:val="none"/>
        </w:rPr>
        <w:t>联系电话：</w:t>
      </w:r>
    </w:p>
    <w:p w14:paraId="5FC0A869">
      <w:pPr>
        <w:pStyle w:val="53"/>
        <w:ind w:left="480" w:hanging="480"/>
        <w:jc w:val="both"/>
        <w:rPr>
          <w:rFonts w:hint="eastAsia" w:ascii="宋体" w:hAnsi="宋体" w:eastAsia="宋体" w:cs="宋体"/>
          <w:color w:val="auto"/>
          <w:highlight w:val="none"/>
        </w:rPr>
      </w:pPr>
    </w:p>
    <w:p w14:paraId="4E67524D">
      <w:pPr>
        <w:pStyle w:val="53"/>
        <w:ind w:left="480" w:hanging="480"/>
        <w:jc w:val="both"/>
        <w:rPr>
          <w:rFonts w:hint="eastAsia" w:ascii="宋体" w:hAnsi="宋体" w:eastAsia="宋体" w:cs="宋体"/>
          <w:color w:val="auto"/>
          <w:highlight w:val="none"/>
        </w:rPr>
      </w:pPr>
    </w:p>
    <w:p w14:paraId="28E73095">
      <w:pPr>
        <w:pStyle w:val="53"/>
        <w:ind w:left="480" w:hanging="480"/>
        <w:jc w:val="both"/>
        <w:rPr>
          <w:rFonts w:hint="eastAsia" w:ascii="宋体" w:hAnsi="宋体" w:eastAsia="宋体" w:cs="宋体"/>
          <w:color w:val="auto"/>
          <w:highlight w:val="none"/>
        </w:rPr>
      </w:pPr>
    </w:p>
    <w:p w14:paraId="69864286">
      <w:pPr>
        <w:pStyle w:val="53"/>
        <w:ind w:left="480" w:hanging="480"/>
        <w:jc w:val="cente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供应商(公章):</w:t>
      </w:r>
    </w:p>
    <w:p w14:paraId="6B05B5D9">
      <w:pPr>
        <w:pStyle w:val="53"/>
        <w:ind w:left="480" w:hanging="480"/>
        <w:jc w:val="both"/>
        <w:rPr>
          <w:rFonts w:hint="eastAsia" w:ascii="宋体" w:hAnsi="宋体" w:eastAsia="宋体" w:cs="宋体"/>
          <w:color w:val="auto"/>
          <w:highlight w:val="none"/>
        </w:rPr>
      </w:pPr>
      <w:r>
        <w:rPr>
          <w:rFonts w:hint="eastAsia" w:ascii="宋体" w:hAnsi="宋体" w:eastAsia="宋体" w:cs="宋体"/>
          <w:color w:val="auto"/>
          <w:highlight w:val="none"/>
        </w:rPr>
        <w:t xml:space="preserve">                                          日期：    年    月    日</w:t>
      </w:r>
    </w:p>
    <w:p w14:paraId="1A5F7A4E">
      <w:pPr>
        <w:ind w:left="716" w:hanging="716" w:hangingChars="297"/>
        <w:rPr>
          <w:rFonts w:hint="eastAsia" w:ascii="宋体" w:hAnsi="宋体" w:eastAsia="宋体" w:cs="宋体"/>
          <w:b/>
          <w:color w:val="auto"/>
          <w:sz w:val="24"/>
          <w:szCs w:val="24"/>
          <w:highlight w:val="none"/>
        </w:rPr>
      </w:pPr>
    </w:p>
    <w:p w14:paraId="6EB7C77C">
      <w:pPr>
        <w:ind w:left="716" w:hanging="716" w:hangingChars="297"/>
        <w:rPr>
          <w:rFonts w:hint="eastAsia" w:ascii="宋体" w:hAnsi="宋体" w:eastAsia="宋体" w:cs="宋体"/>
          <w:b/>
          <w:color w:val="auto"/>
          <w:sz w:val="24"/>
          <w:szCs w:val="24"/>
          <w:highlight w:val="none"/>
        </w:rPr>
      </w:pPr>
    </w:p>
    <w:p w14:paraId="7A7D3583">
      <w:pPr>
        <w:ind w:firstLine="480"/>
        <w:rPr>
          <w:rFonts w:hint="eastAsia" w:ascii="宋体" w:hAnsi="宋体" w:eastAsia="宋体" w:cs="宋体"/>
          <w:color w:val="auto"/>
          <w:sz w:val="24"/>
          <w:szCs w:val="24"/>
          <w:highlight w:val="none"/>
        </w:rPr>
      </w:pPr>
    </w:p>
    <w:p w14:paraId="125AF0AC">
      <w:pPr>
        <w:ind w:firstLine="480"/>
        <w:rPr>
          <w:rFonts w:hint="eastAsia" w:ascii="宋体" w:hAnsi="宋体" w:eastAsia="宋体" w:cs="宋体"/>
          <w:color w:val="auto"/>
          <w:sz w:val="24"/>
          <w:szCs w:val="24"/>
          <w:highlight w:val="none"/>
        </w:rPr>
      </w:pPr>
    </w:p>
    <w:p w14:paraId="4415AB9E">
      <w:pPr>
        <w:ind w:firstLine="480"/>
        <w:rPr>
          <w:rFonts w:hint="eastAsia" w:ascii="宋体" w:hAnsi="宋体" w:eastAsia="宋体" w:cs="宋体"/>
          <w:color w:val="auto"/>
          <w:sz w:val="24"/>
          <w:szCs w:val="24"/>
          <w:highlight w:val="none"/>
        </w:rPr>
      </w:pPr>
    </w:p>
    <w:p w14:paraId="2D461F03">
      <w:pPr>
        <w:ind w:firstLine="480"/>
        <w:rPr>
          <w:rFonts w:hint="eastAsia" w:ascii="宋体" w:hAnsi="宋体" w:eastAsia="宋体" w:cs="宋体"/>
          <w:color w:val="auto"/>
          <w:sz w:val="24"/>
          <w:szCs w:val="24"/>
          <w:highlight w:val="none"/>
        </w:rPr>
      </w:pPr>
    </w:p>
    <w:p w14:paraId="785A0301">
      <w:pPr>
        <w:ind w:firstLine="480"/>
        <w:rPr>
          <w:rFonts w:hint="eastAsia" w:ascii="宋体" w:hAnsi="宋体" w:eastAsia="宋体" w:cs="宋体"/>
          <w:color w:val="auto"/>
          <w:sz w:val="24"/>
          <w:szCs w:val="24"/>
          <w:highlight w:val="none"/>
        </w:rPr>
      </w:pPr>
    </w:p>
    <w:p w14:paraId="25309084">
      <w:pPr>
        <w:ind w:firstLine="482"/>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注：该“供应商信息卡”由供应商在现场递交（内容填写完整或打印并加盖公章，不得装入密封响应文件内）。</w:t>
      </w:r>
    </w:p>
    <w:p w14:paraId="7D2C7E11">
      <w:pPr>
        <w:pStyle w:val="36"/>
        <w:ind w:firstLine="480"/>
        <w:jc w:val="center"/>
        <w:rPr>
          <w:rFonts w:hint="eastAsia" w:ascii="宋体" w:hAnsi="宋体" w:eastAsia="宋体" w:cs="宋体"/>
          <w:color w:val="auto"/>
          <w:sz w:val="32"/>
          <w:szCs w:val="21"/>
          <w:highlight w:val="none"/>
        </w:rPr>
      </w:pPr>
      <w:r>
        <w:rPr>
          <w:rFonts w:hint="eastAsia" w:ascii="宋体" w:hAnsi="宋体" w:eastAsia="宋体" w:cs="宋体"/>
          <w:color w:val="auto"/>
          <w:sz w:val="24"/>
          <w:szCs w:val="24"/>
          <w:highlight w:val="none"/>
        </w:rPr>
        <w:br w:type="page"/>
      </w:r>
      <w:bookmarkStart w:id="183" w:name="_Toc31598"/>
      <w:bookmarkStart w:id="184" w:name="_Toc4759"/>
      <w:bookmarkStart w:id="185" w:name="_Toc7891"/>
      <w:bookmarkStart w:id="186" w:name="_Toc4954"/>
      <w:bookmarkStart w:id="187" w:name="_Toc31510"/>
      <w:bookmarkStart w:id="188" w:name="_Toc18730"/>
      <w:r>
        <w:rPr>
          <w:rFonts w:hint="eastAsia" w:ascii="宋体" w:hAnsi="宋体" w:eastAsia="宋体" w:cs="宋体"/>
          <w:color w:val="auto"/>
          <w:szCs w:val="22"/>
          <w:highlight w:val="none"/>
        </w:rPr>
        <w:t>附件二：</w:t>
      </w:r>
      <w:bookmarkEnd w:id="183"/>
      <w:bookmarkEnd w:id="184"/>
      <w:bookmarkEnd w:id="185"/>
      <w:bookmarkEnd w:id="186"/>
      <w:bookmarkEnd w:id="187"/>
      <w:bookmarkEnd w:id="188"/>
      <w:r>
        <w:rPr>
          <w:rFonts w:hint="eastAsia" w:ascii="宋体" w:hAnsi="宋体" w:eastAsia="宋体" w:cs="宋体"/>
          <w:color w:val="auto"/>
          <w:szCs w:val="22"/>
          <w:highlight w:val="none"/>
        </w:rPr>
        <w:t>采购文件发售登记表</w:t>
      </w:r>
    </w:p>
    <w:p w14:paraId="1B50B60B">
      <w:pPr>
        <w:ind w:firstLine="480"/>
        <w:jc w:val="center"/>
        <w:outlineLvl w:val="1"/>
        <w:rPr>
          <w:rFonts w:hint="eastAsia" w:ascii="宋体" w:hAnsi="宋体" w:eastAsia="宋体" w:cs="宋体"/>
          <w:b/>
          <w:color w:val="auto"/>
          <w:sz w:val="24"/>
          <w:highlight w:val="none"/>
        </w:rPr>
      </w:pPr>
    </w:p>
    <w:tbl>
      <w:tblPr>
        <w:tblStyle w:val="24"/>
        <w:tblW w:w="925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6"/>
        <w:gridCol w:w="2396"/>
        <w:gridCol w:w="1053"/>
        <w:gridCol w:w="3974"/>
      </w:tblGrid>
      <w:tr w14:paraId="2E7E287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1836" w:type="dxa"/>
            <w:noWrap/>
            <w:vAlign w:val="center"/>
          </w:tcPr>
          <w:p w14:paraId="66B7B1DE">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项目号</w:t>
            </w:r>
          </w:p>
        </w:tc>
        <w:tc>
          <w:tcPr>
            <w:tcW w:w="7423" w:type="dxa"/>
            <w:gridSpan w:val="3"/>
            <w:noWrap/>
            <w:vAlign w:val="center"/>
          </w:tcPr>
          <w:p w14:paraId="0A1297CA">
            <w:pPr>
              <w:jc w:val="center"/>
              <w:rPr>
                <w:rFonts w:hint="eastAsia" w:ascii="宋体" w:hAnsi="宋体" w:eastAsia="宋体" w:cs="宋体"/>
                <w:color w:val="auto"/>
                <w:sz w:val="24"/>
                <w:szCs w:val="24"/>
                <w:highlight w:val="none"/>
              </w:rPr>
            </w:pPr>
          </w:p>
        </w:tc>
      </w:tr>
      <w:tr w14:paraId="136932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1836" w:type="dxa"/>
            <w:noWrap/>
            <w:vAlign w:val="center"/>
          </w:tcPr>
          <w:p w14:paraId="3CF15C75">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项目名称</w:t>
            </w:r>
          </w:p>
        </w:tc>
        <w:tc>
          <w:tcPr>
            <w:tcW w:w="7423" w:type="dxa"/>
            <w:gridSpan w:val="3"/>
            <w:noWrap/>
            <w:vAlign w:val="center"/>
          </w:tcPr>
          <w:p w14:paraId="4CBB990A">
            <w:pPr>
              <w:jc w:val="center"/>
              <w:rPr>
                <w:rFonts w:hint="eastAsia" w:ascii="宋体" w:hAnsi="宋体" w:eastAsia="宋体" w:cs="宋体"/>
                <w:color w:val="auto"/>
                <w:sz w:val="24"/>
                <w:szCs w:val="24"/>
                <w:highlight w:val="none"/>
              </w:rPr>
            </w:pPr>
          </w:p>
        </w:tc>
      </w:tr>
      <w:tr w14:paraId="18E4944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173" w:hRule="atLeast"/>
          <w:jc w:val="center"/>
        </w:trPr>
        <w:tc>
          <w:tcPr>
            <w:tcW w:w="1836" w:type="dxa"/>
            <w:noWrap/>
            <w:vAlign w:val="center"/>
          </w:tcPr>
          <w:p w14:paraId="19E3D50F">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供应商名称</w:t>
            </w:r>
          </w:p>
        </w:tc>
        <w:tc>
          <w:tcPr>
            <w:tcW w:w="7423" w:type="dxa"/>
            <w:gridSpan w:val="3"/>
            <w:noWrap/>
            <w:vAlign w:val="center"/>
          </w:tcPr>
          <w:p w14:paraId="65756223">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（供应商公章）</w:t>
            </w:r>
          </w:p>
        </w:tc>
      </w:tr>
      <w:tr w14:paraId="1E42323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1836" w:type="dxa"/>
            <w:noWrap/>
            <w:vAlign w:val="center"/>
          </w:tcPr>
          <w:p w14:paraId="48C8F683">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w:t>
            </w:r>
          </w:p>
        </w:tc>
        <w:tc>
          <w:tcPr>
            <w:tcW w:w="2396" w:type="dxa"/>
            <w:noWrap/>
            <w:vAlign w:val="center"/>
          </w:tcPr>
          <w:p w14:paraId="5D4DAAC5">
            <w:pPr>
              <w:jc w:val="center"/>
              <w:rPr>
                <w:rFonts w:hint="eastAsia" w:ascii="宋体" w:hAnsi="宋体" w:eastAsia="宋体" w:cs="宋体"/>
                <w:color w:val="auto"/>
                <w:sz w:val="24"/>
                <w:szCs w:val="24"/>
                <w:highlight w:val="none"/>
              </w:rPr>
            </w:pPr>
          </w:p>
        </w:tc>
        <w:tc>
          <w:tcPr>
            <w:tcW w:w="1053" w:type="dxa"/>
            <w:noWrap/>
            <w:vAlign w:val="center"/>
          </w:tcPr>
          <w:p w14:paraId="1645D81B">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手机</w:t>
            </w:r>
          </w:p>
        </w:tc>
        <w:tc>
          <w:tcPr>
            <w:tcW w:w="3974" w:type="dxa"/>
            <w:noWrap/>
            <w:vAlign w:val="center"/>
          </w:tcPr>
          <w:p w14:paraId="249692CE">
            <w:pPr>
              <w:jc w:val="center"/>
              <w:rPr>
                <w:rFonts w:hint="eastAsia" w:ascii="宋体" w:hAnsi="宋体" w:eastAsia="宋体" w:cs="宋体"/>
                <w:color w:val="auto"/>
                <w:sz w:val="24"/>
                <w:szCs w:val="24"/>
                <w:highlight w:val="none"/>
              </w:rPr>
            </w:pPr>
          </w:p>
        </w:tc>
      </w:tr>
      <w:tr w14:paraId="1844BD8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1836" w:type="dxa"/>
            <w:noWrap/>
            <w:vAlign w:val="center"/>
          </w:tcPr>
          <w:p w14:paraId="0705B8DD">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办公电话</w:t>
            </w:r>
          </w:p>
        </w:tc>
        <w:tc>
          <w:tcPr>
            <w:tcW w:w="2396" w:type="dxa"/>
            <w:noWrap/>
            <w:vAlign w:val="center"/>
          </w:tcPr>
          <w:p w14:paraId="6C7F2483">
            <w:pPr>
              <w:jc w:val="center"/>
              <w:rPr>
                <w:rFonts w:hint="eastAsia" w:ascii="宋体" w:hAnsi="宋体" w:eastAsia="宋体" w:cs="宋体"/>
                <w:color w:val="auto"/>
                <w:sz w:val="24"/>
                <w:szCs w:val="24"/>
                <w:highlight w:val="none"/>
              </w:rPr>
            </w:pPr>
          </w:p>
        </w:tc>
        <w:tc>
          <w:tcPr>
            <w:tcW w:w="1053" w:type="dxa"/>
            <w:noWrap/>
            <w:vAlign w:val="center"/>
          </w:tcPr>
          <w:p w14:paraId="391C6552">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传真</w:t>
            </w:r>
          </w:p>
        </w:tc>
        <w:tc>
          <w:tcPr>
            <w:tcW w:w="3974" w:type="dxa"/>
            <w:noWrap/>
            <w:vAlign w:val="center"/>
          </w:tcPr>
          <w:p w14:paraId="0BD80323">
            <w:pPr>
              <w:jc w:val="center"/>
              <w:rPr>
                <w:rFonts w:hint="eastAsia" w:ascii="宋体" w:hAnsi="宋体" w:eastAsia="宋体" w:cs="宋体"/>
                <w:color w:val="auto"/>
                <w:sz w:val="24"/>
                <w:szCs w:val="24"/>
                <w:highlight w:val="none"/>
              </w:rPr>
            </w:pPr>
          </w:p>
        </w:tc>
      </w:tr>
      <w:tr w14:paraId="1290447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836" w:type="dxa"/>
            <w:noWrap/>
            <w:vAlign w:val="center"/>
          </w:tcPr>
          <w:p w14:paraId="758A5562">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E-mail</w:t>
            </w:r>
          </w:p>
        </w:tc>
        <w:tc>
          <w:tcPr>
            <w:tcW w:w="7423" w:type="dxa"/>
            <w:gridSpan w:val="3"/>
            <w:noWrap/>
            <w:vAlign w:val="center"/>
          </w:tcPr>
          <w:p w14:paraId="449E81EE">
            <w:pPr>
              <w:jc w:val="center"/>
              <w:rPr>
                <w:rFonts w:hint="eastAsia" w:ascii="宋体" w:hAnsi="宋体" w:eastAsia="宋体" w:cs="宋体"/>
                <w:color w:val="auto"/>
                <w:sz w:val="24"/>
                <w:szCs w:val="24"/>
                <w:highlight w:val="none"/>
              </w:rPr>
            </w:pPr>
          </w:p>
        </w:tc>
      </w:tr>
      <w:tr w14:paraId="7F4D122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jc w:val="center"/>
        </w:trPr>
        <w:tc>
          <w:tcPr>
            <w:tcW w:w="1836" w:type="dxa"/>
            <w:noWrap/>
            <w:vAlign w:val="center"/>
          </w:tcPr>
          <w:p w14:paraId="41547C64">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单位地址</w:t>
            </w:r>
          </w:p>
        </w:tc>
        <w:tc>
          <w:tcPr>
            <w:tcW w:w="7423" w:type="dxa"/>
            <w:gridSpan w:val="3"/>
            <w:noWrap/>
            <w:vAlign w:val="center"/>
          </w:tcPr>
          <w:p w14:paraId="6448A0E0">
            <w:pPr>
              <w:jc w:val="center"/>
              <w:rPr>
                <w:rFonts w:hint="eastAsia" w:ascii="宋体" w:hAnsi="宋体" w:eastAsia="宋体" w:cs="宋体"/>
                <w:color w:val="auto"/>
                <w:sz w:val="24"/>
                <w:szCs w:val="24"/>
                <w:highlight w:val="none"/>
              </w:rPr>
            </w:pPr>
          </w:p>
        </w:tc>
      </w:tr>
    </w:tbl>
    <w:p w14:paraId="0EBD7E37">
      <w:pPr>
        <w:spacing w:line="360" w:lineRule="auto"/>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代理机构：</w:t>
      </w:r>
      <w:r>
        <w:rPr>
          <w:rFonts w:hint="eastAsia" w:ascii="宋体" w:hAnsi="宋体" w:cs="宋体"/>
          <w:color w:val="auto"/>
          <w:sz w:val="24"/>
          <w:szCs w:val="24"/>
          <w:highlight w:val="none"/>
          <w:lang w:eastAsia="zh-CN"/>
        </w:rPr>
        <w:t>重庆鸿兴招标代理有限公司</w:t>
      </w:r>
      <w:r>
        <w:rPr>
          <w:rFonts w:hint="eastAsia" w:ascii="宋体" w:hAnsi="宋体" w:eastAsia="宋体" w:cs="宋体"/>
          <w:color w:val="auto"/>
          <w:sz w:val="24"/>
          <w:szCs w:val="24"/>
          <w:highlight w:val="none"/>
        </w:rPr>
        <w:t xml:space="preserve">    </w:t>
      </w:r>
    </w:p>
    <w:p w14:paraId="431467CD">
      <w:pPr>
        <w:spacing w:line="360" w:lineRule="auto"/>
        <w:ind w:firstLine="480"/>
        <w:rPr>
          <w:rFonts w:hint="eastAsia" w:ascii="宋体" w:hAnsi="宋体" w:eastAsia="宋体" w:cs="宋体"/>
          <w:color w:val="auto"/>
          <w:sz w:val="24"/>
          <w:szCs w:val="24"/>
          <w:highlight w:val="none"/>
        </w:rPr>
      </w:pPr>
    </w:p>
    <w:p w14:paraId="0720743C">
      <w:pPr>
        <w:ind w:firstLine="482"/>
        <w:rPr>
          <w:rFonts w:hint="eastAsia" w:ascii="宋体" w:hAnsi="宋体" w:eastAsia="宋体" w:cs="宋体"/>
          <w:b/>
          <w:color w:val="auto"/>
          <w:sz w:val="24"/>
          <w:szCs w:val="24"/>
          <w:highlight w:val="none"/>
        </w:rPr>
      </w:pPr>
    </w:p>
    <w:p w14:paraId="12513165">
      <w:pPr>
        <w:ind w:firstLine="482"/>
        <w:rPr>
          <w:rFonts w:hint="eastAsia" w:ascii="宋体" w:hAnsi="宋体" w:eastAsia="宋体" w:cs="宋体"/>
          <w:b/>
          <w:color w:val="auto"/>
          <w:sz w:val="24"/>
          <w:szCs w:val="24"/>
          <w:highlight w:val="none"/>
        </w:rPr>
      </w:pPr>
    </w:p>
    <w:p w14:paraId="59EAF947">
      <w:pPr>
        <w:ind w:firstLine="482"/>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注：该“采购文件发售登记表”由供应商在现场递交（内容填写完整或打印并加盖公章，不得装入密封响应文件内）。</w:t>
      </w:r>
    </w:p>
    <w:p w14:paraId="19CA9505">
      <w:pPr>
        <w:spacing w:line="360" w:lineRule="auto"/>
        <w:ind w:firstLine="560" w:firstLineChars="200"/>
        <w:jc w:val="center"/>
        <w:rPr>
          <w:rFonts w:hint="eastAsia" w:ascii="宋体" w:hAnsi="宋体" w:eastAsia="宋体" w:cs="宋体"/>
          <w:color w:val="auto"/>
          <w:highlight w:val="none"/>
        </w:rPr>
      </w:pPr>
    </w:p>
    <w:p w14:paraId="525295E9">
      <w:pPr>
        <w:spacing w:line="360" w:lineRule="auto"/>
        <w:ind w:firstLine="4060" w:firstLineChars="1450"/>
        <w:rPr>
          <w:rFonts w:hint="eastAsia" w:ascii="宋体" w:hAnsi="宋体" w:eastAsia="宋体" w:cs="宋体"/>
          <w:color w:val="auto"/>
          <w:highlight w:val="none"/>
        </w:rPr>
      </w:pPr>
    </w:p>
    <w:sectPr>
      <w:headerReference r:id="rId11" w:type="default"/>
      <w:pgSz w:w="11907" w:h="16840"/>
      <w:pgMar w:top="1134" w:right="1191" w:bottom="1134" w:left="1304" w:header="851" w:footer="992" w:gutter="0"/>
      <w:pgBorders>
        <w:top w:val="none" w:sz="0" w:space="0"/>
        <w:left w:val="none" w:sz="0" w:space="0"/>
        <w:bottom w:val="none" w:sz="0" w:space="0"/>
        <w:right w:val="none" w:sz="0" w:space="0"/>
      </w:pgBorders>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14CD1E45-B803-4067-BEEC-3AE060509088}"/>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panose1 w:val="03000509000000000000"/>
    <w:charset w:val="86"/>
    <w:family w:val="script"/>
    <w:pitch w:val="default"/>
    <w:sig w:usb0="00000001" w:usb1="080E0000" w:usb2="00000000" w:usb3="00000000" w:csb0="00040000" w:csb1="00000000"/>
    <w:embedRegular r:id="rId2" w:fontKey="{72931706-5651-4301-8D60-D60B0C1469F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A68C02">
    <w:pPr>
      <w:pStyle w:val="15"/>
      <w:framePr w:wrap="around" w:vAnchor="text" w:hAnchor="margin" w:xAlign="center" w:y="1"/>
      <w:jc w:val="center"/>
      <w:rPr>
        <w:rStyle w:val="27"/>
        <w:rFonts w:ascii="宋体"/>
        <w:sz w:val="21"/>
        <w:szCs w:val="21"/>
      </w:rPr>
    </w:pPr>
    <w:r>
      <w:rPr>
        <w:rFonts w:ascii="宋体"/>
        <w:sz w:val="21"/>
        <w:szCs w:val="21"/>
      </w:rPr>
      <w:fldChar w:fldCharType="begin"/>
    </w:r>
    <w:r>
      <w:rPr>
        <w:rStyle w:val="27"/>
        <w:rFonts w:ascii="宋体"/>
        <w:sz w:val="21"/>
        <w:szCs w:val="21"/>
      </w:rPr>
      <w:instrText xml:space="preserve">PAGE  </w:instrText>
    </w:r>
    <w:r>
      <w:rPr>
        <w:rFonts w:ascii="宋体"/>
        <w:sz w:val="21"/>
        <w:szCs w:val="21"/>
      </w:rPr>
      <w:fldChar w:fldCharType="separate"/>
    </w:r>
    <w:r>
      <w:rPr>
        <w:rStyle w:val="27"/>
        <w:rFonts w:ascii="宋体"/>
        <w:sz w:val="21"/>
        <w:szCs w:val="21"/>
      </w:rPr>
      <w:t>- 6 -</w:t>
    </w:r>
    <w:r>
      <w:rPr>
        <w:rFonts w:ascii="宋体"/>
        <w:sz w:val="21"/>
        <w:szCs w:val="21"/>
      </w:rPr>
      <w:fldChar w:fldCharType="end"/>
    </w:r>
  </w:p>
  <w:p w14:paraId="56D030F3">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800BD3">
    <w:pPr>
      <w:pStyle w:val="15"/>
      <w:jc w:val="center"/>
      <w:rPr>
        <w:rFonts w:ascii="宋体" w:hAnsi="宋体"/>
        <w:sz w:val="21"/>
        <w:szCs w:val="21"/>
      </w:rPr>
    </w:pPr>
    <w:r>
      <w:rPr>
        <w:rFonts w:ascii="宋体" w:hAnsi="宋体"/>
        <w:sz w:val="21"/>
        <w:szCs w:val="21"/>
      </w:rPr>
      <w:fldChar w:fldCharType="begin"/>
    </w:r>
    <w:r>
      <w:rPr>
        <w:rStyle w:val="27"/>
        <w:rFonts w:ascii="宋体" w:hAnsi="宋体"/>
        <w:sz w:val="21"/>
        <w:szCs w:val="21"/>
      </w:rPr>
      <w:instrText xml:space="preserve"> PAGE </w:instrText>
    </w:r>
    <w:r>
      <w:rPr>
        <w:rFonts w:ascii="宋体" w:hAnsi="宋体"/>
        <w:sz w:val="21"/>
        <w:szCs w:val="21"/>
      </w:rPr>
      <w:fldChar w:fldCharType="separate"/>
    </w:r>
    <w:r>
      <w:rPr>
        <w:rStyle w:val="27"/>
        <w:rFonts w:ascii="宋体" w:hAnsi="宋体"/>
        <w:sz w:val="21"/>
        <w:szCs w:val="21"/>
      </w:rPr>
      <w:t>- 15 -</w:t>
    </w:r>
    <w:r>
      <w:rPr>
        <w:rFonts w:ascii="宋体" w:hAnsi="宋体"/>
        <w:sz w:val="21"/>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20C4D5">
    <w:pPr>
      <w:pStyle w:val="15"/>
      <w:framePr w:wrap="around" w:vAnchor="text" w:hAnchor="margin" w:xAlign="center" w:y="1"/>
      <w:rPr>
        <w:rStyle w:val="27"/>
      </w:rPr>
    </w:pPr>
    <w:r>
      <w:fldChar w:fldCharType="begin"/>
    </w:r>
    <w:r>
      <w:rPr>
        <w:rStyle w:val="27"/>
      </w:rPr>
      <w:instrText xml:space="preserve">PAGE  </w:instrText>
    </w:r>
    <w:r>
      <w:fldChar w:fldCharType="end"/>
    </w:r>
  </w:p>
  <w:p w14:paraId="3D422F8A">
    <w:pPr>
      <w:pStyle w:val="1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8D03D9">
    <w:pPr>
      <w:pStyle w:val="16"/>
      <w:pBdr>
        <w:bottom w:val="none" w:color="auto" w:sz="0" w:space="0"/>
      </w:pBdr>
      <w:jc w:val="both"/>
      <w:rPr>
        <w:rFonts w:ascii="方正仿宋_GBK" w:eastAsia="方正仿宋_GBK"/>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BB81AA">
    <w:pPr>
      <w:pStyle w:val="16"/>
      <w:pBdr>
        <w:bottom w:val="none" w:color="auto" w:sz="0" w:space="1"/>
      </w:pBdr>
      <w:jc w:val="both"/>
      <w:rPr>
        <w:rFonts w:hint="eastAsia" w:ascii="宋体" w:hAnsi="宋体" w:eastAsia="宋体" w:cs="宋体"/>
        <w:lang w:val="en-US" w:eastAsia="zh-CN"/>
      </w:rPr>
    </w:pPr>
    <w:r>
      <w:rPr>
        <w:rFonts w:hint="eastAsia" w:ascii="宋体" w:hAnsi="宋体" w:cs="宋体"/>
        <w:sz w:val="24"/>
        <w:szCs w:val="24"/>
        <w:u w:val="single"/>
        <w:lang w:eastAsia="zh-CN"/>
      </w:rPr>
      <w:t>重庆鸿兴招标代理有限公司</w:t>
    </w:r>
    <w:r>
      <w:rPr>
        <w:rFonts w:hint="eastAsia" w:ascii="宋体" w:hAnsi="宋体" w:eastAsia="宋体" w:cs="宋体"/>
        <w:sz w:val="24"/>
        <w:szCs w:val="24"/>
        <w:u w:val="single"/>
        <w:lang w:val="en-US" w:eastAsia="zh-CN"/>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lang w:eastAsia="zh-CN"/>
      </w:rPr>
      <w:t>询比采购文件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5862">
    <w:pPr>
      <w:pStyle w:val="16"/>
      <w:pBdr>
        <w:bottom w:val="none" w:color="auto" w:sz="0" w:space="1"/>
      </w:pBdr>
      <w:jc w:val="both"/>
      <w:rPr>
        <w:rFonts w:hint="eastAsia" w:ascii="宋体" w:hAnsi="宋体" w:eastAsia="宋体" w:cs="宋体"/>
        <w:lang w:val="en-US" w:eastAsia="zh-CN"/>
      </w:rPr>
    </w:pPr>
    <w:r>
      <w:rPr>
        <w:rFonts w:hint="eastAsia" w:ascii="宋体" w:hAnsi="宋体" w:cs="宋体"/>
        <w:sz w:val="24"/>
        <w:szCs w:val="24"/>
        <w:u w:val="single"/>
        <w:lang w:eastAsia="zh-CN"/>
      </w:rPr>
      <w:t>重庆鸿兴招标代理有限公司</w:t>
    </w:r>
    <w:r>
      <w:rPr>
        <w:rFonts w:hint="eastAsia" w:ascii="宋体" w:hAnsi="宋体" w:eastAsia="宋体" w:cs="宋体"/>
        <w:sz w:val="24"/>
        <w:szCs w:val="24"/>
        <w:u w:val="single"/>
        <w:lang w:val="en-US" w:eastAsia="zh-CN"/>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lang w:eastAsia="zh-CN"/>
      </w:rPr>
      <w:t>询比采购文件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A9B281">
    <w:pPr>
      <w:pStyle w:val="16"/>
      <w:pBdr>
        <w:bottom w:val="none" w:color="auto" w:sz="0" w:space="1"/>
      </w:pBdr>
      <w:jc w:val="both"/>
      <w:rPr>
        <w:rFonts w:hint="eastAsia" w:ascii="宋体" w:hAnsi="宋体" w:eastAsia="宋体" w:cs="宋体"/>
        <w:lang w:eastAsia="zh-CN"/>
      </w:rPr>
    </w:pPr>
    <w:r>
      <w:rPr>
        <w:rFonts w:hint="eastAsia" w:ascii="宋体" w:hAnsi="宋体" w:cs="宋体"/>
        <w:sz w:val="24"/>
        <w:szCs w:val="24"/>
        <w:u w:val="single"/>
        <w:lang w:eastAsia="zh-CN"/>
      </w:rPr>
      <w:t>重庆鸿兴招标代理有限公司</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lang w:eastAsia="zh-CN"/>
      </w:rPr>
      <w:t>询比采购文件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0C6A2">
    <w:pPr>
      <w:pStyle w:val="16"/>
      <w:pBdr>
        <w:bottom w:val="none" w:color="auto" w:sz="0" w:space="1"/>
      </w:pBdr>
      <w:jc w:val="both"/>
      <w:rPr>
        <w:rFonts w:hint="eastAsia" w:ascii="宋体" w:hAnsi="宋体" w:eastAsia="宋体" w:cs="宋体"/>
      </w:rPr>
    </w:pPr>
    <w:r>
      <w:rPr>
        <w:rFonts w:hint="eastAsia" w:ascii="宋体" w:hAnsi="宋体" w:cs="宋体"/>
        <w:sz w:val="24"/>
        <w:szCs w:val="24"/>
        <w:u w:val="single"/>
        <w:lang w:eastAsia="zh-CN"/>
      </w:rPr>
      <w:t>重庆鸿兴招标代理有限公司</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lang w:eastAsia="zh-CN"/>
      </w:rPr>
      <w:t>询比文件</w:t>
    </w:r>
    <w:r>
      <w:rPr>
        <w:rFonts w:hint="eastAsia" w:ascii="宋体" w:hAnsi="宋体" w:eastAsia="宋体" w:cs="宋体"/>
        <w:sz w:val="24"/>
        <w:szCs w:val="24"/>
        <w:u w:val="single"/>
        <w:lang w:val="en-US" w:eastAsia="zh-CN"/>
      </w:rP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67E96C">
    <w:pPr>
      <w:pStyle w:val="16"/>
      <w:pBdr>
        <w:bottom w:val="none" w:color="auto" w:sz="0" w:space="1"/>
      </w:pBdr>
      <w:jc w:val="both"/>
      <w:rPr>
        <w:rFonts w:hint="eastAsia" w:ascii="宋体" w:hAnsi="宋体" w:eastAsia="宋体" w:cs="宋体"/>
        <w:sz w:val="21"/>
        <w:szCs w:val="21"/>
      </w:rPr>
    </w:pPr>
    <w:r>
      <w:rPr>
        <w:rFonts w:hint="eastAsia" w:ascii="宋体" w:hAnsi="宋体" w:cs="宋体"/>
        <w:sz w:val="24"/>
        <w:szCs w:val="24"/>
        <w:u w:val="single"/>
        <w:lang w:eastAsia="zh-CN"/>
      </w:rPr>
      <w:t>重庆鸿兴招标代理有限公司</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lang w:eastAsia="zh-CN"/>
      </w:rPr>
      <w:t>询比文件</w:t>
    </w:r>
    <w:r>
      <w:rPr>
        <w:rFonts w:hint="eastAsia" w:ascii="宋体" w:hAnsi="宋体" w:eastAsia="宋体" w:cs="宋体"/>
        <w:sz w:val="24"/>
        <w:szCs w:val="24"/>
        <w:u w:val="single"/>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D81972"/>
    <w:multiLevelType w:val="singleLevel"/>
    <w:tmpl w:val="93D8197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iMDJmYmQ2OWQwNjc1ZjA0NzI1OTkyNWRlMGU1MGQifQ=="/>
  </w:docVars>
  <w:rsids>
    <w:rsidRoot w:val="71DE5A4F"/>
    <w:rsid w:val="00056CAF"/>
    <w:rsid w:val="000A12ED"/>
    <w:rsid w:val="000B59A9"/>
    <w:rsid w:val="000F2998"/>
    <w:rsid w:val="00233015"/>
    <w:rsid w:val="00246D02"/>
    <w:rsid w:val="0025186B"/>
    <w:rsid w:val="002C36C2"/>
    <w:rsid w:val="003E7050"/>
    <w:rsid w:val="003F4E27"/>
    <w:rsid w:val="00405C04"/>
    <w:rsid w:val="00423086"/>
    <w:rsid w:val="00512F68"/>
    <w:rsid w:val="0057713F"/>
    <w:rsid w:val="00620F50"/>
    <w:rsid w:val="006210B3"/>
    <w:rsid w:val="0064231B"/>
    <w:rsid w:val="00697B1C"/>
    <w:rsid w:val="00713087"/>
    <w:rsid w:val="00797942"/>
    <w:rsid w:val="008E5759"/>
    <w:rsid w:val="009738F9"/>
    <w:rsid w:val="00A035F9"/>
    <w:rsid w:val="00A74CA8"/>
    <w:rsid w:val="00B21A0C"/>
    <w:rsid w:val="00B55687"/>
    <w:rsid w:val="00C32CC6"/>
    <w:rsid w:val="00C86E48"/>
    <w:rsid w:val="00CF5B6D"/>
    <w:rsid w:val="00D27D7B"/>
    <w:rsid w:val="00D51F5A"/>
    <w:rsid w:val="00D67B6B"/>
    <w:rsid w:val="00E253E4"/>
    <w:rsid w:val="00EB6B90"/>
    <w:rsid w:val="02A02634"/>
    <w:rsid w:val="032F69F4"/>
    <w:rsid w:val="05C173E2"/>
    <w:rsid w:val="05D67331"/>
    <w:rsid w:val="060176B0"/>
    <w:rsid w:val="061A4D0F"/>
    <w:rsid w:val="07276548"/>
    <w:rsid w:val="07DA384C"/>
    <w:rsid w:val="08E777AB"/>
    <w:rsid w:val="091B3A94"/>
    <w:rsid w:val="093E76C7"/>
    <w:rsid w:val="0A73362A"/>
    <w:rsid w:val="0CE555B0"/>
    <w:rsid w:val="0CEE08DC"/>
    <w:rsid w:val="0D9C5B7C"/>
    <w:rsid w:val="0DED3BF7"/>
    <w:rsid w:val="0F184516"/>
    <w:rsid w:val="0F4C3E64"/>
    <w:rsid w:val="100C21FF"/>
    <w:rsid w:val="107A129B"/>
    <w:rsid w:val="117B33F3"/>
    <w:rsid w:val="1265463F"/>
    <w:rsid w:val="1374416E"/>
    <w:rsid w:val="142D31B4"/>
    <w:rsid w:val="15744470"/>
    <w:rsid w:val="157A0C70"/>
    <w:rsid w:val="167D04A9"/>
    <w:rsid w:val="181C56F8"/>
    <w:rsid w:val="18B923A1"/>
    <w:rsid w:val="19616ABA"/>
    <w:rsid w:val="19C13E98"/>
    <w:rsid w:val="19DE5CCF"/>
    <w:rsid w:val="19E806B1"/>
    <w:rsid w:val="1AD82DAC"/>
    <w:rsid w:val="1B912121"/>
    <w:rsid w:val="1CED7922"/>
    <w:rsid w:val="1EE91AD6"/>
    <w:rsid w:val="1F0F1705"/>
    <w:rsid w:val="1F5155C5"/>
    <w:rsid w:val="20BE320C"/>
    <w:rsid w:val="21336BF6"/>
    <w:rsid w:val="21857B08"/>
    <w:rsid w:val="2242405A"/>
    <w:rsid w:val="22557E56"/>
    <w:rsid w:val="22AD63A6"/>
    <w:rsid w:val="25042CED"/>
    <w:rsid w:val="251935EB"/>
    <w:rsid w:val="26317911"/>
    <w:rsid w:val="26962499"/>
    <w:rsid w:val="27206206"/>
    <w:rsid w:val="27456145"/>
    <w:rsid w:val="2B8A1EA0"/>
    <w:rsid w:val="2E9C20E4"/>
    <w:rsid w:val="30D74EFB"/>
    <w:rsid w:val="316D3982"/>
    <w:rsid w:val="32313075"/>
    <w:rsid w:val="32FC184B"/>
    <w:rsid w:val="331A7FAD"/>
    <w:rsid w:val="33835B53"/>
    <w:rsid w:val="33CB280E"/>
    <w:rsid w:val="351B77A7"/>
    <w:rsid w:val="352E0BC1"/>
    <w:rsid w:val="35F92F02"/>
    <w:rsid w:val="36925CE8"/>
    <w:rsid w:val="3733163E"/>
    <w:rsid w:val="3ACE79A6"/>
    <w:rsid w:val="3BF92CA9"/>
    <w:rsid w:val="3D8027BE"/>
    <w:rsid w:val="3E4C3DFE"/>
    <w:rsid w:val="3F5125DF"/>
    <w:rsid w:val="423C2277"/>
    <w:rsid w:val="425B1E68"/>
    <w:rsid w:val="44CB1E10"/>
    <w:rsid w:val="454D3C8A"/>
    <w:rsid w:val="456F4713"/>
    <w:rsid w:val="4662097D"/>
    <w:rsid w:val="46BD0AE0"/>
    <w:rsid w:val="471072A6"/>
    <w:rsid w:val="483966A4"/>
    <w:rsid w:val="48670274"/>
    <w:rsid w:val="48CD5AE8"/>
    <w:rsid w:val="49867369"/>
    <w:rsid w:val="4A4F44D5"/>
    <w:rsid w:val="4AEB502A"/>
    <w:rsid w:val="4AFA3593"/>
    <w:rsid w:val="4B1F584F"/>
    <w:rsid w:val="4BE11211"/>
    <w:rsid w:val="4C6F5832"/>
    <w:rsid w:val="4C976123"/>
    <w:rsid w:val="4D0562E9"/>
    <w:rsid w:val="4D094866"/>
    <w:rsid w:val="4D470587"/>
    <w:rsid w:val="4D7E1C33"/>
    <w:rsid w:val="4DA16EA9"/>
    <w:rsid w:val="4EBE52E7"/>
    <w:rsid w:val="4EF2336C"/>
    <w:rsid w:val="4F245C34"/>
    <w:rsid w:val="4FFD6AF4"/>
    <w:rsid w:val="4FFE08A0"/>
    <w:rsid w:val="512F7091"/>
    <w:rsid w:val="532F225C"/>
    <w:rsid w:val="54414F42"/>
    <w:rsid w:val="5528558C"/>
    <w:rsid w:val="55625BAA"/>
    <w:rsid w:val="56B41F6A"/>
    <w:rsid w:val="56FE672C"/>
    <w:rsid w:val="579161E1"/>
    <w:rsid w:val="58492617"/>
    <w:rsid w:val="59BF2CC2"/>
    <w:rsid w:val="5A303D2A"/>
    <w:rsid w:val="5B111B1A"/>
    <w:rsid w:val="5B4D241F"/>
    <w:rsid w:val="5BC50043"/>
    <w:rsid w:val="5D3A6F64"/>
    <w:rsid w:val="5D75349F"/>
    <w:rsid w:val="5E8B6B03"/>
    <w:rsid w:val="5FF7F31C"/>
    <w:rsid w:val="60343BAD"/>
    <w:rsid w:val="605532C8"/>
    <w:rsid w:val="60FD48E7"/>
    <w:rsid w:val="61C02C3E"/>
    <w:rsid w:val="6299063F"/>
    <w:rsid w:val="641C4FD4"/>
    <w:rsid w:val="64805613"/>
    <w:rsid w:val="66522FD5"/>
    <w:rsid w:val="686E79AA"/>
    <w:rsid w:val="6D2262FD"/>
    <w:rsid w:val="6D2D2720"/>
    <w:rsid w:val="6DDE1380"/>
    <w:rsid w:val="6E063995"/>
    <w:rsid w:val="702D2809"/>
    <w:rsid w:val="70EE44BD"/>
    <w:rsid w:val="70F83789"/>
    <w:rsid w:val="71C67A01"/>
    <w:rsid w:val="71DE5A4F"/>
    <w:rsid w:val="723C03B0"/>
    <w:rsid w:val="73B9469D"/>
    <w:rsid w:val="73E96071"/>
    <w:rsid w:val="750D242D"/>
    <w:rsid w:val="755625AD"/>
    <w:rsid w:val="75DF6A90"/>
    <w:rsid w:val="764C614C"/>
    <w:rsid w:val="76DD06A3"/>
    <w:rsid w:val="77002491"/>
    <w:rsid w:val="78CC5AF6"/>
    <w:rsid w:val="79A67B01"/>
    <w:rsid w:val="7A08012D"/>
    <w:rsid w:val="7A582EA9"/>
    <w:rsid w:val="7B9342B1"/>
    <w:rsid w:val="7FC027DC"/>
    <w:rsid w:val="FFDFD34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3">
    <w:name w:val="heading 1"/>
    <w:basedOn w:val="1"/>
    <w:next w:val="1"/>
    <w:qFormat/>
    <w:uiPriority w:val="0"/>
    <w:pPr>
      <w:keepNext/>
      <w:widowControl w:val="0"/>
      <w:snapToGrid w:val="0"/>
      <w:spacing w:line="360" w:lineRule="atLeast"/>
      <w:jc w:val="both"/>
      <w:outlineLvl w:val="0"/>
    </w:pPr>
    <w:rPr>
      <w:rFonts w:ascii="宋体" w:hAnsi="Times New Roman" w:eastAsia="宋体" w:cs="Times New Roman"/>
      <w:kern w:val="2"/>
      <w:sz w:val="28"/>
      <w:lang w:val="en-US" w:eastAsia="zh-CN" w:bidi="ar-SA"/>
    </w:rPr>
  </w:style>
  <w:style w:type="paragraph" w:styleId="4">
    <w:name w:val="heading 2"/>
    <w:basedOn w:val="1"/>
    <w:next w:val="1"/>
    <w:link w:val="51"/>
    <w:qFormat/>
    <w:uiPriority w:val="0"/>
    <w:pPr>
      <w:keepNext/>
      <w:keepLines/>
      <w:spacing w:before="260" w:after="260" w:line="413" w:lineRule="auto"/>
      <w:outlineLvl w:val="1"/>
    </w:pPr>
    <w:rPr>
      <w:rFonts w:ascii="Arial" w:hAnsi="Arial" w:eastAsia="黑体"/>
      <w:b/>
      <w:sz w:val="32"/>
    </w:rPr>
  </w:style>
  <w:style w:type="paragraph" w:styleId="2">
    <w:name w:val="heading 3"/>
    <w:basedOn w:val="1"/>
    <w:next w:val="1"/>
    <w:link w:val="41"/>
    <w:qFormat/>
    <w:uiPriority w:val="99"/>
    <w:pPr>
      <w:keepNext/>
      <w:keepLines/>
      <w:spacing w:before="260" w:after="260" w:line="415" w:lineRule="auto"/>
      <w:outlineLvl w:val="2"/>
    </w:pPr>
    <w:rPr>
      <w:b/>
      <w:bCs/>
      <w:sz w:val="32"/>
      <w:szCs w:val="32"/>
    </w:rPr>
  </w:style>
  <w:style w:type="paragraph" w:styleId="5">
    <w:name w:val="heading 7"/>
    <w:basedOn w:val="1"/>
    <w:next w:val="1"/>
    <w:link w:val="46"/>
    <w:unhideWhenUsed/>
    <w:qFormat/>
    <w:uiPriority w:val="0"/>
    <w:pPr>
      <w:keepNext/>
      <w:keepLines/>
      <w:spacing w:before="240" w:after="64" w:line="320" w:lineRule="auto"/>
      <w:outlineLvl w:val="6"/>
    </w:pPr>
    <w:rPr>
      <w:b/>
      <w:bCs/>
      <w:sz w:val="24"/>
      <w:szCs w:val="24"/>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99"/>
    <w:pPr>
      <w:adjustRightInd w:val="0"/>
      <w:snapToGrid w:val="0"/>
      <w:spacing w:line="360" w:lineRule="auto"/>
      <w:ind w:firstLine="420"/>
    </w:pPr>
    <w:rPr>
      <w:sz w:val="24"/>
    </w:rPr>
  </w:style>
  <w:style w:type="paragraph" w:styleId="7">
    <w:name w:val="annotation text"/>
    <w:basedOn w:val="1"/>
    <w:link w:val="42"/>
    <w:qFormat/>
    <w:uiPriority w:val="0"/>
    <w:pPr>
      <w:jc w:val="left"/>
    </w:pPr>
  </w:style>
  <w:style w:type="paragraph" w:styleId="8">
    <w:name w:val="Body Text"/>
    <w:basedOn w:val="1"/>
    <w:next w:val="9"/>
    <w:unhideWhenUsed/>
    <w:qFormat/>
    <w:uiPriority w:val="99"/>
    <w:pPr>
      <w:spacing w:after="120"/>
    </w:pPr>
  </w:style>
  <w:style w:type="paragraph" w:styleId="9">
    <w:name w:val="Body Text Indent"/>
    <w:basedOn w:val="1"/>
    <w:qFormat/>
    <w:uiPriority w:val="0"/>
    <w:pPr>
      <w:spacing w:line="700" w:lineRule="exact"/>
      <w:ind w:left="960"/>
    </w:pPr>
    <w:rPr>
      <w:sz w:val="44"/>
    </w:rPr>
  </w:style>
  <w:style w:type="paragraph" w:styleId="10">
    <w:name w:val="toc 3"/>
    <w:basedOn w:val="1"/>
    <w:next w:val="1"/>
    <w:qFormat/>
    <w:uiPriority w:val="0"/>
    <w:pPr>
      <w:ind w:left="840" w:leftChars="400"/>
    </w:pPr>
  </w:style>
  <w:style w:type="paragraph" w:styleId="11">
    <w:name w:val="Plain Text"/>
    <w:basedOn w:val="1"/>
    <w:link w:val="37"/>
    <w:qFormat/>
    <w:uiPriority w:val="0"/>
    <w:rPr>
      <w:rFonts w:ascii="宋体" w:hAnsi="Courier New"/>
    </w:rPr>
  </w:style>
  <w:style w:type="paragraph" w:styleId="12">
    <w:name w:val="Date"/>
    <w:basedOn w:val="1"/>
    <w:next w:val="1"/>
    <w:link w:val="45"/>
    <w:qFormat/>
    <w:uiPriority w:val="0"/>
  </w:style>
  <w:style w:type="paragraph" w:styleId="13">
    <w:name w:val="Body Text Indent 2"/>
    <w:basedOn w:val="1"/>
    <w:link w:val="40"/>
    <w:qFormat/>
    <w:uiPriority w:val="0"/>
    <w:pPr>
      <w:snapToGrid w:val="0"/>
      <w:spacing w:line="560" w:lineRule="atLeast"/>
      <w:ind w:firstLine="540"/>
    </w:pPr>
  </w:style>
  <w:style w:type="paragraph" w:styleId="14">
    <w:name w:val="Balloon Text"/>
    <w:basedOn w:val="1"/>
    <w:link w:val="44"/>
    <w:qFormat/>
    <w:uiPriority w:val="0"/>
    <w:rPr>
      <w:sz w:val="18"/>
      <w:szCs w:val="18"/>
    </w:r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link w:val="48"/>
    <w:qFormat/>
    <w:uiPriority w:val="0"/>
    <w:pPr>
      <w:pBdr>
        <w:bottom w:val="single" w:color="auto" w:sz="6" w:space="1"/>
      </w:pBdr>
      <w:tabs>
        <w:tab w:val="center" w:pos="4153"/>
        <w:tab w:val="right" w:pos="8306"/>
      </w:tabs>
      <w:snapToGrid w:val="0"/>
      <w:jc w:val="center"/>
    </w:pPr>
    <w:rPr>
      <w:sz w:val="18"/>
    </w:rPr>
  </w:style>
  <w:style w:type="paragraph" w:styleId="17">
    <w:name w:val="toc 1"/>
    <w:basedOn w:val="1"/>
    <w:next w:val="1"/>
    <w:qFormat/>
    <w:uiPriority w:val="39"/>
    <w:pPr>
      <w:spacing w:line="180" w:lineRule="auto"/>
      <w:jc w:val="center"/>
    </w:pPr>
    <w:rPr>
      <w:sz w:val="30"/>
    </w:rPr>
  </w:style>
  <w:style w:type="paragraph" w:styleId="18">
    <w:name w:val="toc 2"/>
    <w:basedOn w:val="1"/>
    <w:next w:val="1"/>
    <w:qFormat/>
    <w:uiPriority w:val="39"/>
    <w:pPr>
      <w:ind w:left="420" w:leftChars="200"/>
    </w:pPr>
  </w:style>
  <w:style w:type="paragraph" w:styleId="19">
    <w:name w:val="Normal (Web)"/>
    <w:basedOn w:val="1"/>
    <w:qFormat/>
    <w:uiPriority w:val="0"/>
    <w:rPr>
      <w:sz w:val="24"/>
    </w:rPr>
  </w:style>
  <w:style w:type="paragraph" w:styleId="20">
    <w:name w:val="Title"/>
    <w:basedOn w:val="1"/>
    <w:qFormat/>
    <w:uiPriority w:val="0"/>
    <w:pPr>
      <w:widowControl/>
      <w:spacing w:after="240" w:afterLines="0" w:afterAutospacing="0" w:line="360" w:lineRule="auto"/>
      <w:jc w:val="center"/>
    </w:pPr>
    <w:rPr>
      <w:rFonts w:ascii="Arial" w:hAnsi="Arial" w:eastAsia="宋体"/>
      <w:b/>
      <w:smallCaps/>
      <w:kern w:val="28"/>
      <w:sz w:val="36"/>
      <w:lang w:val="en-US" w:eastAsia="en-US"/>
    </w:rPr>
  </w:style>
  <w:style w:type="paragraph" w:styleId="21">
    <w:name w:val="annotation subject"/>
    <w:basedOn w:val="7"/>
    <w:next w:val="7"/>
    <w:link w:val="43"/>
    <w:qFormat/>
    <w:uiPriority w:val="0"/>
    <w:rPr>
      <w:b/>
      <w:bCs/>
    </w:rPr>
  </w:style>
  <w:style w:type="paragraph" w:styleId="22">
    <w:name w:val="Body Text First Indent"/>
    <w:basedOn w:val="8"/>
    <w:next w:val="1"/>
    <w:qFormat/>
    <w:uiPriority w:val="0"/>
    <w:pPr>
      <w:ind w:firstLine="420"/>
    </w:pPr>
  </w:style>
  <w:style w:type="paragraph" w:styleId="23">
    <w:name w:val="Body Text First Indent 2"/>
    <w:next w:val="15"/>
    <w:qFormat/>
    <w:uiPriority w:val="0"/>
    <w:pPr>
      <w:widowControl w:val="0"/>
      <w:spacing w:after="120" w:afterLines="0" w:line="240" w:lineRule="auto"/>
      <w:ind w:left="420" w:leftChars="200" w:firstLine="420" w:firstLineChars="200"/>
      <w:jc w:val="both"/>
    </w:pPr>
    <w:rPr>
      <w:rFonts w:ascii="Calibri" w:hAnsi="Calibri" w:eastAsia="宋体" w:cs="Times New Roman"/>
      <w:kern w:val="2"/>
      <w:sz w:val="44"/>
      <w:lang w:val="en-US" w:eastAsia="zh-CN" w:bidi="ar-SA"/>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page number"/>
    <w:basedOn w:val="26"/>
    <w:qFormat/>
    <w:uiPriority w:val="0"/>
  </w:style>
  <w:style w:type="character" w:styleId="28">
    <w:name w:val="Hyperlink"/>
    <w:qFormat/>
    <w:uiPriority w:val="99"/>
    <w:rPr>
      <w:color w:val="0000FF"/>
      <w:u w:val="single"/>
    </w:rPr>
  </w:style>
  <w:style w:type="character" w:styleId="29">
    <w:name w:val="annotation reference"/>
    <w:basedOn w:val="26"/>
    <w:qFormat/>
    <w:uiPriority w:val="0"/>
    <w:rPr>
      <w:sz w:val="21"/>
      <w:szCs w:val="21"/>
    </w:rPr>
  </w:style>
  <w:style w:type="paragraph" w:customStyle="1" w:styleId="30">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31">
    <w:name w:val="BodyText"/>
    <w:basedOn w:val="1"/>
    <w:next w:val="32"/>
    <w:qFormat/>
    <w:uiPriority w:val="0"/>
    <w:pPr>
      <w:textAlignment w:val="baseline"/>
    </w:pPr>
    <w:rPr>
      <w:rFonts w:ascii="仿宋_GB2312" w:eastAsia="仿宋_GB2312"/>
      <w:sz w:val="32"/>
    </w:rPr>
  </w:style>
  <w:style w:type="paragraph" w:customStyle="1" w:styleId="32">
    <w:name w:val="BodyTextIndent"/>
    <w:basedOn w:val="1"/>
    <w:qFormat/>
    <w:uiPriority w:val="0"/>
    <w:pPr>
      <w:spacing w:line="700" w:lineRule="exact"/>
      <w:ind w:left="960"/>
      <w:textAlignment w:val="baseline"/>
    </w:pPr>
    <w:rPr>
      <w:sz w:val="44"/>
    </w:rPr>
  </w:style>
  <w:style w:type="paragraph" w:customStyle="1" w:styleId="33">
    <w:name w:val="明显引用1"/>
    <w:basedOn w:val="1"/>
    <w:next w:val="1"/>
    <w:qFormat/>
    <w:uiPriority w:val="30"/>
    <w:pPr>
      <w:widowControl/>
      <w:pBdr>
        <w:top w:val="single" w:color="404040" w:sz="4" w:space="10"/>
        <w:bottom w:val="single" w:color="404040" w:sz="4" w:space="10"/>
      </w:pBdr>
      <w:spacing w:before="360" w:after="360" w:line="259" w:lineRule="auto"/>
      <w:ind w:left="864" w:right="864"/>
      <w:jc w:val="center"/>
    </w:pPr>
    <w:rPr>
      <w:rFonts w:ascii="Calibri" w:hAnsi="Calibri"/>
      <w:i/>
      <w:iCs/>
      <w:color w:val="404040"/>
      <w:kern w:val="0"/>
      <w:sz w:val="22"/>
      <w:szCs w:val="22"/>
    </w:rPr>
  </w:style>
  <w:style w:type="paragraph" w:customStyle="1" w:styleId="34">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character" w:customStyle="1" w:styleId="35">
    <w:name w:val="标题 2 字符"/>
    <w:qFormat/>
    <w:locked/>
    <w:uiPriority w:val="99"/>
    <w:rPr>
      <w:rFonts w:ascii="Arial" w:hAnsi="Arial" w:eastAsia="黑体"/>
      <w:b/>
      <w:sz w:val="32"/>
    </w:rPr>
  </w:style>
  <w:style w:type="paragraph" w:customStyle="1" w:styleId="36">
    <w:name w:val="附件"/>
    <w:next w:val="1"/>
    <w:qFormat/>
    <w:uiPriority w:val="0"/>
    <w:pPr>
      <w:tabs>
        <w:tab w:val="right" w:leader="dot" w:pos="9402"/>
      </w:tabs>
      <w:spacing w:line="400" w:lineRule="exact"/>
      <w:jc w:val="center"/>
      <w:outlineLvl w:val="0"/>
    </w:pPr>
    <w:rPr>
      <w:rFonts w:ascii="Times New Roman" w:hAnsi="Times New Roman" w:eastAsia="方正黑体_GBK" w:cs="Times New Roman"/>
      <w:b/>
      <w:bCs/>
      <w:smallCaps/>
      <w:kern w:val="2"/>
      <w:sz w:val="28"/>
      <w:lang w:val="en-US" w:eastAsia="zh-CN" w:bidi="ar-SA"/>
    </w:rPr>
  </w:style>
  <w:style w:type="character" w:customStyle="1" w:styleId="37">
    <w:name w:val="纯文本 Char"/>
    <w:basedOn w:val="26"/>
    <w:link w:val="11"/>
    <w:qFormat/>
    <w:uiPriority w:val="0"/>
    <w:rPr>
      <w:rFonts w:hint="eastAsia" w:ascii="宋体" w:hAnsi="Courier New" w:eastAsia="宋体" w:cs="Courier New"/>
      <w:kern w:val="2"/>
      <w:sz w:val="21"/>
      <w:szCs w:val="21"/>
    </w:rPr>
  </w:style>
  <w:style w:type="paragraph" w:customStyle="1" w:styleId="38">
    <w:name w:val="1"/>
    <w:basedOn w:val="1"/>
    <w:next w:val="11"/>
    <w:qFormat/>
    <w:uiPriority w:val="0"/>
    <w:rPr>
      <w:rFonts w:hint="eastAsia" w:ascii="宋体" w:hAnsi="Courier New"/>
      <w:sz w:val="21"/>
    </w:rPr>
  </w:style>
  <w:style w:type="character" w:customStyle="1" w:styleId="39">
    <w:name w:val="正文文本缩进 2 Char1"/>
    <w:basedOn w:val="26"/>
    <w:qFormat/>
    <w:uiPriority w:val="0"/>
    <w:rPr>
      <w:kern w:val="2"/>
      <w:sz w:val="28"/>
    </w:rPr>
  </w:style>
  <w:style w:type="character" w:customStyle="1" w:styleId="40">
    <w:name w:val="正文文本缩进 2 Char"/>
    <w:basedOn w:val="26"/>
    <w:link w:val="13"/>
    <w:qFormat/>
    <w:uiPriority w:val="0"/>
    <w:rPr>
      <w:kern w:val="2"/>
      <w:sz w:val="28"/>
    </w:rPr>
  </w:style>
  <w:style w:type="character" w:customStyle="1" w:styleId="41">
    <w:name w:val="标题 3 Char"/>
    <w:basedOn w:val="26"/>
    <w:link w:val="2"/>
    <w:qFormat/>
    <w:uiPriority w:val="0"/>
    <w:rPr>
      <w:b/>
      <w:kern w:val="2"/>
      <w:sz w:val="32"/>
    </w:rPr>
  </w:style>
  <w:style w:type="character" w:customStyle="1" w:styleId="42">
    <w:name w:val="批注文字 Char"/>
    <w:basedOn w:val="26"/>
    <w:link w:val="7"/>
    <w:qFormat/>
    <w:uiPriority w:val="0"/>
    <w:rPr>
      <w:rFonts w:ascii="Times New Roman" w:hAnsi="Times New Roman" w:cs="Times New Roman"/>
      <w:kern w:val="2"/>
      <w:sz w:val="28"/>
    </w:rPr>
  </w:style>
  <w:style w:type="character" w:customStyle="1" w:styleId="43">
    <w:name w:val="批注主题 Char"/>
    <w:basedOn w:val="42"/>
    <w:link w:val="21"/>
    <w:qFormat/>
    <w:uiPriority w:val="0"/>
    <w:rPr>
      <w:rFonts w:ascii="Times New Roman" w:hAnsi="Times New Roman" w:cs="Times New Roman"/>
      <w:b/>
      <w:bCs/>
      <w:kern w:val="2"/>
      <w:sz w:val="28"/>
    </w:rPr>
  </w:style>
  <w:style w:type="character" w:customStyle="1" w:styleId="44">
    <w:name w:val="批注框文本 Char"/>
    <w:basedOn w:val="26"/>
    <w:link w:val="14"/>
    <w:qFormat/>
    <w:uiPriority w:val="0"/>
    <w:rPr>
      <w:rFonts w:ascii="Times New Roman" w:hAnsi="Times New Roman" w:cs="Times New Roman"/>
      <w:kern w:val="2"/>
      <w:sz w:val="18"/>
      <w:szCs w:val="18"/>
    </w:rPr>
  </w:style>
  <w:style w:type="character" w:customStyle="1" w:styleId="45">
    <w:name w:val="日期 Char"/>
    <w:link w:val="12"/>
    <w:qFormat/>
    <w:uiPriority w:val="0"/>
    <w:rPr>
      <w:rFonts w:ascii="Times New Roman" w:hAnsi="Times New Roman" w:cs="Times New Roman"/>
      <w:kern w:val="2"/>
      <w:sz w:val="28"/>
    </w:rPr>
  </w:style>
  <w:style w:type="character" w:customStyle="1" w:styleId="46">
    <w:name w:val="标题 7 Char"/>
    <w:basedOn w:val="26"/>
    <w:link w:val="5"/>
    <w:semiHidden/>
    <w:qFormat/>
    <w:uiPriority w:val="0"/>
    <w:rPr>
      <w:rFonts w:ascii="Times New Roman" w:hAnsi="Times New Roman" w:cs="Times New Roman"/>
      <w:b/>
      <w:bCs/>
      <w:kern w:val="2"/>
      <w:sz w:val="24"/>
      <w:szCs w:val="24"/>
    </w:rPr>
  </w:style>
  <w:style w:type="character" w:customStyle="1" w:styleId="47">
    <w:name w:val="标题 7 字符1"/>
    <w:qFormat/>
    <w:uiPriority w:val="0"/>
    <w:rPr>
      <w:rFonts w:ascii="Arial" w:hAnsi="Arial" w:eastAsia="黑体" w:cs="Times New Roman"/>
      <w:b/>
      <w:kern w:val="2"/>
      <w:sz w:val="24"/>
      <w:lang w:val="en-US" w:eastAsia="zh-CN" w:bidi="ar-SA"/>
    </w:rPr>
  </w:style>
  <w:style w:type="character" w:customStyle="1" w:styleId="48">
    <w:name w:val="页眉 Char"/>
    <w:link w:val="16"/>
    <w:qFormat/>
    <w:uiPriority w:val="0"/>
    <w:rPr>
      <w:rFonts w:ascii="Times New Roman" w:hAnsi="Times New Roman" w:cs="Times New Roman"/>
      <w:kern w:val="2"/>
      <w:sz w:val="18"/>
    </w:rPr>
  </w:style>
  <w:style w:type="paragraph" w:customStyle="1" w:styleId="49">
    <w:name w:val="正文首行缩进两字符"/>
    <w:basedOn w:val="1"/>
    <w:qFormat/>
    <w:uiPriority w:val="0"/>
    <w:pPr>
      <w:spacing w:line="360" w:lineRule="auto"/>
      <w:ind w:firstLine="200" w:firstLineChars="200"/>
    </w:pPr>
  </w:style>
  <w:style w:type="paragraph" w:customStyle="1" w:styleId="50">
    <w:name w:val="段落正文"/>
    <w:basedOn w:val="1"/>
    <w:qFormat/>
    <w:uiPriority w:val="0"/>
    <w:pPr>
      <w:spacing w:beforeLines="50" w:line="360" w:lineRule="auto"/>
      <w:ind w:firstLine="200" w:firstLineChars="200"/>
    </w:pPr>
    <w:rPr>
      <w:spacing w:val="2"/>
      <w:sz w:val="24"/>
    </w:rPr>
  </w:style>
  <w:style w:type="character" w:customStyle="1" w:styleId="51">
    <w:name w:val="标题 2 Char"/>
    <w:basedOn w:val="26"/>
    <w:link w:val="4"/>
    <w:qFormat/>
    <w:uiPriority w:val="0"/>
    <w:rPr>
      <w:rFonts w:hint="default" w:ascii="Arial" w:hAnsi="Arial" w:eastAsia="黑体" w:cs="Arial"/>
      <w:b/>
      <w:kern w:val="2"/>
      <w:sz w:val="32"/>
    </w:rPr>
  </w:style>
  <w:style w:type="paragraph" w:customStyle="1" w:styleId="52">
    <w:name w:val="保证金信息卡行距及首行不空格"/>
    <w:qFormat/>
    <w:uiPriority w:val="0"/>
    <w:pPr>
      <w:spacing w:line="560" w:lineRule="exact"/>
    </w:pPr>
    <w:rPr>
      <w:rFonts w:ascii="黑体" w:hAnsi="宋体" w:eastAsia="仿宋_GB2312" w:cs="Times New Roman"/>
      <w:kern w:val="2"/>
      <w:sz w:val="24"/>
      <w:szCs w:val="90"/>
      <w:lang w:val="en-US" w:eastAsia="zh-CN" w:bidi="ar-SA"/>
    </w:rPr>
  </w:style>
  <w:style w:type="paragraph" w:customStyle="1" w:styleId="53">
    <w:name w:val="授权书和信息卡行距"/>
    <w:semiHidden/>
    <w:qFormat/>
    <w:uiPriority w:val="0"/>
    <w:pPr>
      <w:spacing w:line="560" w:lineRule="exact"/>
      <w:ind w:left="200" w:hanging="200" w:hangingChars="200"/>
    </w:pPr>
    <w:rPr>
      <w:rFonts w:ascii="Times New Roman" w:hAnsi="Times New Roman" w:eastAsia="仿宋_GB2312" w:cs="Times New Roman"/>
      <w:kern w:val="2"/>
      <w:sz w:val="24"/>
      <w:szCs w:val="24"/>
      <w:lang w:val="en-US" w:eastAsia="zh-CN" w:bidi="ar-SA"/>
    </w:rPr>
  </w:style>
  <w:style w:type="paragraph" w:customStyle="1" w:styleId="54">
    <w:name w:val="图例"/>
    <w:basedOn w:val="1"/>
    <w:qFormat/>
    <w:uiPriority w:val="0"/>
    <w:pPr>
      <w:spacing w:before="120" w:beforeLines="0" w:beforeAutospacing="0" w:after="120" w:afterLines="0" w:afterAutospacing="0" w:line="360" w:lineRule="auto"/>
      <w:jc w:val="center"/>
    </w:pPr>
    <w:rPr>
      <w:rFonts w:eastAsia="仿宋_GB2312"/>
      <w:b/>
      <w:sz w:val="24"/>
    </w:rPr>
  </w:style>
  <w:style w:type="character" w:customStyle="1" w:styleId="55">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theme" Target="theme/theme1.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鸿兴</Manager>
  <Company>鸿兴</Company>
  <Pages>32</Pages>
  <Words>4690</Words>
  <Characters>4960</Characters>
  <Lines>99</Lines>
  <Paragraphs>28</Paragraphs>
  <TotalTime>8</TotalTime>
  <ScaleCrop>false</ScaleCrop>
  <LinksUpToDate>false</LinksUpToDate>
  <CharactersWithSpaces>5019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2023-06-14T07:19:00Z</dcterms:created>
  <dc:creator>鸿兴</dc:creator>
  <cp:lastModifiedBy>代理</cp:lastModifiedBy>
  <cp:lastPrinted>2024-05-27T08:16:00Z</cp:lastPrinted>
  <dcterms:modified xsi:type="dcterms:W3CDTF">2025-06-16T09:21:19Z</dcterms:modified>
  <dc:title>重庆市政府采购云平台网上竞采文件</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18AD7B9FA9B8440391DABDCD5C7AC79E_13</vt:lpwstr>
  </property>
  <property fmtid="{D5CDD505-2E9C-101B-9397-08002B2CF9AE}" pid="4" name="KSOTemplateDocerSaveRecord">
    <vt:lpwstr>eyJoZGlkIjoiNzhjYTViNjQxMzk3OWM1ZmQyOTNkYjkxYzU4OTMzNzQiLCJ1c2VySWQiOiIxMTMyNTA2NTc5In0=</vt:lpwstr>
  </property>
</Properties>
</file>