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03945A">
      <w:pPr>
        <w:keepNext w:val="0"/>
        <w:keepLines w:val="0"/>
        <w:pageBreakBefore w:val="0"/>
        <w:widowControl/>
        <w:kinsoku/>
        <w:wordWrap/>
        <w:overflowPunct/>
        <w:topLinePunct w:val="0"/>
        <w:autoSpaceDE/>
        <w:autoSpaceDN/>
        <w:bidi w:val="0"/>
        <w:adjustRightInd/>
        <w:snapToGrid/>
        <w:spacing w:line="576" w:lineRule="exact"/>
        <w:jc w:val="center"/>
        <w:textAlignment w:val="baseline"/>
        <w:rPr>
          <w:rFonts w:eastAsia="方正小标宋_GBK" w:cs="Times New Roman"/>
          <w:sz w:val="44"/>
          <w:szCs w:val="44"/>
        </w:rPr>
      </w:pPr>
      <w:r>
        <w:rPr>
          <w:rFonts w:eastAsia="方正小标宋_GBK" w:cs="Times New Roman"/>
          <w:sz w:val="44"/>
          <w:szCs w:val="44"/>
        </w:rPr>
        <w:t>重庆市綦江区中医院</w:t>
      </w:r>
    </w:p>
    <w:p w14:paraId="23443AA7">
      <w:pPr>
        <w:keepNext w:val="0"/>
        <w:keepLines w:val="0"/>
        <w:pageBreakBefore w:val="0"/>
        <w:widowControl/>
        <w:kinsoku/>
        <w:wordWrap/>
        <w:overflowPunct/>
        <w:topLinePunct w:val="0"/>
        <w:autoSpaceDE/>
        <w:autoSpaceDN/>
        <w:bidi w:val="0"/>
        <w:adjustRightInd/>
        <w:snapToGrid/>
        <w:spacing w:line="576" w:lineRule="exact"/>
        <w:jc w:val="center"/>
        <w:textAlignment w:val="baseline"/>
        <w:rPr>
          <w:rFonts w:eastAsia="方正小标宋_GBK" w:cs="Times New Roman"/>
          <w:sz w:val="44"/>
          <w:szCs w:val="44"/>
        </w:rPr>
      </w:pPr>
      <w:r>
        <w:rPr>
          <w:rFonts w:eastAsia="方正小标宋_GBK" w:cs="Times New Roman"/>
          <w:sz w:val="44"/>
          <w:szCs w:val="44"/>
        </w:rPr>
        <w:t>关于公开征集</w:t>
      </w:r>
      <w:r>
        <w:rPr>
          <w:rFonts w:hint="eastAsia" w:eastAsia="方正小标宋_GBK" w:cs="Times New Roman"/>
          <w:sz w:val="44"/>
          <w:szCs w:val="44"/>
        </w:rPr>
        <w:t>医疗</w:t>
      </w:r>
      <w:r>
        <w:rPr>
          <w:rFonts w:eastAsia="方正小标宋_GBK" w:cs="Times New Roman"/>
          <w:sz w:val="44"/>
          <w:szCs w:val="44"/>
        </w:rPr>
        <w:t>责任险</w:t>
      </w:r>
      <w:r>
        <w:rPr>
          <w:rFonts w:hint="eastAsia" w:eastAsia="方正小标宋_GBK" w:cs="Times New Roman"/>
          <w:sz w:val="44"/>
          <w:szCs w:val="44"/>
        </w:rPr>
        <w:t>采购</w:t>
      </w:r>
      <w:r>
        <w:rPr>
          <w:rFonts w:eastAsia="方正小标宋_GBK" w:cs="Times New Roman"/>
          <w:sz w:val="44"/>
          <w:szCs w:val="44"/>
        </w:rPr>
        <w:t>需求的调查公告</w:t>
      </w:r>
    </w:p>
    <w:p w14:paraId="7E0BF6E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为科学、合理地制定我院医疗责任保险采购方案，完善医疗风险社会化分担机制，提升风险管理水平，我院现面向社会公开进行医疗责任保险采购需求调查。欢迎符合条件的保险机构积极参与，提供专业意见和建议。具体事项公告如下：</w:t>
      </w:r>
    </w:p>
    <w:p w14:paraId="27A5914A">
      <w:pPr>
        <w:keepNext w:val="0"/>
        <w:keepLines w:val="0"/>
        <w:pageBreakBefore w:val="0"/>
        <w:widowControl/>
        <w:kinsoku/>
        <w:wordWrap/>
        <w:overflowPunct/>
        <w:topLinePunct w:val="0"/>
        <w:autoSpaceDE/>
        <w:autoSpaceDN/>
        <w:bidi w:val="0"/>
        <w:adjustRightInd/>
        <w:snapToGrid/>
        <w:spacing w:line="576"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一、调查目的</w:t>
      </w:r>
    </w:p>
    <w:p w14:paraId="29888B4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全面了解医疗责任保险市场服务能力、产品特点与发展趋势，广泛征集保险方案设计、风险管理和理赔服务等方面的专业建议，为我院后续规范、高效地开展医疗责任保险采购工作提供决策参考。</w:t>
      </w:r>
    </w:p>
    <w:p w14:paraId="4010043C">
      <w:pPr>
        <w:keepNext w:val="0"/>
        <w:keepLines w:val="0"/>
        <w:pageBreakBefore w:val="0"/>
        <w:widowControl/>
        <w:kinsoku/>
        <w:wordWrap/>
        <w:overflowPunct/>
        <w:topLinePunct w:val="0"/>
        <w:autoSpaceDE/>
        <w:autoSpaceDN/>
        <w:bidi w:val="0"/>
        <w:adjustRightInd/>
        <w:snapToGrid/>
        <w:spacing w:line="576"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二、调查对象要求</w:t>
      </w:r>
    </w:p>
    <w:p w14:paraId="0AF5CFAE">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1.</w:t>
      </w:r>
      <w:r>
        <w:rPr>
          <w:rFonts w:hint="eastAsia" w:ascii="方正仿宋_GB2312" w:hAnsi="方正仿宋_GB2312" w:eastAsia="方正仿宋_GB2312" w:cs="方正仿宋_GB2312"/>
          <w:sz w:val="28"/>
          <w:szCs w:val="28"/>
        </w:rPr>
        <w:t>依法设立并有效存续，持有国家金融监督管理机构核发的《保险业务经营许可证》。</w:t>
      </w:r>
    </w:p>
    <w:p w14:paraId="195C0ED8">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2.</w:t>
      </w:r>
      <w:r>
        <w:rPr>
          <w:rFonts w:hint="eastAsia" w:ascii="方正仿宋_GB2312" w:hAnsi="方正仿宋_GB2312" w:eastAsia="方正仿宋_GB2312" w:cs="方正仿宋_GB2312"/>
          <w:sz w:val="28"/>
          <w:szCs w:val="28"/>
        </w:rPr>
        <w:t>注册资本及偿付能力充足，符合监管要求，信誉良好。</w:t>
      </w:r>
    </w:p>
    <w:p w14:paraId="35CF3FA0">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3.</w:t>
      </w:r>
      <w:r>
        <w:rPr>
          <w:rFonts w:hint="eastAsia" w:ascii="方正仿宋_GB2312" w:hAnsi="方正仿宋_GB2312" w:eastAsia="方正仿宋_GB2312" w:cs="方正仿宋_GB2312"/>
          <w:sz w:val="28"/>
          <w:szCs w:val="28"/>
        </w:rPr>
        <w:t>具备为大型公立医疗机构，特别是【如：三级甲等综合医院】提供医疗责任保险及相关服务的成功经验与稳定服务能力。</w:t>
      </w:r>
    </w:p>
    <w:p w14:paraId="0136EC05">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4.</w:t>
      </w:r>
      <w:r>
        <w:rPr>
          <w:rFonts w:hint="eastAsia" w:ascii="方正仿宋_GB2312" w:hAnsi="方正仿宋_GB2312" w:eastAsia="方正仿宋_GB2312" w:cs="方正仿宋_GB2312"/>
          <w:sz w:val="28"/>
          <w:szCs w:val="28"/>
        </w:rPr>
        <w:t>近三年内在经营活动中无重大违法违规记录。</w:t>
      </w:r>
    </w:p>
    <w:p w14:paraId="3A0AE1FE">
      <w:pPr>
        <w:keepNext w:val="0"/>
        <w:keepLines w:val="0"/>
        <w:pageBreakBefore w:val="0"/>
        <w:widowControl/>
        <w:kinsoku/>
        <w:wordWrap/>
        <w:overflowPunct/>
        <w:topLinePunct w:val="0"/>
        <w:autoSpaceDE/>
        <w:autoSpaceDN/>
        <w:bidi w:val="0"/>
        <w:adjustRightInd/>
        <w:snapToGrid/>
        <w:spacing w:line="576"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三、调查内容与反馈要求</w:t>
      </w:r>
    </w:p>
    <w:p w14:paraId="71C94A32">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请有意向的保险机构，结合我院实际情况（可参考附件《医院概况》），重点就以下方面提供书面材料或方案构想：</w:t>
      </w:r>
    </w:p>
    <w:p w14:paraId="432FBE6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eastAsia="zh-CN"/>
        </w:rPr>
        <w:t>（</w:t>
      </w:r>
      <w:r>
        <w:rPr>
          <w:rFonts w:hint="eastAsia" w:ascii="方正仿宋_GB2312" w:hAnsi="方正仿宋_GB2312" w:eastAsia="方正仿宋_GB2312" w:cs="方正仿宋_GB2312"/>
          <w:b/>
          <w:bCs/>
          <w:sz w:val="28"/>
          <w:szCs w:val="28"/>
          <w:lang w:val="en-US" w:eastAsia="zh-CN"/>
        </w:rPr>
        <w:t>一</w:t>
      </w:r>
      <w:r>
        <w:rPr>
          <w:rFonts w:hint="eastAsia" w:ascii="方正仿宋_GB2312" w:hAnsi="方正仿宋_GB2312" w:eastAsia="方正仿宋_GB2312" w:cs="方正仿宋_GB2312"/>
          <w:b/>
          <w:bCs/>
          <w:sz w:val="28"/>
          <w:szCs w:val="28"/>
          <w:lang w:eastAsia="zh-CN"/>
        </w:rPr>
        <w:t>）</w:t>
      </w:r>
      <w:r>
        <w:rPr>
          <w:rFonts w:hint="eastAsia" w:ascii="方正仿宋_GB2312" w:hAnsi="方正仿宋_GB2312" w:eastAsia="方正仿宋_GB2312" w:cs="方正仿宋_GB2312"/>
          <w:b/>
          <w:bCs/>
          <w:sz w:val="28"/>
          <w:szCs w:val="28"/>
        </w:rPr>
        <w:t>产品方案建议：</w:t>
      </w:r>
    </w:p>
    <w:p w14:paraId="6D3E05B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1.</w:t>
      </w:r>
      <w:r>
        <w:rPr>
          <w:rFonts w:hint="eastAsia" w:ascii="方正仿宋_GB2312" w:hAnsi="方正仿宋_GB2312" w:eastAsia="方正仿宋_GB2312" w:cs="方正仿宋_GB2312"/>
          <w:sz w:val="28"/>
          <w:szCs w:val="28"/>
        </w:rPr>
        <w:t>主险（医疗责任险）的核心保障范围、责任限额（每次/每人/累计）设定、费率测算模型与参考价格区间。</w:t>
      </w:r>
    </w:p>
    <w:p w14:paraId="0996D1A0">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2.</w:t>
      </w:r>
      <w:r>
        <w:rPr>
          <w:rFonts w:hint="eastAsia" w:ascii="方正仿宋_GB2312" w:hAnsi="方正仿宋_GB2312" w:eastAsia="方正仿宋_GB2312" w:cs="方正仿宋_GB2312"/>
          <w:sz w:val="28"/>
          <w:szCs w:val="28"/>
        </w:rPr>
        <w:t>推荐的附加险种（如：场所责任、医务人员意外伤害、舆情管理等）及其必要性分析。</w:t>
      </w:r>
    </w:p>
    <w:p w14:paraId="48732C81">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3.</w:t>
      </w:r>
      <w:r>
        <w:rPr>
          <w:rFonts w:hint="eastAsia" w:ascii="方正仿宋_GB2312" w:hAnsi="方正仿宋_GB2312" w:eastAsia="方正仿宋_GB2312" w:cs="方正仿宋_GB2312"/>
          <w:sz w:val="28"/>
          <w:szCs w:val="28"/>
        </w:rPr>
        <w:t>免赔额（率）设置、追溯期、索赔发现期等关键条款的建议。</w:t>
      </w:r>
    </w:p>
    <w:p w14:paraId="5469CD6F">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eastAsia="zh-CN"/>
        </w:rPr>
        <w:t>（</w:t>
      </w:r>
      <w:r>
        <w:rPr>
          <w:rFonts w:hint="eastAsia" w:ascii="方正仿宋_GB2312" w:hAnsi="方正仿宋_GB2312" w:eastAsia="方正仿宋_GB2312" w:cs="方正仿宋_GB2312"/>
          <w:b/>
          <w:bCs/>
          <w:sz w:val="28"/>
          <w:szCs w:val="28"/>
          <w:lang w:val="en-US" w:eastAsia="zh-CN"/>
        </w:rPr>
        <w:t>二</w:t>
      </w:r>
      <w:r>
        <w:rPr>
          <w:rFonts w:hint="eastAsia" w:ascii="方正仿宋_GB2312" w:hAnsi="方正仿宋_GB2312" w:eastAsia="方正仿宋_GB2312" w:cs="方正仿宋_GB2312"/>
          <w:b/>
          <w:bCs/>
          <w:sz w:val="28"/>
          <w:szCs w:val="28"/>
          <w:lang w:eastAsia="zh-CN"/>
        </w:rPr>
        <w:t>）</w:t>
      </w:r>
      <w:r>
        <w:rPr>
          <w:rFonts w:hint="eastAsia" w:ascii="方正仿宋_GB2312" w:hAnsi="方正仿宋_GB2312" w:eastAsia="方正仿宋_GB2312" w:cs="方正仿宋_GB2312"/>
          <w:b/>
          <w:bCs/>
          <w:sz w:val="28"/>
          <w:szCs w:val="28"/>
        </w:rPr>
        <w:t>风险管控与服务支持：</w:t>
      </w:r>
    </w:p>
    <w:p w14:paraId="7FA56E4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1.</w:t>
      </w:r>
      <w:r>
        <w:rPr>
          <w:rFonts w:hint="eastAsia" w:ascii="方正仿宋_GB2312" w:hAnsi="方正仿宋_GB2312" w:eastAsia="方正仿宋_GB2312" w:cs="方正仿宋_GB2312"/>
          <w:sz w:val="28"/>
          <w:szCs w:val="28"/>
        </w:rPr>
        <w:t>承保前可提供的风险评估服务内容。</w:t>
      </w:r>
    </w:p>
    <w:p w14:paraId="0FE4627E">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2.</w:t>
      </w:r>
      <w:r>
        <w:rPr>
          <w:rFonts w:hint="eastAsia" w:ascii="方正仿宋_GB2312" w:hAnsi="方正仿宋_GB2312" w:eastAsia="方正仿宋_GB2312" w:cs="方正仿宋_GB2312"/>
          <w:sz w:val="28"/>
          <w:szCs w:val="28"/>
        </w:rPr>
        <w:t>保险期间内，协助医院进行风险防范、培训、巡查等“风险减量”管理的具体措施与能力。</w:t>
      </w:r>
    </w:p>
    <w:p w14:paraId="442DD489">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3.</w:t>
      </w:r>
      <w:r>
        <w:rPr>
          <w:rFonts w:hint="eastAsia" w:ascii="方正仿宋_GB2312" w:hAnsi="方正仿宋_GB2312" w:eastAsia="方正仿宋_GB2312" w:cs="方正仿宋_GB2312"/>
          <w:sz w:val="28"/>
          <w:szCs w:val="28"/>
        </w:rPr>
        <w:t>出险后的理赔流程、响应时效承诺（如现场查勘、资料审核、赔款支付等各环节时限）、纠纷调解与法律支持的具体方案。</w:t>
      </w:r>
    </w:p>
    <w:p w14:paraId="50CD676D">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eastAsia="zh-CN"/>
        </w:rPr>
        <w:t>（</w:t>
      </w:r>
      <w:r>
        <w:rPr>
          <w:rFonts w:hint="eastAsia" w:ascii="方正仿宋_GB2312" w:hAnsi="方正仿宋_GB2312" w:eastAsia="方正仿宋_GB2312" w:cs="方正仿宋_GB2312"/>
          <w:b/>
          <w:bCs/>
          <w:sz w:val="28"/>
          <w:szCs w:val="28"/>
          <w:lang w:val="en-US" w:eastAsia="zh-CN"/>
        </w:rPr>
        <w:t>三</w:t>
      </w:r>
      <w:r>
        <w:rPr>
          <w:rFonts w:hint="eastAsia" w:ascii="方正仿宋_GB2312" w:hAnsi="方正仿宋_GB2312" w:eastAsia="方正仿宋_GB2312" w:cs="方正仿宋_GB2312"/>
          <w:b/>
          <w:bCs/>
          <w:sz w:val="28"/>
          <w:szCs w:val="28"/>
          <w:lang w:eastAsia="zh-CN"/>
        </w:rPr>
        <w:t>）</w:t>
      </w:r>
      <w:r>
        <w:rPr>
          <w:rFonts w:hint="eastAsia" w:ascii="方正仿宋_GB2312" w:hAnsi="方正仿宋_GB2312" w:eastAsia="方正仿宋_GB2312" w:cs="方正仿宋_GB2312"/>
          <w:b/>
          <w:bCs/>
          <w:sz w:val="28"/>
          <w:szCs w:val="28"/>
        </w:rPr>
        <w:t>机构实力与案例：</w:t>
      </w:r>
    </w:p>
    <w:p w14:paraId="4B814FA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1.</w:t>
      </w:r>
      <w:r>
        <w:rPr>
          <w:rFonts w:hint="eastAsia" w:ascii="方正仿宋_GB2312" w:hAnsi="方正仿宋_GB2312" w:eastAsia="方正仿宋_GB2312" w:cs="方正仿宋_GB2312"/>
          <w:sz w:val="28"/>
          <w:szCs w:val="28"/>
        </w:rPr>
        <w:t>简要介绍公司本地化服务网络与专业团队配置。</w:t>
      </w:r>
    </w:p>
    <w:p w14:paraId="4569A9CE">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2.</w:t>
      </w:r>
      <w:r>
        <w:rPr>
          <w:rFonts w:hint="eastAsia" w:ascii="方正仿宋_GB2312" w:hAnsi="方正仿宋_GB2312" w:eastAsia="方正仿宋_GB2312" w:cs="方正仿宋_GB2312"/>
          <w:sz w:val="28"/>
          <w:szCs w:val="28"/>
        </w:rPr>
        <w:t>提供近三年内为类似规模或等级医疗机构承保医疗责任险的典型案例简介（请隐去敏感信息）。</w:t>
      </w:r>
    </w:p>
    <w:p w14:paraId="0DE590AE">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lang w:eastAsia="zh-CN"/>
        </w:rPr>
        <w:t>（</w:t>
      </w:r>
      <w:r>
        <w:rPr>
          <w:rFonts w:hint="eastAsia" w:ascii="方正仿宋_GB2312" w:hAnsi="方正仿宋_GB2312" w:eastAsia="方正仿宋_GB2312" w:cs="方正仿宋_GB2312"/>
          <w:b/>
          <w:bCs/>
          <w:sz w:val="28"/>
          <w:szCs w:val="28"/>
          <w:lang w:val="en-US" w:eastAsia="zh-CN"/>
        </w:rPr>
        <w:t>四</w:t>
      </w:r>
      <w:r>
        <w:rPr>
          <w:rFonts w:hint="eastAsia" w:ascii="方正仿宋_GB2312" w:hAnsi="方正仿宋_GB2312" w:eastAsia="方正仿宋_GB2312" w:cs="方正仿宋_GB2312"/>
          <w:b/>
          <w:bCs/>
          <w:sz w:val="28"/>
          <w:szCs w:val="28"/>
          <w:lang w:eastAsia="zh-CN"/>
        </w:rPr>
        <w:t>）</w:t>
      </w:r>
      <w:r>
        <w:rPr>
          <w:rFonts w:hint="eastAsia" w:ascii="方正仿宋_GB2312" w:hAnsi="方正仿宋_GB2312" w:eastAsia="方正仿宋_GB2312" w:cs="方正仿宋_GB2312"/>
          <w:b/>
          <w:bCs/>
          <w:sz w:val="28"/>
          <w:szCs w:val="28"/>
        </w:rPr>
        <w:t>其他建议：</w:t>
      </w:r>
    </w:p>
    <w:p w14:paraId="24F5426D">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1.</w:t>
      </w:r>
      <w:r>
        <w:rPr>
          <w:rFonts w:hint="eastAsia" w:ascii="方正仿宋_GB2312" w:hAnsi="方正仿宋_GB2312" w:eastAsia="方正仿宋_GB2312" w:cs="方正仿宋_GB2312"/>
          <w:sz w:val="28"/>
          <w:szCs w:val="28"/>
        </w:rPr>
        <w:t>对医疗责任保险与其他风险保障方式结合运用的建议。</w:t>
      </w:r>
    </w:p>
    <w:p w14:paraId="7BBDC8BB">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2.</w:t>
      </w:r>
      <w:r>
        <w:rPr>
          <w:rFonts w:hint="eastAsia" w:ascii="方正仿宋_GB2312" w:hAnsi="方正仿宋_GB2312" w:eastAsia="方正仿宋_GB2312" w:cs="方正仿宋_GB2312"/>
          <w:sz w:val="28"/>
          <w:szCs w:val="28"/>
        </w:rPr>
        <w:t>利用保险科技（如大数据、AI风控）提升服务效率与风险管理精准度的创新设想。</w:t>
      </w:r>
    </w:p>
    <w:p w14:paraId="49C92188">
      <w:pPr>
        <w:keepNext w:val="0"/>
        <w:keepLines w:val="0"/>
        <w:pageBreakBefore w:val="0"/>
        <w:widowControl/>
        <w:kinsoku/>
        <w:wordWrap/>
        <w:overflowPunct/>
        <w:topLinePunct w:val="0"/>
        <w:autoSpaceDE/>
        <w:autoSpaceDN/>
        <w:bidi w:val="0"/>
        <w:adjustRightInd/>
        <w:snapToGrid/>
        <w:spacing w:line="576"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四、反馈材料提交</w:t>
      </w:r>
    </w:p>
    <w:p w14:paraId="475A5037">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提交内容：</w:t>
      </w:r>
      <w:r>
        <w:rPr>
          <w:rFonts w:hint="eastAsia" w:ascii="方正仿宋_GB2312" w:hAnsi="方正仿宋_GB2312" w:eastAsia="方正仿宋_GB2312" w:cs="方正仿宋_GB2312"/>
          <w:sz w:val="28"/>
          <w:szCs w:val="28"/>
        </w:rPr>
        <w:t>请提供机构资质简介（可附营业执照、许可证复印件盖章）及针对上述调查内容的书面反馈材料或建议提纲。</w:t>
      </w:r>
    </w:p>
    <w:p w14:paraId="538DACC7">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提交形式：</w:t>
      </w:r>
      <w:r>
        <w:rPr>
          <w:rFonts w:hint="eastAsia" w:ascii="方正仿宋_GB2312" w:hAnsi="方正仿宋_GB2312" w:eastAsia="方正仿宋_GB2312" w:cs="方正仿宋_GB2312"/>
          <w:sz w:val="28"/>
          <w:szCs w:val="28"/>
        </w:rPr>
        <w:t>反馈材料请加盖单位公章，以PDF电子版形式发送至指定邮箱，邮件主题请注明“XX医院医责险需求调查反馈-机构名称”。</w:t>
      </w:r>
    </w:p>
    <w:p w14:paraId="52872CB1">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截止时间：</w:t>
      </w:r>
      <w:r>
        <w:rPr>
          <w:rFonts w:hint="eastAsia" w:ascii="方正仿宋_GB2312" w:hAnsi="方正仿宋_GB2312" w:eastAsia="方正仿宋_GB2312" w:cs="方正仿宋_GB2312"/>
          <w:sz w:val="28"/>
          <w:szCs w:val="28"/>
          <w:highlight w:val="none"/>
          <w:lang w:val="en-US" w:eastAsia="zh-CN"/>
        </w:rPr>
        <w:t>2025</w:t>
      </w:r>
      <w:r>
        <w:rPr>
          <w:rFonts w:hint="eastAsia" w:ascii="方正仿宋_GB2312" w:hAnsi="方正仿宋_GB2312" w:eastAsia="方正仿宋_GB2312" w:cs="方正仿宋_GB2312"/>
          <w:sz w:val="28"/>
          <w:szCs w:val="28"/>
          <w:highlight w:val="none"/>
        </w:rPr>
        <w:t>年</w:t>
      </w:r>
      <w:r>
        <w:rPr>
          <w:rFonts w:hint="eastAsia" w:ascii="方正仿宋_GB2312" w:hAnsi="方正仿宋_GB2312" w:eastAsia="方正仿宋_GB2312" w:cs="方正仿宋_GB2312"/>
          <w:sz w:val="28"/>
          <w:szCs w:val="28"/>
          <w:highlight w:val="none"/>
          <w:lang w:val="en-US" w:eastAsia="zh-CN"/>
        </w:rPr>
        <w:t>12</w:t>
      </w:r>
      <w:r>
        <w:rPr>
          <w:rFonts w:hint="eastAsia" w:ascii="方正仿宋_GB2312" w:hAnsi="方正仿宋_GB2312" w:eastAsia="方正仿宋_GB2312" w:cs="方正仿宋_GB2312"/>
          <w:sz w:val="28"/>
          <w:szCs w:val="28"/>
          <w:highlight w:val="none"/>
        </w:rPr>
        <w:t>月</w:t>
      </w:r>
      <w:r>
        <w:rPr>
          <w:rFonts w:hint="eastAsia" w:ascii="方正仿宋_GB2312" w:hAnsi="方正仿宋_GB2312" w:eastAsia="方正仿宋_GB2312" w:cs="方正仿宋_GB2312"/>
          <w:sz w:val="28"/>
          <w:szCs w:val="28"/>
          <w:highlight w:val="none"/>
          <w:lang w:val="en-US" w:eastAsia="zh-CN"/>
        </w:rPr>
        <w:t>19</w:t>
      </w:r>
      <w:r>
        <w:rPr>
          <w:rFonts w:hint="eastAsia" w:ascii="方正仿宋_GB2312" w:hAnsi="方正仿宋_GB2312" w:eastAsia="方正仿宋_GB2312" w:cs="方正仿宋_GB2312"/>
          <w:sz w:val="28"/>
          <w:szCs w:val="28"/>
          <w:highlight w:val="none"/>
        </w:rPr>
        <w:t>日</w:t>
      </w:r>
      <w:r>
        <w:rPr>
          <w:rFonts w:hint="eastAsia" w:ascii="方正仿宋_GB2312" w:hAnsi="方正仿宋_GB2312" w:eastAsia="方正仿宋_GB2312" w:cs="方正仿宋_GB2312"/>
          <w:sz w:val="28"/>
          <w:szCs w:val="28"/>
          <w:highlight w:val="none"/>
          <w:lang w:val="en-US" w:eastAsia="zh-CN"/>
        </w:rPr>
        <w:t>17：00</w:t>
      </w:r>
      <w:r>
        <w:rPr>
          <w:rFonts w:hint="eastAsia" w:ascii="方正仿宋_GB2312" w:hAnsi="方正仿宋_GB2312" w:eastAsia="方正仿宋_GB2312" w:cs="方正仿宋_GB2312"/>
          <w:sz w:val="28"/>
          <w:szCs w:val="28"/>
        </w:rPr>
        <w:t>前。</w:t>
      </w:r>
    </w:p>
    <w:p w14:paraId="4D526154">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sz w:val="28"/>
          <w:szCs w:val="28"/>
        </w:rPr>
        <w:t>联系人</w:t>
      </w:r>
      <w:r>
        <w:rPr>
          <w:rFonts w:hint="eastAsia" w:ascii="方正仿宋_GB2312" w:hAnsi="方正仿宋_GB2312" w:eastAsia="方正仿宋_GB2312" w:cs="方正仿宋_GB2312"/>
          <w:b/>
          <w:bCs/>
          <w:sz w:val="28"/>
          <w:szCs w:val="28"/>
          <w:lang w:eastAsia="zh-CN"/>
        </w:rPr>
        <w:t>及联系方式</w:t>
      </w:r>
      <w:r>
        <w:rPr>
          <w:rFonts w:hint="eastAsia" w:ascii="方正仿宋_GB2312" w:hAnsi="方正仿宋_GB2312" w:eastAsia="方正仿宋_GB2312" w:cs="方正仿宋_GB2312"/>
          <w:b/>
          <w:bCs/>
          <w:sz w:val="28"/>
          <w:szCs w:val="28"/>
        </w:rPr>
        <w:t>：</w:t>
      </w:r>
      <w:r>
        <w:rPr>
          <w:rFonts w:hint="eastAsia" w:ascii="方正仿宋_GB2312" w:hAnsi="方正仿宋_GB2312" w:eastAsia="方正仿宋_GB2312" w:cs="方正仿宋_GB2312"/>
          <w:sz w:val="28"/>
          <w:szCs w:val="28"/>
          <w:lang w:eastAsia="zh-CN"/>
        </w:rPr>
        <w:t>李梅（</w:t>
      </w:r>
      <w:r>
        <w:rPr>
          <w:rFonts w:hint="eastAsia" w:ascii="方正仿宋_GB2312" w:hAnsi="方正仿宋_GB2312" w:eastAsia="方正仿宋_GB2312" w:cs="方正仿宋_GB2312"/>
          <w:sz w:val="28"/>
          <w:szCs w:val="28"/>
          <w:lang w:val="en-US" w:eastAsia="zh-CN"/>
        </w:rPr>
        <w:t>18202343877</w:t>
      </w:r>
      <w:r>
        <w:rPr>
          <w:rFonts w:hint="eastAsia" w:ascii="方正仿宋_GB2312" w:hAnsi="方正仿宋_GB2312" w:eastAsia="方正仿宋_GB2312" w:cs="方正仿宋_GB2312"/>
          <w:sz w:val="28"/>
          <w:szCs w:val="28"/>
          <w:lang w:eastAsia="zh-CN"/>
        </w:rPr>
        <w:t>）、谭禄伦（</w:t>
      </w:r>
      <w:r>
        <w:rPr>
          <w:rFonts w:hint="eastAsia" w:ascii="方正仿宋_GB2312" w:hAnsi="方正仿宋_GB2312" w:eastAsia="方正仿宋_GB2312" w:cs="方正仿宋_GB2312"/>
          <w:sz w:val="28"/>
          <w:szCs w:val="28"/>
          <w:lang w:val="en-US" w:eastAsia="zh-CN"/>
        </w:rPr>
        <w:t>15002303725</w:t>
      </w:r>
      <w:r>
        <w:rPr>
          <w:rFonts w:hint="eastAsia" w:ascii="方正仿宋_GB2312" w:hAnsi="方正仿宋_GB2312" w:eastAsia="方正仿宋_GB2312" w:cs="方正仿宋_GB2312"/>
          <w:sz w:val="28"/>
          <w:szCs w:val="28"/>
          <w:lang w:eastAsia="zh-CN"/>
        </w:rPr>
        <w:t>）</w:t>
      </w:r>
    </w:p>
    <w:p w14:paraId="119D638F">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baseline"/>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b/>
          <w:bCs/>
          <w:sz w:val="28"/>
          <w:szCs w:val="28"/>
        </w:rPr>
        <w:t>电子邮箱：</w:t>
      </w:r>
      <w:r>
        <w:rPr>
          <w:rFonts w:hint="eastAsia" w:ascii="方正仿宋_GB2312" w:hAnsi="方正仿宋_GB2312" w:eastAsia="方正仿宋_GB2312" w:cs="方正仿宋_GB2312"/>
          <w:sz w:val="28"/>
          <w:szCs w:val="28"/>
          <w:lang w:val="en-US" w:eastAsia="zh-CN"/>
        </w:rPr>
        <w:t>2668274788@qq.com</w:t>
      </w:r>
    </w:p>
    <w:p w14:paraId="5893CE19">
      <w:pPr>
        <w:keepNext w:val="0"/>
        <w:keepLines w:val="0"/>
        <w:pageBreakBefore w:val="0"/>
        <w:widowControl/>
        <w:kinsoku/>
        <w:wordWrap/>
        <w:overflowPunct/>
        <w:topLinePunct w:val="0"/>
        <w:autoSpaceDE/>
        <w:autoSpaceDN/>
        <w:bidi w:val="0"/>
        <w:adjustRightInd/>
        <w:snapToGrid/>
        <w:spacing w:line="576" w:lineRule="exact"/>
        <w:ind w:firstLine="562" w:firstLineChars="200"/>
        <w:textAlignment w:val="baseline"/>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五、重要说明</w:t>
      </w:r>
    </w:p>
    <w:p w14:paraId="2FEE9C8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本次活动为采购前的市场调查与需求征集，不构成任何采购要约或承诺，不涉及招标或竞争性谈判程序。我院无义务接受任何机构提出的方案或与之签订合同。</w:t>
      </w:r>
    </w:p>
    <w:p w14:paraId="5887542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我院有权对收集的信息、建议进行整理、评估和借鉴，并可能邀请部分机构进行进一步交流。所有提交材料将严格保密，仅用于本次需求调查分析。</w:t>
      </w:r>
    </w:p>
    <w:p w14:paraId="6D414B99">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参与机构应对所提供材料的真实性、合法性负责。</w:t>
      </w:r>
    </w:p>
    <w:p w14:paraId="180AAA9A">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本次调查公告的最终解释权归</w:t>
      </w:r>
      <w:r>
        <w:rPr>
          <w:rFonts w:hint="eastAsia" w:ascii="方正仿宋_GB2312" w:hAnsi="方正仿宋_GB2312" w:eastAsia="方正仿宋_GB2312" w:cs="方正仿宋_GB2312"/>
          <w:sz w:val="28"/>
          <w:szCs w:val="28"/>
          <w:lang w:val="en-US" w:eastAsia="zh-CN"/>
        </w:rPr>
        <w:t>重庆市綦江区中</w:t>
      </w:r>
      <w:r>
        <w:rPr>
          <w:rFonts w:hint="eastAsia" w:ascii="方正仿宋_GB2312" w:hAnsi="方正仿宋_GB2312" w:eastAsia="方正仿宋_GB2312" w:cs="方正仿宋_GB2312"/>
          <w:sz w:val="28"/>
          <w:szCs w:val="28"/>
        </w:rPr>
        <w:t>医院所有。</w:t>
      </w:r>
    </w:p>
    <w:p w14:paraId="308EA589">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衷心感谢各保险机构的关注与支持！期待您的专业见解。</w:t>
      </w:r>
    </w:p>
    <w:p w14:paraId="5E08905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附件：</w:t>
      </w:r>
      <w:r>
        <w:rPr>
          <w:rFonts w:hint="eastAsia" w:ascii="方正仿宋_GB2312" w:hAnsi="方正仿宋_GB2312" w:eastAsia="方正仿宋_GB2312" w:cs="方正仿宋_GB2312"/>
          <w:sz w:val="28"/>
          <w:szCs w:val="28"/>
          <w:lang w:eastAsia="zh-CN"/>
        </w:rPr>
        <w:t>重庆市綦江区中</w:t>
      </w:r>
      <w:r>
        <w:rPr>
          <w:rFonts w:hint="eastAsia" w:ascii="方正仿宋_GB2312" w:hAnsi="方正仿宋_GB2312" w:eastAsia="方正仿宋_GB2312" w:cs="方正仿宋_GB2312"/>
          <w:sz w:val="28"/>
          <w:szCs w:val="28"/>
        </w:rPr>
        <w:t>医院概况（简介）</w:t>
      </w:r>
    </w:p>
    <w:p w14:paraId="191934E4">
      <w:pPr>
        <w:snapToGrid w:val="0"/>
        <w:spacing w:line="576" w:lineRule="exact"/>
        <w:ind w:firstLine="640" w:firstLineChars="200"/>
        <w:rPr>
          <w:rFonts w:hint="eastAsia" w:eastAsia="方正仿宋_GBK"/>
          <w:sz w:val="32"/>
          <w:szCs w:val="32"/>
        </w:rPr>
      </w:pPr>
    </w:p>
    <w:p w14:paraId="1B27E2EA">
      <w:pPr>
        <w:snapToGrid w:val="0"/>
        <w:spacing w:line="576" w:lineRule="exact"/>
        <w:ind w:firstLine="640" w:firstLineChars="200"/>
        <w:rPr>
          <w:rFonts w:hint="eastAsia" w:eastAsia="方正仿宋_GBK"/>
          <w:sz w:val="32"/>
          <w:szCs w:val="32"/>
        </w:rPr>
      </w:pPr>
    </w:p>
    <w:p w14:paraId="4ABC379E">
      <w:pPr>
        <w:snapToGrid w:val="0"/>
        <w:spacing w:line="576" w:lineRule="exact"/>
        <w:ind w:firstLine="640" w:firstLineChars="200"/>
        <w:rPr>
          <w:rFonts w:hint="eastAsia" w:eastAsia="方正仿宋_GBK"/>
          <w:sz w:val="32"/>
          <w:szCs w:val="32"/>
        </w:rPr>
      </w:pPr>
    </w:p>
    <w:p w14:paraId="2C9323A4">
      <w:pPr>
        <w:snapToGrid w:val="0"/>
        <w:spacing w:line="576" w:lineRule="exact"/>
        <w:ind w:firstLine="640" w:firstLineChars="200"/>
        <w:rPr>
          <w:rFonts w:hint="eastAsia" w:eastAsia="方正仿宋_GBK"/>
          <w:sz w:val="32"/>
          <w:szCs w:val="32"/>
        </w:rPr>
      </w:pPr>
    </w:p>
    <w:p w14:paraId="69E599DB">
      <w:pPr>
        <w:snapToGrid w:val="0"/>
        <w:spacing w:line="576" w:lineRule="exact"/>
        <w:ind w:firstLine="640" w:firstLineChars="200"/>
        <w:rPr>
          <w:rFonts w:hint="eastAsia" w:eastAsia="方正仿宋_GBK"/>
          <w:sz w:val="32"/>
          <w:szCs w:val="32"/>
        </w:rPr>
      </w:pPr>
    </w:p>
    <w:p w14:paraId="78A555D7">
      <w:pPr>
        <w:snapToGrid w:val="0"/>
        <w:spacing w:line="576" w:lineRule="exact"/>
        <w:ind w:firstLine="640" w:firstLineChars="200"/>
        <w:rPr>
          <w:rFonts w:hint="eastAsia" w:eastAsia="方正仿宋_GBK"/>
          <w:sz w:val="32"/>
          <w:szCs w:val="32"/>
        </w:rPr>
      </w:pPr>
    </w:p>
    <w:p w14:paraId="24457ED5">
      <w:pPr>
        <w:snapToGrid w:val="0"/>
        <w:spacing w:line="576" w:lineRule="exact"/>
        <w:ind w:firstLine="640" w:firstLineChars="200"/>
        <w:rPr>
          <w:rFonts w:hint="eastAsia" w:eastAsia="方正仿宋_GBK"/>
          <w:sz w:val="32"/>
          <w:szCs w:val="32"/>
        </w:rPr>
      </w:pPr>
    </w:p>
    <w:p w14:paraId="15E70EF1">
      <w:pPr>
        <w:snapToGrid w:val="0"/>
        <w:spacing w:line="576" w:lineRule="exact"/>
        <w:ind w:firstLine="640" w:firstLineChars="200"/>
        <w:rPr>
          <w:rFonts w:hint="eastAsia" w:eastAsia="方正仿宋_GBK"/>
          <w:sz w:val="32"/>
          <w:szCs w:val="32"/>
        </w:rPr>
      </w:pPr>
    </w:p>
    <w:p w14:paraId="36E0F245">
      <w:pPr>
        <w:snapToGrid w:val="0"/>
        <w:spacing w:line="576" w:lineRule="exact"/>
        <w:ind w:firstLine="640" w:firstLineChars="200"/>
        <w:rPr>
          <w:rFonts w:hint="eastAsia" w:eastAsia="方正仿宋_GBK"/>
          <w:sz w:val="32"/>
          <w:szCs w:val="32"/>
        </w:rPr>
      </w:pPr>
    </w:p>
    <w:p w14:paraId="79EC0226">
      <w:pPr>
        <w:snapToGrid w:val="0"/>
        <w:spacing w:line="576" w:lineRule="exact"/>
        <w:ind w:firstLine="640" w:firstLineChars="200"/>
        <w:rPr>
          <w:rFonts w:hint="eastAsia" w:eastAsia="方正仿宋_GBK"/>
          <w:sz w:val="32"/>
          <w:szCs w:val="32"/>
        </w:rPr>
      </w:pPr>
    </w:p>
    <w:p w14:paraId="72AB544D">
      <w:pPr>
        <w:snapToGrid w:val="0"/>
        <w:spacing w:line="576" w:lineRule="exact"/>
        <w:ind w:firstLine="640" w:firstLineChars="200"/>
        <w:rPr>
          <w:rFonts w:hint="eastAsia" w:eastAsia="方正仿宋_GBK"/>
          <w:sz w:val="32"/>
          <w:szCs w:val="32"/>
        </w:rPr>
      </w:pPr>
    </w:p>
    <w:p w14:paraId="136BB7C8">
      <w:pPr>
        <w:snapToGrid w:val="0"/>
        <w:spacing w:line="576" w:lineRule="exact"/>
        <w:ind w:firstLine="640" w:firstLineChars="200"/>
        <w:rPr>
          <w:rFonts w:hint="eastAsia" w:eastAsia="方正仿宋_GBK"/>
          <w:sz w:val="32"/>
          <w:szCs w:val="32"/>
        </w:rPr>
      </w:pPr>
    </w:p>
    <w:p w14:paraId="78EF8A23">
      <w:pPr>
        <w:snapToGrid w:val="0"/>
        <w:spacing w:line="576" w:lineRule="exact"/>
        <w:ind w:firstLine="640" w:firstLineChars="200"/>
        <w:rPr>
          <w:rFonts w:hint="eastAsia" w:eastAsia="方正仿宋_GBK"/>
          <w:sz w:val="32"/>
          <w:szCs w:val="32"/>
        </w:rPr>
      </w:pPr>
    </w:p>
    <w:p w14:paraId="41273CB9">
      <w:pPr>
        <w:snapToGrid w:val="0"/>
        <w:spacing w:line="576" w:lineRule="exact"/>
        <w:ind w:firstLine="640" w:firstLineChars="200"/>
        <w:rPr>
          <w:rFonts w:hint="eastAsia" w:eastAsia="方正仿宋_GBK"/>
          <w:sz w:val="32"/>
          <w:szCs w:val="32"/>
        </w:rPr>
      </w:pPr>
    </w:p>
    <w:p w14:paraId="42661A78">
      <w:pPr>
        <w:snapToGrid w:val="0"/>
        <w:spacing w:line="576" w:lineRule="exact"/>
        <w:ind w:firstLine="640" w:firstLineChars="200"/>
        <w:rPr>
          <w:rFonts w:hint="eastAsia" w:eastAsia="方正仿宋_GBK"/>
          <w:sz w:val="32"/>
          <w:szCs w:val="32"/>
        </w:rPr>
      </w:pPr>
    </w:p>
    <w:p w14:paraId="47879ECB">
      <w:pPr>
        <w:snapToGrid w:val="0"/>
        <w:spacing w:line="576" w:lineRule="exact"/>
        <w:ind w:firstLine="640" w:firstLineChars="200"/>
        <w:rPr>
          <w:rFonts w:hint="eastAsia" w:eastAsia="方正仿宋_GBK"/>
          <w:sz w:val="32"/>
          <w:szCs w:val="32"/>
        </w:rPr>
      </w:pPr>
    </w:p>
    <w:p w14:paraId="5461FEFA">
      <w:pPr>
        <w:snapToGrid w:val="0"/>
        <w:spacing w:line="576" w:lineRule="exact"/>
        <w:ind w:firstLine="640" w:firstLineChars="200"/>
        <w:rPr>
          <w:rFonts w:hint="eastAsia" w:eastAsia="方正仿宋_GBK"/>
          <w:sz w:val="32"/>
          <w:szCs w:val="32"/>
        </w:rPr>
      </w:pPr>
    </w:p>
    <w:p w14:paraId="344AFC16">
      <w:pPr>
        <w:keepNext w:val="0"/>
        <w:keepLines w:val="0"/>
        <w:pageBreakBefore w:val="0"/>
        <w:widowControl/>
        <w:kinsoku/>
        <w:wordWrap/>
        <w:overflowPunct/>
        <w:topLinePunct w:val="0"/>
        <w:autoSpaceDE/>
        <w:autoSpaceDN/>
        <w:bidi w:val="0"/>
        <w:adjustRightInd/>
        <w:snapToGrid/>
        <w:spacing w:line="480" w:lineRule="exact"/>
        <w:textAlignment w:val="baseline"/>
        <w:rPr>
          <w:rFonts w:hint="eastAsia" w:ascii="方正仿宋_GB2312" w:hAnsi="方正仿宋_GB2312" w:eastAsia="方正仿宋_GB2312" w:cs="方正仿宋_GB2312"/>
          <w:sz w:val="28"/>
          <w:szCs w:val="28"/>
        </w:rPr>
      </w:pPr>
      <w:bookmarkStart w:id="0" w:name="_GoBack"/>
      <w:bookmarkEnd w:id="0"/>
    </w:p>
    <w:p w14:paraId="58AA0D19">
      <w:pPr>
        <w:keepNext w:val="0"/>
        <w:keepLines w:val="0"/>
        <w:pageBreakBefore w:val="0"/>
        <w:widowControl/>
        <w:kinsoku/>
        <w:wordWrap/>
        <w:overflowPunct/>
        <w:topLinePunct w:val="0"/>
        <w:autoSpaceDE/>
        <w:autoSpaceDN/>
        <w:bidi w:val="0"/>
        <w:adjustRightInd/>
        <w:snapToGrid/>
        <w:spacing w:line="480" w:lineRule="exact"/>
        <w:jc w:val="left"/>
        <w:textAlignment w:val="baseline"/>
        <w:rPr>
          <w:rFonts w:hint="eastAsia" w:eastAsia="方正仿宋_GBK"/>
          <w:sz w:val="44"/>
          <w:szCs w:val="44"/>
        </w:rPr>
      </w:pPr>
      <w:r>
        <w:rPr>
          <w:rFonts w:hint="eastAsia" w:ascii="方正仿宋_GB2312" w:hAnsi="方正仿宋_GB2312" w:eastAsia="方正仿宋_GB2312" w:cs="方正仿宋_GB2312"/>
          <w:sz w:val="44"/>
          <w:szCs w:val="44"/>
        </w:rPr>
        <w:t>附件：</w:t>
      </w:r>
      <w:r>
        <w:rPr>
          <w:rFonts w:hint="eastAsia" w:ascii="方正仿宋_GB2312" w:hAnsi="方正仿宋_GB2312" w:eastAsia="方正仿宋_GB2312" w:cs="方正仿宋_GB2312"/>
          <w:sz w:val="44"/>
          <w:szCs w:val="44"/>
          <w:lang w:eastAsia="zh-CN"/>
        </w:rPr>
        <w:t>重庆市綦江区中</w:t>
      </w:r>
      <w:r>
        <w:rPr>
          <w:rFonts w:hint="eastAsia" w:ascii="方正仿宋_GB2312" w:hAnsi="方正仿宋_GB2312" w:eastAsia="方正仿宋_GB2312" w:cs="方正仿宋_GB2312"/>
          <w:sz w:val="44"/>
          <w:szCs w:val="44"/>
        </w:rPr>
        <w:t>医院概况（简介）</w:t>
      </w:r>
    </w:p>
    <w:p w14:paraId="454F5E6A">
      <w:pPr>
        <w:keepNext w:val="0"/>
        <w:keepLines w:val="0"/>
        <w:pageBreakBefore w:val="0"/>
        <w:widowControl/>
        <w:kinsoku/>
        <w:wordWrap/>
        <w:overflowPunct/>
        <w:topLinePunct w:val="0"/>
        <w:autoSpaceDE/>
        <w:autoSpaceDN/>
        <w:bidi w:val="0"/>
        <w:adjustRightInd/>
        <w:snapToGrid w:val="0"/>
        <w:spacing w:line="480" w:lineRule="exact"/>
        <w:ind w:firstLine="560" w:firstLineChars="200"/>
        <w:jc w:val="left"/>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重庆市綦江区中医院肇始于1952年，历经4次搬迁，现已发展为集医疗、教学、科研、康复于一体的国家三级甲等中医医院。是重庆中医药学院直属附属医院、浙江省中医院协作医院、成都中医药大学附属医院医联体单位、重庆医药高等专科学校教学医院；成都中医药大学、贵州中医药大学等高校的实习基地，重庆市中医类别助理全科医师规范化培训基地；綦江区远程影像诊断中心、綦江区中医药服务联盟牵头单位等。</w:t>
      </w:r>
    </w:p>
    <w:p w14:paraId="1255EE50">
      <w:pPr>
        <w:keepNext w:val="0"/>
        <w:keepLines w:val="0"/>
        <w:pageBreakBefore w:val="0"/>
        <w:widowControl/>
        <w:kinsoku/>
        <w:wordWrap/>
        <w:overflowPunct/>
        <w:topLinePunct w:val="0"/>
        <w:autoSpaceDE/>
        <w:autoSpaceDN/>
        <w:bidi w:val="0"/>
        <w:adjustRightInd/>
        <w:snapToGrid w:val="0"/>
        <w:spacing w:line="480" w:lineRule="exact"/>
        <w:ind w:firstLine="560" w:firstLineChars="200"/>
        <w:jc w:val="left"/>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医院设有通惠总院和九龙院区，占地面积近100亩，建筑面积约10万平方米，编制床位600张。有重庆市名中医1人、重庆市基层名中医2人、重庆市区县医学头雁人才5人、区级名中医8人、綦江区卫生健康系统实用人才53人。创建博士后科研工作站1个。开设临床科室26个、医技科室13个。其中国家级中医重点（特色）专科3个，国家中医优势专科建设单位1个，市级中医药重点学科1个，市级中医重点（特色）专科8个（含在建），区级重点专科7个。建设各级名中医工作室15个，传承工作站3个。拥有3.0T核磁共振、64排CT及中医诊疗等设备。</w:t>
      </w:r>
      <w:r>
        <w:rPr>
          <w:rFonts w:hint="eastAsia" w:ascii="方正仿宋_GB2312" w:hAnsi="方正仿宋_GB2312" w:eastAsia="方正仿宋_GB2312" w:cs="方正仿宋_GB2312"/>
          <w:sz w:val="28"/>
          <w:szCs w:val="28"/>
        </w:rPr>
        <w:br w:type="textWrapping"/>
      </w:r>
      <w:r>
        <w:rPr>
          <w:rFonts w:hint="eastAsia" w:ascii="方正仿宋_GB2312" w:hAnsi="方正仿宋_GB2312" w:eastAsia="方正仿宋_GB2312" w:cs="方正仿宋_GB2312"/>
          <w:sz w:val="28"/>
          <w:szCs w:val="28"/>
        </w:rPr>
        <w:t>医院秉承“德为先、和为贵、学为尚、技为本”的院训，不断提升胸痛、卒中、创伤急诊急救水平，开展心脑血管介入、腹腔镜下恶性肿瘤根治术、髋关节及膝关节置换术、断指再植、现代康复等医疗技术；成立中医药传承创新研究室，形成了42个中医疗效显著的优势病种诊疗方案，66项中医医疗技术，45项中医护理技术；建立膏汤丸散制作室，自主研发咽炎方、消肿止痛膏、补气活血丸、益气养血膏等优质中药制剂；开设中医综合治疗室、中医护理门诊，通过传统中草药膏汤丸散、推拿按摩、针刺灸法、中药贴敷等疗法，系统继承和发扬了中医传统特色，充分体现了简、便、验、廉的特点，切实为广大群众提供优质的中医药健康服务。</w:t>
      </w:r>
    </w:p>
    <w:p w14:paraId="197BAC8D">
      <w:pPr>
        <w:keepNext w:val="0"/>
        <w:keepLines w:val="0"/>
        <w:pageBreakBefore w:val="0"/>
        <w:widowControl/>
        <w:kinsoku/>
        <w:wordWrap/>
        <w:overflowPunct/>
        <w:topLinePunct w:val="0"/>
        <w:autoSpaceDE/>
        <w:autoSpaceDN/>
        <w:bidi w:val="0"/>
        <w:adjustRightInd/>
        <w:snapToGrid w:val="0"/>
        <w:spacing w:line="480" w:lineRule="exact"/>
        <w:ind w:firstLine="560" w:firstLineChars="200"/>
        <w:jc w:val="left"/>
        <w:textAlignment w:val="baseline"/>
        <w:rPr>
          <w:rFonts w:hint="eastAsia" w:ascii="方正仿宋_GB2312" w:hAnsi="方正仿宋_GB2312" w:eastAsia="方正仿宋_GB2312" w:cs="方正仿宋_GB2312"/>
          <w:b/>
          <w:color w:val="FF0000"/>
          <w:sz w:val="28"/>
          <w:szCs w:val="28"/>
        </w:rPr>
      </w:pPr>
      <w:r>
        <w:rPr>
          <w:rFonts w:hint="eastAsia" w:ascii="方正仿宋_GB2312" w:hAnsi="方正仿宋_GB2312" w:eastAsia="方正仿宋_GB2312" w:cs="方正仿宋_GB2312"/>
          <w:b w:val="0"/>
          <w:bCs/>
          <w:color w:val="auto"/>
          <w:sz w:val="28"/>
          <w:szCs w:val="28"/>
        </w:rPr>
        <w:t>医院现有编制床位数600张，医务人员共计6</w:t>
      </w:r>
      <w:r>
        <w:rPr>
          <w:rFonts w:hint="eastAsia" w:ascii="方正仿宋_GB2312" w:hAnsi="方正仿宋_GB2312" w:eastAsia="方正仿宋_GB2312" w:cs="方正仿宋_GB2312"/>
          <w:b w:val="0"/>
          <w:bCs/>
          <w:color w:val="auto"/>
          <w:sz w:val="28"/>
          <w:szCs w:val="28"/>
          <w:lang w:val="en-US" w:eastAsia="zh-CN"/>
        </w:rPr>
        <w:t>3</w:t>
      </w:r>
      <w:r>
        <w:rPr>
          <w:rFonts w:hint="eastAsia" w:ascii="方正仿宋_GB2312" w:hAnsi="方正仿宋_GB2312" w:eastAsia="方正仿宋_GB2312" w:cs="方正仿宋_GB2312"/>
          <w:b w:val="0"/>
          <w:bCs/>
          <w:color w:val="auto"/>
          <w:sz w:val="28"/>
          <w:szCs w:val="28"/>
        </w:rPr>
        <w:t>0人（医、药、护、技），</w:t>
      </w:r>
      <w:r>
        <w:rPr>
          <w:rFonts w:hint="eastAsia" w:ascii="方正仿宋_GB2312" w:hAnsi="方正仿宋_GB2312" w:eastAsia="方正仿宋_GB2312" w:cs="方正仿宋_GB2312"/>
          <w:b w:val="0"/>
          <w:bCs/>
          <w:color w:val="auto"/>
          <w:sz w:val="28"/>
          <w:szCs w:val="28"/>
          <w:lang w:val="en-US" w:eastAsia="zh-CN"/>
        </w:rPr>
        <w:t>2025年1-11月</w:t>
      </w:r>
      <w:r>
        <w:rPr>
          <w:rFonts w:hint="eastAsia" w:ascii="方正仿宋_GB2312" w:hAnsi="方正仿宋_GB2312" w:eastAsia="方正仿宋_GB2312" w:cs="方正仿宋_GB2312"/>
          <w:b w:val="0"/>
          <w:bCs/>
          <w:color w:val="auto"/>
          <w:sz w:val="28"/>
          <w:szCs w:val="28"/>
        </w:rPr>
        <w:t>门诊人次：</w:t>
      </w:r>
      <w:r>
        <w:rPr>
          <w:rFonts w:hint="eastAsia" w:ascii="方正仿宋_GB2312" w:hAnsi="方正仿宋_GB2312" w:eastAsia="方正仿宋_GB2312" w:cs="方正仿宋_GB2312"/>
          <w:b w:val="0"/>
          <w:bCs/>
          <w:color w:val="auto"/>
          <w:sz w:val="28"/>
          <w:szCs w:val="28"/>
          <w:lang w:val="en-US" w:eastAsia="zh-CN"/>
        </w:rPr>
        <w:t>280334</w:t>
      </w:r>
      <w:r>
        <w:rPr>
          <w:rFonts w:hint="eastAsia" w:ascii="方正仿宋_GB2312" w:hAnsi="方正仿宋_GB2312" w:eastAsia="方正仿宋_GB2312" w:cs="方正仿宋_GB2312"/>
          <w:b w:val="0"/>
          <w:bCs/>
          <w:color w:val="auto"/>
          <w:sz w:val="28"/>
          <w:szCs w:val="28"/>
          <w:lang w:eastAsia="zh-CN"/>
        </w:rPr>
        <w:t>、</w:t>
      </w:r>
      <w:r>
        <w:rPr>
          <w:rFonts w:hint="eastAsia" w:ascii="方正仿宋_GB2312" w:hAnsi="方正仿宋_GB2312" w:eastAsia="方正仿宋_GB2312" w:cs="方正仿宋_GB2312"/>
          <w:b w:val="0"/>
          <w:bCs/>
          <w:color w:val="auto"/>
          <w:sz w:val="28"/>
          <w:szCs w:val="28"/>
        </w:rPr>
        <w:t>出院人次：</w:t>
      </w:r>
      <w:r>
        <w:rPr>
          <w:rFonts w:hint="eastAsia" w:ascii="方正仿宋_GB2312" w:hAnsi="方正仿宋_GB2312" w:eastAsia="方正仿宋_GB2312" w:cs="方正仿宋_GB2312"/>
          <w:b w:val="0"/>
          <w:bCs/>
          <w:color w:val="auto"/>
          <w:sz w:val="28"/>
          <w:szCs w:val="28"/>
          <w:lang w:val="en-US" w:eastAsia="zh-CN"/>
        </w:rPr>
        <w:t>24272</w:t>
      </w:r>
      <w:r>
        <w:rPr>
          <w:rFonts w:hint="eastAsia" w:ascii="方正仿宋_GB2312" w:hAnsi="方正仿宋_GB2312" w:eastAsia="方正仿宋_GB2312" w:cs="方正仿宋_GB2312"/>
          <w:b w:val="0"/>
          <w:bCs/>
          <w:color w:val="auto"/>
          <w:sz w:val="28"/>
          <w:szCs w:val="28"/>
          <w:lang w:eastAsia="zh-CN"/>
        </w:rPr>
        <w:t>、</w:t>
      </w:r>
      <w:r>
        <w:rPr>
          <w:rFonts w:hint="eastAsia" w:ascii="方正仿宋_GB2312" w:hAnsi="方正仿宋_GB2312" w:eastAsia="方正仿宋_GB2312" w:cs="方正仿宋_GB2312"/>
          <w:b w:val="0"/>
          <w:bCs/>
          <w:color w:val="auto"/>
          <w:sz w:val="28"/>
          <w:szCs w:val="28"/>
        </w:rPr>
        <w:t>手术台次：5</w:t>
      </w:r>
      <w:r>
        <w:rPr>
          <w:rFonts w:hint="eastAsia" w:ascii="方正仿宋_GB2312" w:hAnsi="方正仿宋_GB2312" w:eastAsia="方正仿宋_GB2312" w:cs="方正仿宋_GB2312"/>
          <w:b w:val="0"/>
          <w:bCs/>
          <w:color w:val="auto"/>
          <w:sz w:val="28"/>
          <w:szCs w:val="28"/>
          <w:lang w:val="en-US" w:eastAsia="zh-CN"/>
        </w:rPr>
        <w:t>221</w:t>
      </w:r>
      <w:r>
        <w:rPr>
          <w:rFonts w:hint="eastAsia" w:ascii="方正仿宋_GB2312" w:hAnsi="方正仿宋_GB2312" w:eastAsia="方正仿宋_GB2312" w:cs="方正仿宋_GB2312"/>
          <w:b w:val="0"/>
          <w:bCs/>
          <w:color w:val="auto"/>
          <w:sz w:val="28"/>
          <w:szCs w:val="28"/>
        </w:rPr>
        <w:t>。</w:t>
      </w:r>
    </w:p>
    <w:p w14:paraId="41544082">
      <w:pPr>
        <w:keepNext w:val="0"/>
        <w:keepLines w:val="0"/>
        <w:pageBreakBefore w:val="0"/>
        <w:widowControl/>
        <w:kinsoku/>
        <w:wordWrap/>
        <w:overflowPunct/>
        <w:topLinePunct w:val="0"/>
        <w:autoSpaceDE/>
        <w:autoSpaceDN/>
        <w:bidi w:val="0"/>
        <w:adjustRightInd/>
        <w:snapToGrid/>
        <w:spacing w:line="480" w:lineRule="exact"/>
        <w:textAlignment w:val="baseline"/>
        <w:rPr>
          <w:rFonts w:hint="default"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 xml:space="preserve">   本次预计采购3年医责险。</w:t>
      </w:r>
    </w:p>
    <w:p w14:paraId="5B1EDECC">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lang w:eastAsia="zh-CN"/>
        </w:rPr>
      </w:pPr>
    </w:p>
    <w:p w14:paraId="6F2D9D78">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baseline"/>
        <w:rPr>
          <w:rFonts w:hint="eastAsia" w:ascii="方正仿宋_GB2312" w:hAnsi="方正仿宋_GB2312" w:eastAsia="方正仿宋_GB2312" w:cs="方正仿宋_GB2312"/>
          <w:sz w:val="28"/>
          <w:szCs w:val="28"/>
          <w:lang w:eastAsia="zh-CN"/>
        </w:rPr>
      </w:pPr>
    </w:p>
    <w:p w14:paraId="3E650798">
      <w:pPr>
        <w:keepNext w:val="0"/>
        <w:keepLines w:val="0"/>
        <w:pageBreakBefore w:val="0"/>
        <w:widowControl/>
        <w:kinsoku/>
        <w:wordWrap/>
        <w:overflowPunct/>
        <w:topLinePunct w:val="0"/>
        <w:autoSpaceDE/>
        <w:autoSpaceDN/>
        <w:bidi w:val="0"/>
        <w:adjustRightInd/>
        <w:snapToGrid/>
        <w:spacing w:line="480" w:lineRule="exact"/>
        <w:ind w:firstLine="5040" w:firstLineChars="18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eastAsia="zh-CN"/>
        </w:rPr>
        <w:t>重庆市綦江中</w:t>
      </w:r>
      <w:r>
        <w:rPr>
          <w:rFonts w:hint="eastAsia" w:ascii="方正仿宋_GB2312" w:hAnsi="方正仿宋_GB2312" w:eastAsia="方正仿宋_GB2312" w:cs="方正仿宋_GB2312"/>
          <w:sz w:val="28"/>
          <w:szCs w:val="28"/>
        </w:rPr>
        <w:t>医院</w:t>
      </w:r>
    </w:p>
    <w:p w14:paraId="631019FC">
      <w:pPr>
        <w:keepNext w:val="0"/>
        <w:keepLines w:val="0"/>
        <w:pageBreakBefore w:val="0"/>
        <w:widowControl/>
        <w:kinsoku/>
        <w:wordWrap/>
        <w:overflowPunct/>
        <w:topLinePunct w:val="0"/>
        <w:autoSpaceDE/>
        <w:autoSpaceDN/>
        <w:bidi w:val="0"/>
        <w:adjustRightInd/>
        <w:snapToGrid/>
        <w:spacing w:line="480" w:lineRule="exact"/>
        <w:ind w:firstLine="5040" w:firstLineChars="1800"/>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lang w:val="en-US" w:eastAsia="zh-CN"/>
        </w:rPr>
        <w:t>2025</w:t>
      </w:r>
      <w:r>
        <w:rPr>
          <w:rFonts w:hint="eastAsia" w:ascii="方正仿宋_GB2312" w:hAnsi="方正仿宋_GB2312" w:eastAsia="方正仿宋_GB2312" w:cs="方正仿宋_GB2312"/>
          <w:sz w:val="28"/>
          <w:szCs w:val="28"/>
        </w:rPr>
        <w:t>年</w:t>
      </w:r>
      <w:r>
        <w:rPr>
          <w:rFonts w:hint="eastAsia" w:ascii="方正仿宋_GB2312" w:hAnsi="方正仿宋_GB2312" w:eastAsia="方正仿宋_GB2312" w:cs="方正仿宋_GB2312"/>
          <w:sz w:val="28"/>
          <w:szCs w:val="28"/>
          <w:lang w:val="en-US" w:eastAsia="zh-CN"/>
        </w:rPr>
        <w:t>12</w:t>
      </w:r>
      <w:r>
        <w:rPr>
          <w:rFonts w:hint="eastAsia" w:ascii="方正仿宋_GB2312" w:hAnsi="方正仿宋_GB2312" w:eastAsia="方正仿宋_GB2312" w:cs="方正仿宋_GB2312"/>
          <w:sz w:val="28"/>
          <w:szCs w:val="28"/>
        </w:rPr>
        <w:t>月</w:t>
      </w:r>
      <w:r>
        <w:rPr>
          <w:rFonts w:hint="eastAsia" w:ascii="方正仿宋_GB2312" w:hAnsi="方正仿宋_GB2312" w:eastAsia="方正仿宋_GB2312" w:cs="方正仿宋_GB2312"/>
          <w:sz w:val="28"/>
          <w:szCs w:val="28"/>
          <w:lang w:val="en-US" w:eastAsia="zh-CN"/>
        </w:rPr>
        <w:t>10</w:t>
      </w:r>
      <w:r>
        <w:rPr>
          <w:rFonts w:hint="eastAsia" w:ascii="方正仿宋_GB2312" w:hAnsi="方正仿宋_GB2312" w:eastAsia="方正仿宋_GB2312" w:cs="方正仿宋_GB2312"/>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embedRegular r:id="rId1" w:fontKey="{D18403EF-5678-4EDD-B0DE-F1147F0DC401}"/>
  </w:font>
  <w:font w:name="方正仿宋_GB2312">
    <w:panose1 w:val="02000000000000000000"/>
    <w:charset w:val="86"/>
    <w:family w:val="auto"/>
    <w:pitch w:val="default"/>
    <w:sig w:usb0="A00002BF" w:usb1="184F6CFA" w:usb2="00000012" w:usb3="00000000" w:csb0="00040001" w:csb1="00000000"/>
    <w:embedRegular r:id="rId2" w:fontKey="{01F32BDF-09CE-446F-B887-B51BD0BE86B3}"/>
  </w:font>
  <w:font w:name="方正仿宋_GBK">
    <w:panose1 w:val="03000509000000000000"/>
    <w:charset w:val="86"/>
    <w:family w:val="script"/>
    <w:pitch w:val="default"/>
    <w:sig w:usb0="00000001" w:usb1="080E0000" w:usb2="00000000" w:usb3="00000000" w:csb0="00040000" w:csb1="00000000"/>
    <w:embedRegular r:id="rId3" w:fontKey="{2196023A-9E8E-4460-952B-60D99D5CBCE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EF1640"/>
    <w:rsid w:val="210048F5"/>
    <w:rsid w:val="22BB6814"/>
    <w:rsid w:val="25BF34E6"/>
    <w:rsid w:val="2FAD35EC"/>
    <w:rsid w:val="3140475F"/>
    <w:rsid w:val="35A65B28"/>
    <w:rsid w:val="4C87625C"/>
    <w:rsid w:val="50BC6975"/>
    <w:rsid w:val="67E4235D"/>
    <w:rsid w:val="706B361B"/>
    <w:rsid w:val="7DB83C18"/>
    <w:rsid w:val="7E1C4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等线" w:cs="等线"/>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2003</Words>
  <Characters>2097</Characters>
  <Lines>0</Lines>
  <Paragraphs>0</Paragraphs>
  <TotalTime>3</TotalTime>
  <ScaleCrop>false</ScaleCrop>
  <LinksUpToDate>false</LinksUpToDate>
  <CharactersWithSpaces>2102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2025-12-10T02:51:00Z</dcterms:created>
  <dc:creator>Administrator</dc:creator>
  <cp:lastModifiedBy>僵尸的微笑</cp:lastModifiedBy>
  <dcterms:modified xsi:type="dcterms:W3CDTF">2025-12-10T05:31:37Z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eyJoZGlkIjoiY2M0NTEyNGM1M2I2NjM1ZmE0YmY4YmI4YmE5MTBjNTQiLCJ1c2VySWQiOiIzODIyMDg1NDMifQ==</vt:lpwstr>
  </property>
  <property fmtid="{D5CDD505-2E9C-101B-9397-08002B2CF9AE}" pid="4" name="ICV">
    <vt:lpwstr>1FCF29C456A14884B4E5A04972FE46BA_13</vt:lpwstr>
  </property>
</Properties>
</file>