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C83FC4">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20" w:lineRule="atLeast"/>
        <w:jc w:val="center"/>
        <w:textAlignment w:val="auto"/>
        <w:rPr>
          <w:rFonts w:hint="eastAsia" w:ascii="方正小标宋_GBK" w:hAnsi="方正小标宋_GBK" w:eastAsia="方正小标宋_GBK" w:cs="方正小标宋_GBK"/>
          <w:b w:val="0"/>
          <w:kern w:val="2"/>
          <w:sz w:val="44"/>
          <w:szCs w:val="44"/>
          <w:highlight w:val="none"/>
          <w:lang w:val="en-US" w:eastAsia="zh-CN" w:bidi="ar-SA"/>
        </w:rPr>
      </w:pPr>
      <w:r>
        <w:rPr>
          <w:rFonts w:hint="eastAsia" w:ascii="方正小标宋_GBK" w:hAnsi="方正小标宋_GBK" w:eastAsia="方正小标宋_GBK" w:cs="方正小标宋_GBK"/>
          <w:b w:val="0"/>
          <w:kern w:val="2"/>
          <w:sz w:val="44"/>
          <w:szCs w:val="44"/>
          <w:highlight w:val="none"/>
          <w:lang w:val="en-US" w:eastAsia="zh-CN" w:bidi="ar-SA"/>
        </w:rPr>
        <w:t>项目服务需求</w:t>
      </w:r>
    </w:p>
    <w:p w14:paraId="0F565E2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一、招标项目内容</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7"/>
        <w:gridCol w:w="1631"/>
        <w:gridCol w:w="1294"/>
        <w:gridCol w:w="1563"/>
        <w:gridCol w:w="1015"/>
      </w:tblGrid>
      <w:tr w14:paraId="0658C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770" w:type="pct"/>
            <w:noWrap w:val="0"/>
            <w:vAlign w:val="center"/>
          </w:tcPr>
          <w:p w14:paraId="44A37FF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包号及名称</w:t>
            </w:r>
          </w:p>
        </w:tc>
        <w:tc>
          <w:tcPr>
            <w:tcW w:w="957" w:type="pct"/>
            <w:noWrap w:val="0"/>
            <w:vAlign w:val="center"/>
          </w:tcPr>
          <w:p w14:paraId="473BAD5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向采购人支付管理费限价（元/月）</w:t>
            </w:r>
          </w:p>
        </w:tc>
        <w:tc>
          <w:tcPr>
            <w:tcW w:w="759" w:type="pct"/>
            <w:noWrap w:val="0"/>
            <w:vAlign w:val="center"/>
          </w:tcPr>
          <w:p w14:paraId="0896638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服务年限（年）</w:t>
            </w:r>
          </w:p>
        </w:tc>
        <w:tc>
          <w:tcPr>
            <w:tcW w:w="917" w:type="pct"/>
            <w:noWrap w:val="0"/>
            <w:vAlign w:val="center"/>
          </w:tcPr>
          <w:p w14:paraId="30B282A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成交供应商数量（名）</w:t>
            </w:r>
          </w:p>
        </w:tc>
        <w:tc>
          <w:tcPr>
            <w:tcW w:w="595" w:type="pct"/>
            <w:noWrap w:val="0"/>
            <w:vAlign w:val="center"/>
          </w:tcPr>
          <w:p w14:paraId="1371E7F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备注</w:t>
            </w:r>
          </w:p>
        </w:tc>
      </w:tr>
      <w:tr w14:paraId="7C3B6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1770" w:type="pct"/>
            <w:noWrap w:val="0"/>
            <w:vAlign w:val="top"/>
          </w:tcPr>
          <w:p w14:paraId="2D68C03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重庆市红十字会医院（江北区人民医院）五里店院区食堂外包经营管理服务</w:t>
            </w:r>
          </w:p>
        </w:tc>
        <w:tc>
          <w:tcPr>
            <w:tcW w:w="957" w:type="pct"/>
            <w:noWrap w:val="0"/>
            <w:vAlign w:val="center"/>
          </w:tcPr>
          <w:p w14:paraId="3A8E46E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不低于12000</w:t>
            </w:r>
          </w:p>
        </w:tc>
        <w:tc>
          <w:tcPr>
            <w:tcW w:w="759" w:type="pct"/>
            <w:noWrap w:val="0"/>
            <w:vAlign w:val="center"/>
          </w:tcPr>
          <w:p w14:paraId="4730034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jc w:val="center"/>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3</w:t>
            </w:r>
          </w:p>
        </w:tc>
        <w:tc>
          <w:tcPr>
            <w:tcW w:w="917" w:type="pct"/>
            <w:noWrap w:val="0"/>
            <w:vAlign w:val="center"/>
          </w:tcPr>
          <w:p w14:paraId="3248BF3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jc w:val="center"/>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1</w:t>
            </w:r>
          </w:p>
        </w:tc>
        <w:tc>
          <w:tcPr>
            <w:tcW w:w="595" w:type="pct"/>
            <w:noWrap w:val="0"/>
            <w:vAlign w:val="center"/>
          </w:tcPr>
          <w:p w14:paraId="59BCC2F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21"/>
                <w:szCs w:val="21"/>
                <w:highlight w:val="none"/>
                <w:lang w:val="en-US" w:eastAsia="zh-CN"/>
              </w:rPr>
            </w:pPr>
            <w:r>
              <w:rPr>
                <w:rFonts w:hint="eastAsia" w:ascii="方正仿宋_GB2312" w:hAnsi="方正仿宋_GB2312" w:eastAsia="方正仿宋_GB2312" w:cs="方正仿宋_GB2312"/>
                <w:sz w:val="21"/>
                <w:szCs w:val="21"/>
                <w:highlight w:val="none"/>
                <w:lang w:val="en-US" w:eastAsia="zh-CN"/>
              </w:rPr>
              <w:t>餐饮业</w:t>
            </w:r>
          </w:p>
        </w:tc>
      </w:tr>
    </w:tbl>
    <w:p w14:paraId="27B4636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default"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二、项目情况</w:t>
      </w:r>
    </w:p>
    <w:p w14:paraId="229EE06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default" w:ascii="方正黑体_GBK" w:hAnsi="方正黑体_GBK" w:eastAsia="方正黑体_GBK" w:cs="方正黑体_GBK"/>
          <w:color w:val="EE822F" w:themeColor="accent2"/>
          <w:sz w:val="24"/>
          <w:szCs w:val="24"/>
          <w:highlight w:val="none"/>
          <w:lang w:val="en-US" w:eastAsia="zh-CN"/>
          <w14:textFill>
            <w14:solidFill>
              <w14:schemeClr w14:val="accent2"/>
            </w14:solidFill>
          </w14:textFill>
        </w:rPr>
      </w:pPr>
      <w:r>
        <w:rPr>
          <w:rFonts w:hint="eastAsia" w:ascii="方正仿宋_GB2312" w:hAnsi="方正仿宋_GB2312" w:eastAsia="方正仿宋_GB2312" w:cs="方正仿宋_GB2312"/>
          <w:sz w:val="32"/>
          <w:szCs w:val="32"/>
          <w:highlight w:val="none"/>
          <w:lang w:val="en-US" w:eastAsia="zh-CN"/>
        </w:rPr>
        <w:t>重庆市红十字会医院（江北区人民医院）是一所集医疗、保健、教学、科研于一体的国家三级综合医院。医院计划对五里店院区食堂实施外包经营管理服务采购，由成交供应商为院内工作人员及病患提供保障性餐饮服务。供应商须按月向采购人支付管理费，并确保供餐质量与服务标准符合要求。就餐人员规模：院内现有在职职工约1000人，开放病床1200张</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K" w:hAnsi="方正仿宋_GBK" w:eastAsia="方正仿宋_GBK" w:cs="方正仿宋_GBK"/>
          <w:spacing w:val="12"/>
          <w:sz w:val="32"/>
          <w:szCs w:val="32"/>
          <w:highlight w:val="none"/>
        </w:rPr>
        <w:t>患者</w:t>
      </w:r>
      <w:r>
        <w:rPr>
          <w:rFonts w:hint="eastAsia" w:ascii="方正仿宋_GBK" w:hAnsi="方正仿宋_GBK" w:eastAsia="方正仿宋_GBK" w:cs="方正仿宋_GBK"/>
          <w:spacing w:val="12"/>
          <w:sz w:val="32"/>
          <w:szCs w:val="32"/>
          <w:highlight w:val="none"/>
          <w:lang w:eastAsia="zh-CN"/>
        </w:rPr>
        <w:t>食堂</w:t>
      </w:r>
      <w:r>
        <w:rPr>
          <w:rFonts w:hint="eastAsia" w:ascii="方正仿宋_GBK" w:hAnsi="方正仿宋_GBK" w:eastAsia="方正仿宋_GBK" w:cs="方正仿宋_GBK"/>
          <w:spacing w:val="12"/>
          <w:sz w:val="32"/>
          <w:szCs w:val="32"/>
          <w:highlight w:val="none"/>
        </w:rPr>
        <w:t>面积</w:t>
      </w:r>
      <w:r>
        <w:rPr>
          <w:rFonts w:hint="eastAsia" w:ascii="方正仿宋_GBK" w:hAnsi="方正仿宋_GBK" w:eastAsia="方正仿宋_GBK" w:cs="方正仿宋_GBK"/>
          <w:spacing w:val="12"/>
          <w:sz w:val="32"/>
          <w:szCs w:val="32"/>
          <w:highlight w:val="none"/>
          <w:lang w:eastAsia="zh-CN"/>
        </w:rPr>
        <w:t>约</w:t>
      </w:r>
      <w:r>
        <w:rPr>
          <w:rFonts w:hint="eastAsia" w:ascii="方正仿宋_GBK" w:hAnsi="方正仿宋_GBK" w:eastAsia="方正仿宋_GBK" w:cs="方正仿宋_GBK"/>
          <w:spacing w:val="12"/>
          <w:sz w:val="32"/>
          <w:szCs w:val="32"/>
          <w:highlight w:val="none"/>
          <w:lang w:val="en-US" w:eastAsia="zh-CN"/>
        </w:rPr>
        <w:t>300㎡，</w:t>
      </w:r>
      <w:r>
        <w:rPr>
          <w:rFonts w:hint="eastAsia" w:ascii="方正仿宋_GBK" w:hAnsi="方正仿宋_GBK" w:eastAsia="方正仿宋_GBK" w:cs="方正仿宋_GBK"/>
          <w:spacing w:val="12"/>
          <w:sz w:val="32"/>
          <w:szCs w:val="32"/>
          <w:highlight w:val="none"/>
        </w:rPr>
        <w:t>职工面积7</w:t>
      </w:r>
      <w:r>
        <w:rPr>
          <w:rFonts w:hint="eastAsia" w:ascii="方正仿宋_GBK" w:hAnsi="方正仿宋_GBK" w:eastAsia="方正仿宋_GBK" w:cs="方正仿宋_GBK"/>
          <w:spacing w:val="12"/>
          <w:sz w:val="32"/>
          <w:szCs w:val="32"/>
          <w:highlight w:val="none"/>
          <w:lang w:val="en-US" w:eastAsia="zh-CN"/>
        </w:rPr>
        <w:t>10㎡，厨房</w:t>
      </w:r>
      <w:r>
        <w:rPr>
          <w:rFonts w:hint="eastAsia" w:ascii="方正仿宋_GBK" w:hAnsi="方正仿宋_GBK" w:eastAsia="方正仿宋_GBK" w:cs="方正仿宋_GBK"/>
          <w:spacing w:val="12"/>
          <w:sz w:val="32"/>
          <w:szCs w:val="32"/>
          <w:highlight w:val="none"/>
        </w:rPr>
        <w:t>面积</w:t>
      </w:r>
      <w:r>
        <w:rPr>
          <w:rFonts w:hint="eastAsia" w:ascii="方正仿宋_GBK" w:hAnsi="方正仿宋_GBK" w:eastAsia="方正仿宋_GBK" w:cs="方正仿宋_GBK"/>
          <w:spacing w:val="12"/>
          <w:sz w:val="32"/>
          <w:szCs w:val="32"/>
          <w:highlight w:val="none"/>
          <w:lang w:eastAsia="zh-CN"/>
        </w:rPr>
        <w:t>约</w:t>
      </w:r>
      <w:r>
        <w:rPr>
          <w:rFonts w:hint="eastAsia" w:ascii="方正仿宋_GBK" w:hAnsi="方正仿宋_GBK" w:eastAsia="方正仿宋_GBK" w:cs="方正仿宋_GBK"/>
          <w:spacing w:val="12"/>
          <w:sz w:val="32"/>
          <w:szCs w:val="32"/>
          <w:highlight w:val="none"/>
        </w:rPr>
        <w:t>1120</w:t>
      </w:r>
      <w:r>
        <w:rPr>
          <w:rFonts w:hint="eastAsia" w:ascii="方正仿宋_GBK" w:hAnsi="方正仿宋_GBK" w:eastAsia="方正仿宋_GBK" w:cs="方正仿宋_GBK"/>
          <w:spacing w:val="12"/>
          <w:sz w:val="32"/>
          <w:szCs w:val="32"/>
          <w:highlight w:val="none"/>
          <w:lang w:eastAsia="zh-CN"/>
        </w:rPr>
        <w:t>㎡</w:t>
      </w:r>
      <w:r>
        <w:rPr>
          <w:rFonts w:hint="eastAsia" w:ascii="方正仿宋_GBK" w:hAnsi="方正仿宋_GBK" w:eastAsia="方正仿宋_GBK" w:cs="方正仿宋_GBK"/>
          <w:spacing w:val="11"/>
          <w:sz w:val="32"/>
          <w:szCs w:val="32"/>
          <w:highlight w:val="none"/>
        </w:rPr>
        <w:t>。</w:t>
      </w:r>
      <w:r>
        <w:rPr>
          <w:rFonts w:hint="eastAsia" w:ascii="方正仿宋_GB2312" w:hAnsi="方正仿宋_GB2312" w:eastAsia="方正仿宋_GB2312" w:cs="方正仿宋_GB2312"/>
          <w:color w:val="auto"/>
          <w:sz w:val="32"/>
          <w:szCs w:val="32"/>
          <w:highlight w:val="none"/>
          <w:lang w:val="en-US" w:eastAsia="zh-CN"/>
        </w:rPr>
        <w:t>医院为每位职工提供每月定额餐补。食堂硬件配置：采购人提供完整的食堂场地及全套设施设备，包括红白案操作间、餐具洗消间、库房及储物间等功能用房。相关电气、供水供热、油烟管道系统以及常用部分餐厨用具和消毒设施均齐全完好，具备交付运营条件（详见附件三）。</w:t>
      </w:r>
    </w:p>
    <w:p w14:paraId="7F86CE4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三、服务范围与要求</w:t>
      </w:r>
    </w:p>
    <w:p w14:paraId="4FF74B0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（一）服务范围</w:t>
      </w:r>
      <w:r>
        <w:rPr>
          <w:rFonts w:hint="eastAsia" w:ascii="方正仿宋_GB2312" w:hAnsi="方正仿宋_GB2312" w:eastAsia="方正仿宋_GB2312" w:cs="方正仿宋_GB2312"/>
          <w:sz w:val="32"/>
          <w:szCs w:val="32"/>
          <w:highlight w:val="none"/>
          <w:lang w:val="en-US" w:eastAsia="zh-CN"/>
        </w:rPr>
        <w:t>：供应商向采购人支付管理费，负责食堂经营工作，因经营所需的其他费用</w:t>
      </w:r>
      <w:r>
        <w:rPr>
          <w:rFonts w:hint="eastAsia" w:ascii="方正仿宋_GB2312" w:hAnsi="方正仿宋_GB2312" w:eastAsia="方正仿宋_GB2312" w:cs="方正仿宋_GB2312"/>
          <w:color w:val="auto"/>
          <w:sz w:val="32"/>
          <w:szCs w:val="32"/>
          <w:highlight w:val="none"/>
          <w:lang w:val="en-US" w:eastAsia="zh-CN"/>
        </w:rPr>
        <w:t>均由供应商承担，</w:t>
      </w:r>
      <w:r>
        <w:rPr>
          <w:rFonts w:hint="eastAsia" w:ascii="方正仿宋_GB2312" w:hAnsi="方正仿宋_GB2312" w:eastAsia="方正仿宋_GB2312" w:cs="方正仿宋_GB2312"/>
          <w:sz w:val="32"/>
          <w:szCs w:val="32"/>
          <w:highlight w:val="none"/>
          <w:lang w:val="en-US" w:eastAsia="zh-CN"/>
        </w:rPr>
        <w:t>自负盈亏；供应商按采购人的时间、售餐品种要求，为采购人提供早餐、午餐、晚餐餐饮服务以及如应急事件、临时性会议、接待工作等专项工作的餐饮保障任务。</w:t>
      </w:r>
    </w:p>
    <w:p w14:paraId="26E2102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（二）服务要求：</w:t>
      </w:r>
      <w:r>
        <w:rPr>
          <w:rFonts w:hint="eastAsia" w:ascii="方正仿宋_GB2312" w:hAnsi="方正仿宋_GB2312" w:eastAsia="方正仿宋_GB2312" w:cs="方正仿宋_GB2312"/>
          <w:sz w:val="32"/>
          <w:szCs w:val="32"/>
          <w:highlight w:val="none"/>
          <w:lang w:val="en-US" w:eastAsia="zh-CN"/>
        </w:rPr>
        <w:t>符合采购人提出的服务需求以及国家、行业规定标准。</w:t>
      </w:r>
    </w:p>
    <w:p w14:paraId="123D8FA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（三）服务标准：</w:t>
      </w:r>
      <w:r>
        <w:rPr>
          <w:rFonts w:hint="eastAsia" w:ascii="方正仿宋_GB2312" w:hAnsi="方正仿宋_GB2312" w:eastAsia="方正仿宋_GB2312" w:cs="方正仿宋_GB2312"/>
          <w:sz w:val="32"/>
          <w:szCs w:val="32"/>
          <w:highlight w:val="none"/>
          <w:lang w:val="en-US" w:eastAsia="zh-CN"/>
        </w:rPr>
        <w:t>供餐质量、食品安全及服务水平须满足采购人相关规定与验收要求。</w:t>
      </w:r>
    </w:p>
    <w:p w14:paraId="004801F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四、招标项目服务需求</w:t>
      </w:r>
    </w:p>
    <w:p w14:paraId="0464983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（一）服务时间</w:t>
      </w:r>
    </w:p>
    <w:p w14:paraId="0BD977D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全年（365天）无休（周末及法定节假日须正常供餐）</w:t>
      </w:r>
    </w:p>
    <w:p w14:paraId="71153F6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（1）集中就餐时间：早餐：06:30-9:00；午餐：11:00-14:00；晚餐：16:30-19:00。</w:t>
      </w:r>
    </w:p>
    <w:p w14:paraId="38283EC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（2）非集中就餐时间（非集中就餐时间将根据采购人实际需求进行动态调整）：9:00-11:00;14:00-16:30;19:00-22:00。</w:t>
      </w:r>
    </w:p>
    <w:p w14:paraId="28F88D4C">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（二）收费标准</w:t>
      </w:r>
    </w:p>
    <w:p w14:paraId="339E057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餐饮价格不高于市场平均水平，具体收费标准在中标后协商确定。</w:t>
      </w:r>
    </w:p>
    <w:p w14:paraId="6FBAE786">
      <w:pPr>
        <w:keepNext w:val="0"/>
        <w:keepLines w:val="0"/>
        <w:pageBreakBefore w:val="0"/>
        <w:widowControl w:val="0"/>
        <w:numPr>
          <w:ilvl w:val="0"/>
          <w:numId w:val="1"/>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结算方式</w:t>
      </w:r>
    </w:p>
    <w:p w14:paraId="24654D8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食堂各消费点统一采用智能化无现金支付系统，供应商配合医院完成系统对接与运营支持。</w:t>
      </w:r>
    </w:p>
    <w:p w14:paraId="5230787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（四）服务内容</w:t>
      </w:r>
    </w:p>
    <w:p w14:paraId="41882B8C">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1.日常供餐</w:t>
      </w:r>
    </w:p>
    <w:p w14:paraId="2E01E7AB">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（1）集中供餐：在规定时段保障菜品供应充足、营养合理、口味优良，满足集中就餐需求。</w:t>
      </w:r>
    </w:p>
    <w:p w14:paraId="0490BA43">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（2）供餐形式：设置自选档口与特色风味窗口，提供多样化选择。</w:t>
      </w:r>
    </w:p>
    <w:p w14:paraId="1560EB1E">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（3）弹性服务：提供病区餐车配送与夜间食堂服务，满足值班人员、患者家属等非集中时段就餐需求。</w:t>
      </w:r>
    </w:p>
    <w:p w14:paraId="02E1CAC5">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2.特殊场景供餐</w:t>
      </w:r>
    </w:p>
    <w:p w14:paraId="333FF467">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（1）内部工作餐：提供公务接待、工作会议、手术值班等专项餐饮服务。</w:t>
      </w:r>
    </w:p>
    <w:p w14:paraId="3CEC0B3F">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（2）体检早餐：配合体检中心时间安排，持续供应自助早餐。</w:t>
      </w:r>
    </w:p>
    <w:p w14:paraId="1A7C2943">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（3）应急保障：具备全天候响应能力，为突发事件、重大任务等提供及时餐饮支持。</w:t>
      </w:r>
    </w:p>
    <w:p w14:paraId="5B020894">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（五）菜单与价格管理</w:t>
      </w:r>
      <w:r>
        <w:rPr>
          <w:rFonts w:hint="default" w:ascii="方正楷体_GB2312" w:hAnsi="方正楷体_GB2312" w:eastAsia="方正楷体_GB2312" w:cs="方正楷体_GB2312"/>
          <w:sz w:val="32"/>
          <w:szCs w:val="32"/>
          <w:highlight w:val="none"/>
          <w:lang w:val="en-US" w:eastAsia="zh-CN"/>
        </w:rPr>
        <w:br w:type="textWrapping"/>
      </w:r>
      <w:r>
        <w:rPr>
          <w:rFonts w:hint="default" w:ascii="方正仿宋_GBK" w:hAnsi="方正仿宋_GBK" w:eastAsia="方正仿宋_GBK" w:cs="方正仿宋_GBK"/>
          <w:color w:val="auto"/>
          <w:sz w:val="32"/>
          <w:szCs w:val="32"/>
          <w:highlight w:val="none"/>
          <w:lang w:val="en-US" w:eastAsia="zh-CN"/>
        </w:rPr>
        <w:t>所有菜品价格在食堂现场及线上平台明码标价。新增菜品或价格调整须经医院书面批准后执行。</w:t>
      </w:r>
    </w:p>
    <w:p w14:paraId="5F0800C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（六）供餐种类及基本要求</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9"/>
        <w:gridCol w:w="4954"/>
        <w:gridCol w:w="2290"/>
      </w:tblGrid>
      <w:tr w14:paraId="53CD0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0" w:type="auto"/>
            <w:noWrap w:val="0"/>
            <w:vAlign w:val="center"/>
          </w:tcPr>
          <w:p w14:paraId="2F97C44C">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餐次</w:t>
            </w:r>
          </w:p>
        </w:tc>
        <w:tc>
          <w:tcPr>
            <w:tcW w:w="0" w:type="auto"/>
            <w:noWrap w:val="0"/>
            <w:vAlign w:val="center"/>
          </w:tcPr>
          <w:p w14:paraId="259EAC74">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种类</w:t>
            </w:r>
          </w:p>
        </w:tc>
        <w:tc>
          <w:tcPr>
            <w:tcW w:w="2290" w:type="dxa"/>
            <w:noWrap w:val="0"/>
            <w:vAlign w:val="center"/>
          </w:tcPr>
          <w:p w14:paraId="2CCC7EFB">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备注</w:t>
            </w:r>
          </w:p>
        </w:tc>
      </w:tr>
      <w:tr w14:paraId="5E373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1" w:hRule="atLeast"/>
        </w:trPr>
        <w:tc>
          <w:tcPr>
            <w:tcW w:w="0" w:type="auto"/>
            <w:noWrap w:val="0"/>
            <w:vAlign w:val="center"/>
          </w:tcPr>
          <w:p w14:paraId="74464F8E">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早餐标准套餐</w:t>
            </w:r>
          </w:p>
        </w:tc>
        <w:tc>
          <w:tcPr>
            <w:tcW w:w="0" w:type="auto"/>
            <w:noWrap w:val="0"/>
            <w:vAlign w:val="center"/>
          </w:tcPr>
          <w:p w14:paraId="19911DA3">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早餐提供面点、饮品、奶类、蛋类、粥类、小菜、面食、粗粮等品种每日均不低于10种，早餐实行单品单价销售，具体价格由成交供应商报采购人审核定价。</w:t>
            </w:r>
          </w:p>
        </w:tc>
        <w:tc>
          <w:tcPr>
            <w:tcW w:w="2290" w:type="dxa"/>
            <w:vMerge w:val="restart"/>
            <w:noWrap w:val="0"/>
            <w:vAlign w:val="center"/>
          </w:tcPr>
          <w:p w14:paraId="1C2922BA">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具体供餐种类由成交供应商根据采购人要求、就餐人数安排及时调整，尽可能丰富菜品及售餐模式，满足职工及病员、家属等的就餐需要，随时做好应急膳食保障。</w:t>
            </w:r>
          </w:p>
        </w:tc>
      </w:tr>
      <w:tr w14:paraId="38D07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4" w:hRule="atLeast"/>
        </w:trPr>
        <w:tc>
          <w:tcPr>
            <w:tcW w:w="0" w:type="auto"/>
            <w:noWrap w:val="0"/>
            <w:vAlign w:val="center"/>
          </w:tcPr>
          <w:p w14:paraId="27E1D3BB">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bookmarkStart w:id="0" w:name="_Hlk141292869"/>
            <w:r>
              <w:rPr>
                <w:rFonts w:hint="eastAsia" w:ascii="方正仿宋_GBK" w:hAnsi="方正仿宋_GBK" w:eastAsia="方正仿宋_GBK" w:cs="方正仿宋_GBK"/>
                <w:color w:val="auto"/>
                <w:sz w:val="21"/>
                <w:szCs w:val="21"/>
                <w:highlight w:val="none"/>
                <w:lang w:val="en-US" w:eastAsia="zh-CN"/>
              </w:rPr>
              <w:t>午餐、晚餐标准套餐（含病员标准套餐、职工标准套餐）</w:t>
            </w:r>
            <w:bookmarkEnd w:id="0"/>
          </w:p>
        </w:tc>
        <w:tc>
          <w:tcPr>
            <w:tcW w:w="0" w:type="auto"/>
            <w:noWrap w:val="0"/>
            <w:vAlign w:val="center"/>
          </w:tcPr>
          <w:p w14:paraId="4758C2AA">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bookmarkStart w:id="1" w:name="_Hlk140056040"/>
            <w:r>
              <w:rPr>
                <w:rFonts w:hint="eastAsia" w:ascii="方正仿宋_GBK" w:hAnsi="方正仿宋_GBK" w:eastAsia="方正仿宋_GBK" w:cs="方正仿宋_GBK"/>
                <w:color w:val="auto"/>
                <w:sz w:val="21"/>
                <w:szCs w:val="21"/>
                <w:highlight w:val="none"/>
                <w:lang w:val="en-US" w:eastAsia="zh-CN"/>
              </w:rPr>
              <w:t>标准套餐不低于2荤2素，每份猪肉类荤素比不低于6:4，每份鸡、鸭、鱼、肉类荤素比不低于6：4。每餐提供免费例汤。</w:t>
            </w:r>
            <w:bookmarkEnd w:id="1"/>
            <w:r>
              <w:rPr>
                <w:rFonts w:hint="eastAsia" w:ascii="方正仿宋_GBK" w:hAnsi="方正仿宋_GBK" w:eastAsia="方正仿宋_GBK" w:cs="方正仿宋_GBK"/>
                <w:color w:val="auto"/>
                <w:sz w:val="21"/>
                <w:szCs w:val="21"/>
                <w:highlight w:val="none"/>
                <w:lang w:val="en-US" w:eastAsia="zh-CN"/>
              </w:rPr>
              <w:t>除标准套餐外，餐厅应提供单品供应（如白粥、肉沫粥、蹄花汤、炖鸡汤、排骨汤、蒸蛋等）。</w:t>
            </w:r>
          </w:p>
        </w:tc>
        <w:tc>
          <w:tcPr>
            <w:tcW w:w="2290" w:type="dxa"/>
            <w:vMerge w:val="continue"/>
            <w:noWrap w:val="0"/>
            <w:vAlign w:val="top"/>
          </w:tcPr>
          <w:p w14:paraId="0D89E563">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p>
        </w:tc>
      </w:tr>
      <w:tr w14:paraId="16F6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0" w:type="auto"/>
            <w:noWrap w:val="0"/>
            <w:vAlign w:val="center"/>
          </w:tcPr>
          <w:p w14:paraId="1415D198">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内部保障与特殊场景供餐</w:t>
            </w:r>
            <w:r>
              <w:rPr>
                <w:rFonts w:hint="default" w:ascii="方正仿宋_GBK" w:hAnsi="方正仿宋_GBK" w:eastAsia="方正仿宋_GBK" w:cs="方正仿宋_GBK"/>
                <w:color w:val="auto"/>
                <w:sz w:val="21"/>
                <w:szCs w:val="21"/>
                <w:highlight w:val="none"/>
                <w:lang w:val="en-US" w:eastAsia="zh-CN"/>
              </w:rPr>
              <w:br w:type="textWrapping"/>
            </w:r>
          </w:p>
        </w:tc>
        <w:tc>
          <w:tcPr>
            <w:tcW w:w="0" w:type="auto"/>
            <w:noWrap w:val="0"/>
            <w:vAlign w:val="center"/>
          </w:tcPr>
          <w:p w14:paraId="5F62E8E0">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①</w:t>
            </w:r>
            <w:r>
              <w:rPr>
                <w:rFonts w:hint="default" w:ascii="方正仿宋_GBK" w:hAnsi="方正仿宋_GBK" w:eastAsia="方正仿宋_GBK" w:cs="方正仿宋_GBK"/>
                <w:color w:val="auto"/>
                <w:sz w:val="21"/>
                <w:szCs w:val="21"/>
                <w:highlight w:val="none"/>
                <w:lang w:val="en-US" w:eastAsia="zh-CN"/>
              </w:rPr>
              <w:t>内部工作餐（定制化服务）：须设立快速响应通道。对于公务接待、桌餐等，应能根据采购人需求提前提供定制菜单并经审核确认。服务过程中须确保菜品出品稳定、服务流程专业，并独立留样备查。</w:t>
            </w:r>
            <w:r>
              <w:rPr>
                <w:rFonts w:hint="default" w:ascii="方正仿宋_GBK" w:hAnsi="方正仿宋_GBK" w:eastAsia="方正仿宋_GBK" w:cs="方正仿宋_GBK"/>
                <w:color w:val="auto"/>
                <w:sz w:val="21"/>
                <w:szCs w:val="21"/>
                <w:highlight w:val="none"/>
                <w:lang w:val="en-US" w:eastAsia="zh-CN"/>
              </w:rPr>
              <w:br w:type="textWrapping"/>
            </w:r>
            <w:r>
              <w:rPr>
                <w:rFonts w:hint="default" w:ascii="方正仿宋_GBK" w:hAnsi="方正仿宋_GBK" w:eastAsia="方正仿宋_GBK" w:cs="方正仿宋_GBK"/>
                <w:color w:val="auto"/>
                <w:sz w:val="21"/>
                <w:szCs w:val="21"/>
                <w:highlight w:val="none"/>
                <w:lang w:val="en-US" w:eastAsia="zh-CN"/>
              </w:rPr>
              <w:t>②体检餐食（精准时段服务）：须动态掌握体检中心排班表，确保在首批体检人员到达前完全备餐完毕。早餐供应应实行“动态补给”模式，保证后半段体检人员仍能获得与开始时同等品质的餐食。</w:t>
            </w:r>
            <w:r>
              <w:rPr>
                <w:rFonts w:hint="default" w:ascii="方正仿宋_GBK" w:hAnsi="方正仿宋_GBK" w:eastAsia="方正仿宋_GBK" w:cs="方正仿宋_GBK"/>
                <w:color w:val="auto"/>
                <w:sz w:val="21"/>
                <w:szCs w:val="21"/>
                <w:highlight w:val="none"/>
                <w:lang w:val="en-US" w:eastAsia="zh-CN"/>
              </w:rPr>
              <w:br w:type="textWrapping"/>
            </w:r>
            <w:r>
              <w:rPr>
                <w:rFonts w:hint="default" w:ascii="方正仿宋_GBK" w:hAnsi="方正仿宋_GBK" w:eastAsia="方正仿宋_GBK" w:cs="方正仿宋_GBK"/>
                <w:color w:val="auto"/>
                <w:sz w:val="21"/>
                <w:szCs w:val="21"/>
                <w:highlight w:val="none"/>
                <w:lang w:val="en-US" w:eastAsia="zh-CN"/>
              </w:rPr>
              <w:t>③应急保障餐（全天候响应）：须建立“应急保障小组”，保持24小时通讯畅通。应急预案需明确人员、物资、车辆调配流程。确保在接到突发任务后，能按采购人要求的时间、地点、餐标，安全、准时地完成供餐保障，并做好食品安全防护。</w:t>
            </w:r>
          </w:p>
        </w:tc>
        <w:tc>
          <w:tcPr>
            <w:tcW w:w="2290" w:type="dxa"/>
            <w:noWrap w:val="0"/>
            <w:vAlign w:val="top"/>
          </w:tcPr>
          <w:p w14:paraId="6AE0F022">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default" w:ascii="方正仿宋_GBK" w:hAnsi="方正仿宋_GBK" w:eastAsia="方正仿宋_GBK" w:cs="方正仿宋_GBK"/>
                <w:color w:val="auto"/>
                <w:sz w:val="21"/>
                <w:szCs w:val="21"/>
                <w:highlight w:val="none"/>
                <w:lang w:val="en-US" w:eastAsia="zh-CN"/>
              </w:rPr>
              <w:t>供应商须提供高标准、高弹性的专项供餐服务，并接受采购人全过程监管</w:t>
            </w:r>
          </w:p>
        </w:tc>
      </w:tr>
      <w:tr w14:paraId="65E90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0" w:type="auto"/>
            <w:noWrap w:val="0"/>
            <w:vAlign w:val="center"/>
          </w:tcPr>
          <w:p w14:paraId="450D2FC7">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治疗膳食</w:t>
            </w:r>
          </w:p>
        </w:tc>
        <w:tc>
          <w:tcPr>
            <w:tcW w:w="0" w:type="auto"/>
            <w:noWrap w:val="0"/>
            <w:vAlign w:val="center"/>
          </w:tcPr>
          <w:p w14:paraId="3847423C">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治疗膳食服务须严格遵循医院临床营养科的指导原则进行设计与制备。供应商可以配备注册营养师，全面参与治疗膳食菜单的设计、审核与质量控制。提供的治疗餐品类应丰富多样，包括但不限于：女性生理期餐，月子餐，减脂餐，糖尿病餐、肾病餐（低蛋白）、无碘餐、无骨餐、流质餐、半流质餐等。所有特殊膳食（如低盐、低脂、低嘌呤、高蛋白膳食）均须清晰、明确地标注其主要营养成分、禁忌症及适用人群，确保医疗安全与营养支持的有效性</w:t>
            </w:r>
          </w:p>
        </w:tc>
        <w:tc>
          <w:tcPr>
            <w:tcW w:w="2290" w:type="dxa"/>
            <w:noWrap w:val="0"/>
            <w:vAlign w:val="top"/>
          </w:tcPr>
          <w:p w14:paraId="08B83D29">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以相关管理部门及患者实际情况制作。</w:t>
            </w:r>
          </w:p>
        </w:tc>
      </w:tr>
      <w:tr w14:paraId="0B872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trPr>
        <w:tc>
          <w:tcPr>
            <w:tcW w:w="0" w:type="auto"/>
            <w:noWrap w:val="0"/>
            <w:vAlign w:val="center"/>
          </w:tcPr>
          <w:p w14:paraId="1A40DDD1">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特殊人群关怀</w:t>
            </w:r>
          </w:p>
          <w:p w14:paraId="47C3049F">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p>
          <w:p w14:paraId="57B2732D">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p>
        </w:tc>
        <w:tc>
          <w:tcPr>
            <w:tcW w:w="0" w:type="auto"/>
            <w:noWrap w:val="0"/>
            <w:vAlign w:val="center"/>
          </w:tcPr>
          <w:p w14:paraId="585C8903">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（1）为老年及儿童患者专门提供易于咀嚼、消化的软食、糊状膳食及婴幼儿辅助餐，并配备适老化与适幼化餐牌（采用大字体、高清图片及简易图标），确保其能够轻松识别与选择餐食。</w:t>
            </w:r>
          </w:p>
          <w:p w14:paraId="45A0B8F2">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（2）尊重饮食禁忌与宗教信仰，为有需要的人群提供纯净素食、蛋奶素及清真餐等选项，确保其文化习俗得到充分尊重。</w:t>
            </w:r>
          </w:p>
        </w:tc>
        <w:tc>
          <w:tcPr>
            <w:tcW w:w="2290" w:type="dxa"/>
            <w:noWrap w:val="0"/>
            <w:vAlign w:val="top"/>
          </w:tcPr>
          <w:p w14:paraId="662DF6BD">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方正仿宋_GBK" w:hAnsi="方正仿宋_GBK" w:eastAsia="方正仿宋_GBK" w:cs="方正仿宋_GBK"/>
                <w:color w:val="auto"/>
                <w:sz w:val="21"/>
                <w:szCs w:val="21"/>
                <w:highlight w:val="none"/>
                <w:lang w:val="en-US" w:eastAsia="zh-CN"/>
              </w:rPr>
            </w:pPr>
          </w:p>
        </w:tc>
      </w:tr>
    </w:tbl>
    <w:p w14:paraId="21DA0ECC">
      <w:pPr>
        <w:keepNext w:val="0"/>
        <w:keepLines w:val="0"/>
        <w:pageBreakBefore w:val="0"/>
        <w:widowControl w:val="0"/>
        <w:numPr>
          <w:ilvl w:val="0"/>
          <w:numId w:val="0"/>
        </w:numPr>
        <w:kinsoku/>
        <w:wordWrap/>
        <w:overflowPunct w:val="0"/>
        <w:topLinePunct w:val="0"/>
        <w:autoSpaceDE w:val="0"/>
        <w:autoSpaceDN w:val="0"/>
        <w:bidi w:val="0"/>
        <w:adjustRightInd/>
        <w:snapToGrid/>
        <w:spacing w:beforeAutospacing="0" w:afterAutospacing="0" w:line="20" w:lineRule="atLeast"/>
        <w:textAlignment w:val="auto"/>
        <w:rPr>
          <w:rFonts w:hint="eastAsia" w:asciiTheme="minorEastAsia" w:hAnsiTheme="minorEastAsia" w:eastAsiaTheme="minorEastAsia" w:cstheme="minorEastAsia"/>
          <w:color w:val="auto"/>
          <w:sz w:val="24"/>
          <w:szCs w:val="24"/>
          <w:highlight w:val="none"/>
        </w:rPr>
      </w:pPr>
      <w:r>
        <w:rPr>
          <w:rFonts w:hint="eastAsia" w:ascii="方正仿宋_GBK" w:hAnsi="方正仿宋_GBK" w:eastAsia="方正仿宋_GBK" w:cs="方正仿宋_GBK"/>
          <w:color w:val="auto"/>
          <w:sz w:val="32"/>
          <w:szCs w:val="32"/>
          <w:highlight w:val="none"/>
          <w:lang w:val="en-US" w:eastAsia="zh-CN"/>
        </w:rPr>
        <w:t>注：供应商负责全流程的订、配、送餐服务，并须自主建设维护在线点餐系统。该系统需具备点餐、菜单预览、互动与分析等功能，同时向医院开放管理后台与数据接口，实现财务透明对接。供应商需确保从点餐到送餐的全流程服务质量符合采购人标准。</w:t>
      </w:r>
    </w:p>
    <w:p w14:paraId="6019B3C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（七）人员配置与管理要求</w:t>
      </w:r>
    </w:p>
    <w:p w14:paraId="1F22505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rPr>
        <w:t>人员配置原则</w:t>
      </w:r>
    </w:p>
    <w:p w14:paraId="05EE91E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i w:val="0"/>
          <w:iCs w:val="0"/>
          <w:caps w:val="0"/>
          <w:color w:val="0F1115"/>
          <w:spacing w:val="0"/>
          <w:sz w:val="32"/>
          <w:szCs w:val="32"/>
          <w:highlight w:val="none"/>
          <w:shd w:val="clear" w:fill="FFFFFF"/>
        </w:rPr>
        <w:t>供应商应严格按照磋商文件要求，遵循“定人、定岗、定责”原则，足额配置项目服务团队，总人数不得低于20人。所有人员应签订劳动合同，享有合理薪酬待遇，接受有效绩效考核。供应商不得随意减少在岗人数，如出现隐瞒虚报、无故缺岗或旷工超过三日等情形，采购人有权扣减相应服务费用。</w:t>
      </w:r>
    </w:p>
    <w:p w14:paraId="33FE99F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rPr>
        <w:t>人员基本要求</w:t>
      </w:r>
    </w:p>
    <w:p w14:paraId="26D4216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（1）所有员工须持有效健康证，无犯罪记录，经岗前及食品安全培训合格后方可上岗。</w:t>
      </w:r>
    </w:p>
    <w:p w14:paraId="222FF15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（2）供应商应组织员工每年进行健康体检，确保健康证持续有效，并将相关证明报采购人备案。</w:t>
      </w:r>
    </w:p>
    <w:p w14:paraId="32B3ACC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（3）须为员工依法购买社会保险及必要的商业保险（包括雇主责任险、公众责任险等）。</w:t>
      </w:r>
    </w:p>
    <w:p w14:paraId="5B3A844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（4）工作期间须统一着装、佩戴工牌，严格遵守食品安全法规，服从采购人管理。</w:t>
      </w:r>
    </w:p>
    <w:p w14:paraId="218F045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（5）采购人不提供住宿，供应商自行解决员工住宿。如人员无法胜任工作，采购人有权要求更换。</w:t>
      </w:r>
    </w:p>
    <w:p w14:paraId="1A74DF2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3.</w:t>
      </w:r>
      <w:r>
        <w:rPr>
          <w:rFonts w:hint="eastAsia" w:ascii="方正仿宋_GBK" w:hAnsi="方正仿宋_GBK" w:eastAsia="方正仿宋_GBK" w:cs="方正仿宋_GBK"/>
          <w:b w:val="0"/>
          <w:bCs w:val="0"/>
          <w:color w:val="auto"/>
          <w:sz w:val="32"/>
          <w:szCs w:val="32"/>
          <w:highlight w:val="none"/>
        </w:rPr>
        <w:t>关键岗位设置</w:t>
      </w:r>
    </w:p>
    <w:p w14:paraId="32AA767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eastAsia="zh-CN"/>
        </w:rPr>
      </w:pPr>
      <w:r>
        <w:rPr>
          <w:rFonts w:hint="eastAsia" w:ascii="方正仿宋_GBK" w:hAnsi="方正仿宋_GBK" w:eastAsia="方正仿宋_GBK" w:cs="方正仿宋_GBK"/>
          <w:b w:val="0"/>
          <w:bCs w:val="0"/>
          <w:color w:val="auto"/>
          <w:sz w:val="32"/>
          <w:szCs w:val="32"/>
          <w:highlight w:val="none"/>
        </w:rPr>
        <w:t>（1）项目经理（1名）：8年以上餐饮服务经验，熟悉食品安全管理</w:t>
      </w:r>
      <w:r>
        <w:rPr>
          <w:rFonts w:hint="eastAsia" w:ascii="方正仿宋_GBK" w:hAnsi="方正仿宋_GBK" w:eastAsia="方正仿宋_GBK" w:cs="方正仿宋_GBK"/>
          <w:b w:val="0"/>
          <w:bCs w:val="0"/>
          <w:color w:val="auto"/>
          <w:sz w:val="32"/>
          <w:szCs w:val="32"/>
          <w:highlight w:val="none"/>
          <w:lang w:eastAsia="zh-CN"/>
        </w:rPr>
        <w:t>。</w:t>
      </w:r>
    </w:p>
    <w:p w14:paraId="6386954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eastAsia="zh-CN"/>
        </w:rPr>
      </w:pPr>
      <w:r>
        <w:rPr>
          <w:rFonts w:hint="eastAsia" w:ascii="方正仿宋_GBK" w:hAnsi="方正仿宋_GBK" w:eastAsia="方正仿宋_GBK" w:cs="方正仿宋_GBK"/>
          <w:b w:val="0"/>
          <w:bCs w:val="0"/>
          <w:color w:val="auto"/>
          <w:sz w:val="32"/>
          <w:szCs w:val="32"/>
          <w:highlight w:val="none"/>
        </w:rPr>
        <w:t>（2）餐厅主管（1名）：1年以上团膳管理经验</w:t>
      </w:r>
      <w:r>
        <w:rPr>
          <w:rFonts w:hint="eastAsia" w:ascii="方正仿宋_GBK" w:hAnsi="方正仿宋_GBK" w:eastAsia="方正仿宋_GBK" w:cs="方正仿宋_GBK"/>
          <w:b w:val="0"/>
          <w:bCs w:val="0"/>
          <w:color w:val="auto"/>
          <w:sz w:val="32"/>
          <w:szCs w:val="32"/>
          <w:highlight w:val="none"/>
          <w:lang w:eastAsia="zh-CN"/>
        </w:rPr>
        <w:t>。</w:t>
      </w:r>
    </w:p>
    <w:p w14:paraId="4035A03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（3）食品安全总监（1名）：持高级食品安全管理员证书，5年以上相关经验。</w:t>
      </w:r>
    </w:p>
    <w:p w14:paraId="778D53E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（4）食品安全管理员（1名）：持食品安全管理员合格证，2年以上质检经验。</w:t>
      </w:r>
    </w:p>
    <w:p w14:paraId="3A56E8B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（5）厨师团队：红案厨师不少于4名，白案厨师不少于2名，均需5年以上相关经验。</w:t>
      </w:r>
    </w:p>
    <w:p w14:paraId="45037A6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（6）辅助人员：墩子及助手不少于2名，勤杂及洗消人员不少于3名，服务员及送餐员不少于4名，洗消工不少于2名。</w:t>
      </w:r>
    </w:p>
    <w:p w14:paraId="7456BDA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注：实际到岗人数可根据运营需要经采购人确认后调整。</w:t>
      </w:r>
    </w:p>
    <w:p w14:paraId="2056CB7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（八）应急与值班管理</w:t>
      </w:r>
    </w:p>
    <w:p w14:paraId="0CEE734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1.</w:t>
      </w:r>
      <w:r>
        <w:rPr>
          <w:rFonts w:hint="eastAsia" w:ascii="方正仿宋_GBK" w:hAnsi="方正仿宋_GBK" w:eastAsia="方正仿宋_GBK" w:cs="方正仿宋_GBK"/>
          <w:b w:val="0"/>
          <w:bCs w:val="0"/>
          <w:color w:val="auto"/>
          <w:sz w:val="32"/>
          <w:szCs w:val="32"/>
          <w:highlight w:val="none"/>
        </w:rPr>
        <w:t>日常值班要求</w:t>
      </w:r>
    </w:p>
    <w:p w14:paraId="5DD0A92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食堂须保持24小时专人值守，确保及时响应各类需求。须全力配合各级主管部门检查，对指出的问题应在24小时内提交整改方案，48小时内完成整改并书面反馈。</w:t>
      </w:r>
    </w:p>
    <w:p w14:paraId="3F57FDE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rPr>
        <w:t>应急保障机制</w:t>
      </w:r>
    </w:p>
    <w:p w14:paraId="0380AEA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rPr>
      </w:pPr>
      <w:r>
        <w:rPr>
          <w:rFonts w:hint="eastAsia" w:ascii="方正仿宋_GBK" w:hAnsi="方正仿宋_GBK" w:eastAsia="方正仿宋_GBK" w:cs="方正仿宋_GBK"/>
          <w:b w:val="0"/>
          <w:bCs w:val="0"/>
          <w:color w:val="auto"/>
          <w:sz w:val="32"/>
          <w:szCs w:val="32"/>
          <w:highlight w:val="none"/>
        </w:rPr>
        <w:t>须建立24小时应急供餐机制，制定专项预案。确保应急团队在接到通知后</w:t>
      </w:r>
      <w:r>
        <w:rPr>
          <w:rFonts w:hint="eastAsia" w:ascii="方正仿宋_GBK" w:hAnsi="方正仿宋_GBK" w:eastAsia="方正仿宋_GBK" w:cs="方正仿宋_GBK"/>
          <w:b w:val="0"/>
          <w:bCs w:val="0"/>
          <w:color w:val="auto"/>
          <w:sz w:val="32"/>
          <w:szCs w:val="32"/>
          <w:highlight w:val="none"/>
          <w:lang w:val="en-US" w:eastAsia="zh-CN"/>
        </w:rPr>
        <w:t>2</w:t>
      </w:r>
      <w:r>
        <w:rPr>
          <w:rFonts w:hint="eastAsia" w:ascii="方正仿宋_GBK" w:hAnsi="方正仿宋_GBK" w:eastAsia="方正仿宋_GBK" w:cs="方正仿宋_GBK"/>
          <w:b w:val="0"/>
          <w:bCs w:val="0"/>
          <w:color w:val="auto"/>
          <w:sz w:val="32"/>
          <w:szCs w:val="32"/>
          <w:highlight w:val="none"/>
        </w:rPr>
        <w:t>小时内到岗工作，夜间安排人员留守或保持通讯畅通，随时应对突发供餐需求。</w:t>
      </w:r>
    </w:p>
    <w:p w14:paraId="58CF196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（九）智慧食堂建设要求</w:t>
      </w:r>
    </w:p>
    <w:p w14:paraId="00FAE64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供应商应自费配置并维护涵盖订餐、支付、结算及数据分析等功能的智慧食堂系统，确保其持续稳定运行。成交后按采购人要求时间须向采购人提交系统成功投入运行的证明材料（含软件界面及硬件实景照片），逾期未提供将视为一般违约。如采购人另行配置相关系统，供应商须积极配合对接与流程实施。</w:t>
      </w:r>
    </w:p>
    <w:p w14:paraId="6F59973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b w:val="0"/>
          <w:bCs w:val="0"/>
          <w:color w:val="auto"/>
          <w:sz w:val="32"/>
          <w:szCs w:val="32"/>
          <w:highlight w:val="none"/>
          <w:lang w:val="en-US" w:eastAsia="zh-CN"/>
        </w:rPr>
      </w:pPr>
      <w:r>
        <w:rPr>
          <w:rFonts w:hint="eastAsia" w:ascii="方正楷体_GB2312" w:hAnsi="方正楷体_GB2312" w:eastAsia="方正楷体_GB2312" w:cs="方正楷体_GB2312"/>
          <w:b w:val="0"/>
          <w:bCs w:val="0"/>
          <w:color w:val="auto"/>
          <w:sz w:val="32"/>
          <w:szCs w:val="32"/>
          <w:highlight w:val="none"/>
          <w:lang w:val="en-US" w:eastAsia="zh-CN"/>
        </w:rPr>
        <w:t>（十）日常管理与监督机制</w:t>
      </w:r>
    </w:p>
    <w:p w14:paraId="1399499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1.运营监督：采购人实施专人日常监管，每季度至少开展一次满意度调查，综合满意度不低于90%为合格标准。</w:t>
      </w:r>
    </w:p>
    <w:p w14:paraId="2C74B03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2.投诉响应：设立24小时服务反馈渠道，确保投诉建议在2小时内得到实质性响应与处理，并定期向采购人汇报整改情况。</w:t>
      </w:r>
    </w:p>
    <w:p w14:paraId="16C8028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3.成本透明：采购人有权查阅成本核算报表，供应商须接受财务监督与核查。</w:t>
      </w:r>
      <w:bookmarkStart w:id="2" w:name="_Toc344475116"/>
      <w:bookmarkStart w:id="3" w:name="_Toc76462326"/>
      <w:bookmarkStart w:id="4" w:name="_Toc313536013"/>
    </w:p>
    <w:p w14:paraId="3EB6D31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五、安全管理要求</w:t>
      </w:r>
    </w:p>
    <w:p w14:paraId="238497E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（一）安全责任与制度体系</w:t>
      </w:r>
    </w:p>
    <w:p w14:paraId="1500D2C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供应商为食堂安全生产的责任主体，须全面承担食品安全、生产安全（含操作、消防、电气、燃气安全）及公共安全等相关事故的全部法律责任和经济赔偿责任。</w:t>
      </w:r>
    </w:p>
    <w:p w14:paraId="1504BB7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所有安全管理活动须持续符合《中华人民共和国食品安全法》《安全生产法》《消防法》等国家及重庆市相关法律法规、行业标准及采购人管理要求。</w:t>
      </w:r>
    </w:p>
    <w:p w14:paraId="32BB405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供应商须建立健全以下书面制度体系，并于服务开始前报采购人审核确认后执行：</w:t>
      </w:r>
    </w:p>
    <w:p w14:paraId="12F9C71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1.安全生产责任制度（明确各岗位安全职责）；</w:t>
      </w:r>
    </w:p>
    <w:p w14:paraId="0CF3D1B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2.食品安全管理制度（涵盖进货查验、索证索票、追溯、留样、从业人员健康管理、培训考核、食品添加剂管理、餐厨废弃物处置、产品召回及食品安全自查等内容）；</w:t>
      </w:r>
    </w:p>
    <w:p w14:paraId="74C1CAC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3.设施设备安全操作规程（覆盖全部工种与设备）；</w:t>
      </w:r>
    </w:p>
    <w:p w14:paraId="02342AC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4.消防安全管理制度；</w:t>
      </w:r>
    </w:p>
    <w:p w14:paraId="60B0ADE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5.独立的安全事故应急预案；</w:t>
      </w:r>
    </w:p>
    <w:p w14:paraId="77C932A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6.安全事故报告、调查与处理制度（明确报告时限、流程、调查组构成及整改要求）。</w:t>
      </w:r>
    </w:p>
    <w:p w14:paraId="2BFF9F0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所有制度须严格执行，相关操作、检查、培训、演练、事故处理及整改记录应完整保存，保存期限不少于2年，供采购人及监管部门调阅。</w:t>
      </w:r>
    </w:p>
    <w:p w14:paraId="3CEFC0D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供应商须确保所购保险（包括雇主责任险、公众责任险等）覆盖对采购人的赔偿责任。发生保险事故后应立即启动理赔程序，并承诺保险理赔款优先用于赔付采购人及相关人员损失。</w:t>
      </w:r>
    </w:p>
    <w:p w14:paraId="74A064B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（二）执行与检查要求</w:t>
      </w:r>
    </w:p>
    <w:p w14:paraId="0DD22AD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1.供应商应设立专职的食堂安全管理组织，项目经理为食堂安全（消防、治安、食品卫生、生产操作）第一责任人。必须配备专职或兼职安全员，负责日常安全巡查。</w:t>
      </w:r>
    </w:p>
    <w:p w14:paraId="348C432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2.必须无条件积极配合采购人及政府市场监管、消防、应急管理等上级监管部门的监督检查，对提出的所有问题必须限期整改，并将整改结果书面报告采购人。</w:t>
      </w:r>
    </w:p>
    <w:p w14:paraId="4DB6A20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事故责任：凡因供应商管理不善、操作不当或违规作业导致的意外伤害、盗窃、火灾、工伤、食物中毒等事故，其全部经济损失和责任由供应商承担。造成重大社会影响或人员伤亡的，采购人有权立即终止合同，将其列入供应商黑名单，并追究其全部法律及经济赔偿责任。</w:t>
      </w:r>
    </w:p>
    <w:p w14:paraId="6CDB5EE3">
      <w:pPr>
        <w:pStyle w:val="5"/>
        <w:rPr>
          <w:rFonts w:hint="eastAsia"/>
          <w:highlight w:val="none"/>
          <w:lang w:val="en-US" w:eastAsia="zh-CN"/>
        </w:rPr>
      </w:pPr>
    </w:p>
    <w:p w14:paraId="4BC56F1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（三）生产安全控制措施</w:t>
      </w:r>
    </w:p>
    <w:p w14:paraId="1EEAA78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1.设备安全操作</w:t>
      </w:r>
    </w:p>
    <w:p w14:paraId="2D036EE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定期检查维护设备，故障设备立即停用并标识报修。每日操作前进行设备点检，发现异常立即处理。规范员工着装，操作特定设备必须使用防护用具。实行专人专管、持证上岗，定期组织安全培训考核。</w:t>
      </w:r>
    </w:p>
    <w:p w14:paraId="6A15F6E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2.加工过程安全</w:t>
      </w:r>
    </w:p>
    <w:p w14:paraId="57BD900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配备合格防护用具，监督员工规范使用。工具容器明确生熟荤素标识，优先使用不锈钢材质。严禁使用有害物质容器，禁止重复使用一次性餐具。严格执行食品温度控制，防止交叉污染。</w:t>
      </w:r>
    </w:p>
    <w:p w14:paraId="097055A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3.场所安全管理</w:t>
      </w:r>
    </w:p>
    <w:p w14:paraId="3224F4E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严格管理非工作人员进入后厨，做好访客登记。发现可疑情况立即报告安保部门。操作间无人时关闭门窗，食品加盖保存。</w:t>
      </w:r>
    </w:p>
    <w:p w14:paraId="6ED2948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4.燃气安全控制</w:t>
      </w:r>
    </w:p>
    <w:p w14:paraId="1C064E1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作业后关闭总阀，专人复查确认。控制烹煮量不超过容器容量三分之二，操作期间专人看守不得离岗。每日使用肥皂水检测管道接口，发现泄漏立即停用报修。</w:t>
      </w:r>
    </w:p>
    <w:p w14:paraId="69DA30B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5.消防安全控制</w:t>
      </w:r>
    </w:p>
    <w:p w14:paraId="23A338B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每月委托专业机构清洗油烟管道并出具报告。每日彻底清理灶台墙面积油。按规范配齐灭火器、灭火毯等消防器材，定期检查有效性。每半年组织全员消防培训演练。</w:t>
      </w:r>
    </w:p>
    <w:p w14:paraId="74C2D39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6.用电安全控制</w:t>
      </w:r>
    </w:p>
    <w:p w14:paraId="338139D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制定电器安全操作规程，使用后及时断电。每日清理设备油污，保持环境干燥，配电箱周边禁止堆放易燃物。定期开展用电安全培训。</w:t>
      </w:r>
    </w:p>
    <w:p w14:paraId="4D60ADD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7.排放控制要求</w:t>
      </w:r>
    </w:p>
    <w:p w14:paraId="04F27AC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ind w:firstLine="640" w:firstLineChars="200"/>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严格执行重庆市餐饮业大气污染物排放标准。每半年委托有资质第三方进行排放检测，保留检测报告备查，检测费用由供应商承担。</w:t>
      </w:r>
    </w:p>
    <w:p w14:paraId="01DC7EE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（四）食品安全管理要求</w:t>
      </w:r>
    </w:p>
    <w:p w14:paraId="2EB84FA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1.采购与验收管理</w:t>
      </w:r>
    </w:p>
    <w:p w14:paraId="66FABC3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供应商须严格审核食品原料供应商资质，确保其具备合法有效的营业执照、生产许可证、卫生许可证及产品质量检测报告等证明文件，并签订《购销物品质量安全协议书》。所有供应商资质材料及食品检测报告须提交采购人备案存档。</w:t>
      </w:r>
    </w:p>
    <w:p w14:paraId="51DD0B6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（2）所有购进物品须经采购人指定人员验收合格并签字确认后，方可入库。未经验收或验收不合格的食品原料一律不得进入加工环节。</w:t>
      </w:r>
    </w:p>
    <w:p w14:paraId="7EF9208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2.加工与操作规范</w:t>
      </w:r>
    </w:p>
    <w:p w14:paraId="3C27D2E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（1）食堂应严格按功能分区操作，配备专用清洗、消毒设施。厨具及餐具使用后须彻底清洗并消毒，做到生熟分开、荤素分离、专具专用，严禁加工腐烂变质或不合格原料。</w:t>
      </w:r>
    </w:p>
    <w:p w14:paraId="3CEDD0E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（2）高风险食品须按规定彻底加热，确保中心温度达到安全标准。解冻食品应科学防护、避免污染，解冻后食品表面温度不应超过8℃，并应严格控制解冻后食品在常温环境下的存放时间。</w:t>
      </w:r>
    </w:p>
    <w:p w14:paraId="3536EDB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（3）食品原料应洗净后使用，禽蛋类须清洁外壳，破蛋应单独存放、确认无变质后方可合并使用。清洗不同类别食品的器具应严格区分、标注明确、专具专用。</w:t>
      </w:r>
    </w:p>
    <w:p w14:paraId="639FFA3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3.食品质量与卫生控制</w:t>
      </w:r>
    </w:p>
    <w:p w14:paraId="1D96385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（1）食品品质要求</w:t>
      </w:r>
    </w:p>
    <w:p w14:paraId="5068F30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①所有餐食须保证新鲜、卫生、温度适宜，无异常气味或异物。水果及生鲜原料应符合国家及重庆市现行食品安全标准。</w:t>
      </w:r>
    </w:p>
    <w:p w14:paraId="4ABBBDD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②保证每日供应食物色、香、味、形俱佳，营养搭配科学，品种丰富多样，每周应有更新。</w:t>
      </w:r>
    </w:p>
    <w:p w14:paraId="49BDA30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③严禁使用即热、即食、即烹类预制品。允许使用符合国家标准的预加工初级食材（如净菜、冷冻肉类），但所有菜肴的最终烹饪和调味必须在食堂现场完成。</w:t>
      </w:r>
    </w:p>
    <w:p w14:paraId="4F8DA9D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④必须保证所有时段菜品供应充足，满足所有就餐者在数量与品种上的需求，杜绝断供情况。</w:t>
      </w:r>
    </w:p>
    <w:p w14:paraId="7AAE5A8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（2）食品安全管理</w:t>
      </w:r>
    </w:p>
    <w:p w14:paraId="16193B6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①严格遵守《中华人民共和国食品安全法》等国家及行业法律法规，建立完善的食品安全管理体系，确保食品从原料采购、加工制作到成品配送的全过程安全可控。</w:t>
      </w:r>
    </w:p>
    <w:p w14:paraId="49E90FA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②严格执行食品留样制度：每餐、每品种留样量不少于125克，留样时间不低于48小时，实行专柜双人双锁管理，并详细记录留样信息。</w:t>
      </w:r>
    </w:p>
    <w:p w14:paraId="54A9C02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default"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③熟制食品应严格把控加工温度与时间，加强专间（如生冷荤间）管理，确保专间温度不高于25℃。紫外线灯消毒应在非作业时段开启30分钟以上，并做好消毒记录。</w:t>
      </w:r>
    </w:p>
    <w:p w14:paraId="610A305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4、食品贮存与添加剂使用</w:t>
      </w:r>
    </w:p>
    <w:p w14:paraId="7CD61B2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（1）半成品、成品应使用标记清晰的专用容器分开存放，使用后及时清洗消毒。调味料及辅料开封后应标注日期，未用完的须密封、干燥贮存，必要时应转移至清洁容器并标识相关信息。</w:t>
      </w:r>
    </w:p>
    <w:p w14:paraId="2F1E205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（2）原则上不得使用食品添加剂。确需使用的，须事先书面报备采购人并获得同意，并严格按国家标准规范使用。</w:t>
      </w:r>
    </w:p>
    <w:p w14:paraId="47EBD30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5、污染防控与有害生物防治</w:t>
      </w:r>
    </w:p>
    <w:p w14:paraId="0710348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（1）叶菜类应逐片流水清洗，坚持先洗后切，有效去除农药残留。</w:t>
      </w:r>
    </w:p>
    <w:p w14:paraId="13E3A08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（2）应根据食品属性及种类使用专用器皿，控制加工用量，缩短半成品与熟食存放时间，尽快销售和使用。</w:t>
      </w:r>
    </w:p>
    <w:p w14:paraId="318E394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（3）成品运输须加盖防护，避免交叉污染。食堂须配备完善的防鼠、防虫、防尘设施，定期开展有害生物防治工作。</w:t>
      </w:r>
    </w:p>
    <w:p w14:paraId="13BCE8A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6、食品安全制度体系</w:t>
      </w:r>
    </w:p>
    <w:p w14:paraId="07D0D23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供应商应建立健全食品安全管理制度体系，包括但不限于：从业人员健康管理、食品采购验收贮存、场所设备清洗消毒、食品添加剂管理、餐厨废弃物处置、食品留样、有害生物防治、产品召回及食品安全自查等制度，并保存完整记录。</w:t>
      </w:r>
    </w:p>
    <w:p w14:paraId="35409AD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b w:val="0"/>
          <w:bCs w:val="0"/>
          <w:color w:val="auto"/>
          <w:sz w:val="32"/>
          <w:szCs w:val="32"/>
          <w:highlight w:val="none"/>
          <w:lang w:val="en-US" w:eastAsia="zh-CN"/>
        </w:rPr>
      </w:pPr>
      <w:r>
        <w:rPr>
          <w:rFonts w:hint="eastAsia" w:ascii="方正楷体_GB2312" w:hAnsi="方正楷体_GB2312" w:eastAsia="方正楷体_GB2312" w:cs="方正楷体_GB2312"/>
          <w:b w:val="0"/>
          <w:bCs w:val="0"/>
          <w:color w:val="auto"/>
          <w:sz w:val="32"/>
          <w:szCs w:val="32"/>
          <w:highlight w:val="none"/>
          <w:lang w:val="en-US" w:eastAsia="zh-CN"/>
        </w:rPr>
        <w:t>（五）安全事故应急预案专项要求</w:t>
      </w:r>
    </w:p>
    <w:p w14:paraId="73E05A1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1.应急预案必须形成独立、详细的文件，并至少涵盖以下类别及内容：</w:t>
      </w:r>
    </w:p>
    <w:p w14:paraId="2A0BAE5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（1）食物中毒应急预案：立即停止售卖、封存可疑食品和留样、报告采购人和市场监管部门、协助救治患者、配合调查。</w:t>
      </w:r>
    </w:p>
    <w:p w14:paraId="3D675D6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（2）火灾事故应急预案：报警、初期火灾扑救（明确不同火源使用何种灭火器）、组织疏散、引导消防队、保护现场。</w:t>
      </w:r>
    </w:p>
    <w:p w14:paraId="720DA97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（3）人身伤害应急预案（机械伤害、灼烫、触电等）： 立即切断电源/气源、进行急救（止血、包扎等）、报告、送医、保护现场。</w:t>
      </w:r>
    </w:p>
    <w:p w14:paraId="7C1771F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（4）突发停水停电应急预案： 启用应急照明、评估对供餐影响、关闭设备开关、维护秩序、联系采购人协调。</w:t>
      </w:r>
    </w:p>
    <w:p w14:paraId="0A080CC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（5）燃气泄漏应急预案： 禁止启闭电器开关、关闭总阀、打开门窗通风、疏散人员、到户外安全地带报警。</w:t>
      </w:r>
    </w:p>
    <w:p w14:paraId="3C0FA8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（6）必须明确应急指挥小组架构（项目经理为总指挥）、各人员职责、报警电话、救援流程。</w:t>
      </w:r>
    </w:p>
    <w:p w14:paraId="3D5AD9E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（7）每半年至少组织一次综合或专项应急演练，并做好演练记录、影像资料和评估总结，持续完善预案。</w:t>
      </w:r>
    </w:p>
    <w:p w14:paraId="547E087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（六）安全事故报告与调查处理制度专项要求</w:t>
      </w:r>
    </w:p>
    <w:p w14:paraId="1F58411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1.发生任何安全事故，现场人员必须立即报告项目经理和采购人指定负责人。</w:t>
      </w:r>
    </w:p>
    <w:p w14:paraId="522E3BD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2.发生食物中毒、火灾、重伤等重大事故，必须在1小时内向采购人和政府相关监管部门（市场监督管理局、应急管理局等）报告。</w:t>
      </w:r>
    </w:p>
    <w:p w14:paraId="7D727C7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3.立即启动应急预案，优先救助人员，保护现场，防止事态扩大。</w:t>
      </w:r>
    </w:p>
    <w:p w14:paraId="087BEC1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4.由供应商安全管理小组牵头，成立调查组，查明事故原因、性质、损失，认定事故责任，提出整改措施和处理意见，形成书面调查报告提交采购人。</w:t>
      </w:r>
    </w:p>
    <w:p w14:paraId="37FB916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5.采购人有权对事故调查和处理全过程进行监督。</w:t>
      </w:r>
    </w:p>
    <w:p w14:paraId="4C5634B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（七）厨房环境卫生与作业区卫生控制</w:t>
      </w:r>
    </w:p>
    <w:p w14:paraId="785EDD2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t>1.垃圾处理符合规程；定时清理垃圾箱，防虫鼠、防渗漏；垃圾桶（箱）加盖，按要求及时清理清洗；定期清洁地面、墙壁、滤油池等。</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2.炉灶作业：开餐前彻底清洗用具，检查调料；油钵每日过滤，新老油分存；调味品常用常添，防变质挥发；防潮防污染；原料充分烧透煮透；切配烹调双盘制；试尝口味使用专用餐具；结束后清洁用具归位，清洗汤锅调料；清理蒸箱、烤盘。</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3.配菜作业：开餐前清理冰箱，检查原料；用具清洁无污迹异味；配料小料分装整齐，水盆定时换水；需冷藏原料及时冷藏；规范开启罐头；注意原料新鲜度，严格把关；结束后清洁归位用具，原料按贮藏要求储存。</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4.白案间：保证原料馅料新鲜卫生，定时检查冰箱；刀、砧板、面案、抹布保持清洁，模具面杖随用随洁；工作结束后清洗用具归位，蒸笼锅放水擦油污，馅料原料分类冷藏。</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5.切配组：刀、砧板、台面、抹布保持清洁，及时清理水池物料垃圾防堵塞；原料分类加工，易腐败原料缩短加工时间；规范解冻，分类解冻，加工后原料分类盛装保鲜膜封存待用；原料分类存放，定时整理食品架，遵循“先存先用”原则；机械使用后去除残渣及时清洁。</w:t>
      </w:r>
      <w:r>
        <w:rPr>
          <w:rFonts w:hint="eastAsia" w:ascii="方正仿宋_GBK" w:hAnsi="方正仿宋_GBK" w:eastAsia="方正仿宋_GBK" w:cs="方正仿宋_GBK"/>
          <w:b w:val="0"/>
          <w:bCs w:val="0"/>
          <w:color w:val="auto"/>
          <w:sz w:val="32"/>
          <w:szCs w:val="32"/>
          <w:highlight w:val="none"/>
          <w:lang w:val="en-US" w:eastAsia="zh-CN"/>
        </w:rPr>
        <w:br w:type="textWrapping"/>
      </w:r>
      <w:r>
        <w:rPr>
          <w:rFonts w:hint="eastAsia" w:ascii="方正仿宋_GBK" w:hAnsi="方正仿宋_GBK" w:eastAsia="方正仿宋_GBK" w:cs="方正仿宋_GBK"/>
          <w:b w:val="0"/>
          <w:bCs w:val="0"/>
          <w:color w:val="auto"/>
          <w:sz w:val="32"/>
          <w:szCs w:val="32"/>
          <w:highlight w:val="none"/>
          <w:lang w:val="en-US" w:eastAsia="zh-CN"/>
        </w:rPr>
        <w:t xml:space="preserve"> 6.清洗消毒组：餐饮具严格执行洗消程序，防药物残留，防二次污染；消毒后餐饮具光洁无油渍水渍异味泡沫附着物，符合标准；消毒后餐饮具消毒柜密闭保存，定时清洗消毒柜，已消毒未消毒分存，消毒柜不存他物；结束后清理地面水池卫生，处理泔水桶，无积水无残渣；定期检查消毒设备设施。</w:t>
      </w:r>
    </w:p>
    <w:bookmarkEnd w:id="2"/>
    <w:bookmarkEnd w:id="3"/>
    <w:bookmarkEnd w:id="4"/>
    <w:p w14:paraId="5D7147D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pPr>
      <w:r>
        <w:rPr>
          <w:rFonts w:hint="eastAsia" w:ascii="方正仿宋_GBK" w:hAnsi="方正仿宋_GBK" w:eastAsia="方正仿宋_GBK" w:cs="方正仿宋_GBK"/>
          <w:b w:val="0"/>
          <w:bCs w:val="0"/>
          <w:color w:val="auto"/>
          <w:sz w:val="32"/>
          <w:szCs w:val="32"/>
          <w:highlight w:val="none"/>
          <w:lang w:val="en-US" w:eastAsia="zh-CN"/>
        </w:rPr>
        <w:br w:type="page"/>
      </w:r>
    </w:p>
    <w:p w14:paraId="66F35BC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仿宋_GBK" w:hAnsi="方正仿宋_GBK" w:eastAsia="方正仿宋_GBK" w:cs="方正仿宋_GBK"/>
          <w:b w:val="0"/>
          <w:bCs w:val="0"/>
          <w:color w:val="auto"/>
          <w:sz w:val="32"/>
          <w:szCs w:val="32"/>
          <w:highlight w:val="none"/>
          <w:lang w:val="en-US" w:eastAsia="zh-CN"/>
        </w:rPr>
        <w:sectPr>
          <w:footerReference r:id="rId3" w:type="default"/>
          <w:pgSz w:w="11907" w:h="16840"/>
          <w:pgMar w:top="1440" w:right="1800" w:bottom="1440" w:left="1800" w:header="964" w:footer="992" w:gutter="0"/>
          <w:pgBorders>
            <w:top w:val="none" w:sz="0" w:space="0"/>
            <w:left w:val="none" w:sz="0" w:space="0"/>
            <w:bottom w:val="none" w:sz="0" w:space="0"/>
            <w:right w:val="none" w:sz="0" w:space="0"/>
          </w:pgBorders>
          <w:pgNumType w:fmt="numberInDash"/>
          <w:cols w:space="720" w:num="1"/>
          <w:docGrid w:linePitch="312" w:charSpace="0"/>
        </w:sectPr>
      </w:pPr>
    </w:p>
    <w:p w14:paraId="150E4866">
      <w:pPr>
        <w:pStyle w:val="3"/>
        <w:pageBreakBefore w:val="0"/>
        <w:kinsoku/>
        <w:wordWrap/>
        <w:topLinePunct w:val="0"/>
        <w:bidi w:val="0"/>
        <w:spacing w:before="0" w:beforeLines="0" w:beforeAutospacing="0" w:after="0" w:afterLines="0" w:afterAutospacing="0" w:line="20" w:lineRule="atLeast"/>
        <w:jc w:val="center"/>
        <w:rPr>
          <w:rFonts w:hint="eastAsia" w:ascii="Times New Roman" w:hAnsi="Times New Roman" w:eastAsia="方正小标宋_GBK" w:cs="Times New Roman"/>
          <w:b w:val="0"/>
          <w:kern w:val="2"/>
          <w:sz w:val="44"/>
          <w:szCs w:val="44"/>
          <w:highlight w:val="none"/>
          <w:lang w:val="en-US" w:eastAsia="zh-CN" w:bidi="ar-SA"/>
        </w:rPr>
      </w:pPr>
      <w:bookmarkStart w:id="5" w:name="_Toc32114"/>
      <w:bookmarkStart w:id="6" w:name="_Toc76462327"/>
      <w:bookmarkStart w:id="7" w:name="_Toc12060"/>
      <w:bookmarkStart w:id="11" w:name="_GoBack"/>
      <w:bookmarkEnd w:id="11"/>
      <w:r>
        <w:rPr>
          <w:rFonts w:hint="eastAsia" w:ascii="Times New Roman" w:hAnsi="Times New Roman" w:eastAsia="方正小标宋_GBK" w:cs="Times New Roman"/>
          <w:b w:val="0"/>
          <w:kern w:val="2"/>
          <w:sz w:val="44"/>
          <w:szCs w:val="44"/>
          <w:highlight w:val="none"/>
          <w:lang w:val="en-US" w:eastAsia="zh-CN" w:bidi="ar-SA"/>
        </w:rPr>
        <w:t>项目商务需求</w:t>
      </w:r>
      <w:bookmarkEnd w:id="5"/>
      <w:bookmarkEnd w:id="6"/>
      <w:bookmarkEnd w:id="7"/>
    </w:p>
    <w:p w14:paraId="46AA4CBF">
      <w:pPr>
        <w:pStyle w:val="3"/>
        <w:pageBreakBefore w:val="0"/>
        <w:kinsoku/>
        <w:wordWrap/>
        <w:topLinePunct w:val="0"/>
        <w:bidi w:val="0"/>
        <w:spacing w:before="0" w:after="0" w:line="20" w:lineRule="atLeast"/>
        <w:jc w:val="left"/>
        <w:rPr>
          <w:rFonts w:hint="eastAsia" w:ascii="Times New Roman" w:hAnsi="Times New Roman" w:eastAsia="方正黑体_GBK" w:cs="Times New Roman"/>
          <w:b w:val="0"/>
          <w:kern w:val="2"/>
          <w:sz w:val="32"/>
          <w:szCs w:val="32"/>
          <w:highlight w:val="none"/>
          <w:lang w:val="en-US" w:eastAsia="zh-CN" w:bidi="ar-SA"/>
        </w:rPr>
      </w:pPr>
      <w:bookmarkStart w:id="8" w:name="_Toc2071"/>
      <w:bookmarkStart w:id="9" w:name="_Toc76387238"/>
      <w:bookmarkStart w:id="10" w:name="_Toc27827"/>
      <w:r>
        <w:rPr>
          <w:rFonts w:hint="eastAsia" w:ascii="Times New Roman" w:hAnsi="Times New Roman" w:eastAsia="方正黑体_GBK" w:cs="Times New Roman"/>
          <w:b w:val="0"/>
          <w:kern w:val="2"/>
          <w:sz w:val="32"/>
          <w:szCs w:val="32"/>
          <w:highlight w:val="none"/>
          <w:lang w:val="en-US" w:eastAsia="zh-CN" w:bidi="ar-SA"/>
        </w:rPr>
        <w:t>一、服务期、服务地点及考核方式</w:t>
      </w:r>
      <w:bookmarkEnd w:id="8"/>
      <w:bookmarkEnd w:id="9"/>
      <w:bookmarkEnd w:id="10"/>
    </w:p>
    <w:p w14:paraId="5C4CD07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（一）服务期</w:t>
      </w:r>
    </w:p>
    <w:p w14:paraId="3B0D5A31">
      <w:pPr>
        <w:pageBreakBefore w:val="0"/>
        <w:kinsoku/>
        <w:wordWrap/>
        <w:topLinePunct w:val="0"/>
        <w:bidi w:val="0"/>
        <w:snapToGrid w:val="0"/>
        <w:spacing w:line="20" w:lineRule="atLeast"/>
        <w:ind w:firstLine="640" w:firstLineChars="200"/>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在采购合同签订后服务3年，合同一年一签。</w:t>
      </w:r>
    </w:p>
    <w:p w14:paraId="7E5D7E35">
      <w:pPr>
        <w:pageBreakBefore w:val="0"/>
        <w:kinsoku/>
        <w:wordWrap/>
        <w:topLinePunct w:val="0"/>
        <w:bidi w:val="0"/>
        <w:snapToGrid w:val="0"/>
        <w:spacing w:line="20" w:lineRule="atLeast"/>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rPr>
        <w:t>1</w:t>
      </w:r>
      <w:r>
        <w:rPr>
          <w:rFonts w:hint="eastAsia" w:ascii="方正仿宋_GBK" w:hAnsi="方正仿宋_GBK" w:eastAsia="方正仿宋_GBK" w:cs="方正仿宋_GBK"/>
          <w:kern w:val="0"/>
          <w:sz w:val="32"/>
          <w:szCs w:val="32"/>
          <w:highlight w:val="none"/>
          <w:lang w:eastAsia="zh-CN"/>
        </w:rPr>
        <w:t>.</w:t>
      </w:r>
      <w:r>
        <w:rPr>
          <w:rFonts w:hint="eastAsia" w:ascii="方正仿宋_GBK" w:hAnsi="方正仿宋_GBK" w:eastAsia="方正仿宋_GBK" w:cs="方正仿宋_GBK"/>
          <w:kern w:val="0"/>
          <w:sz w:val="32"/>
          <w:szCs w:val="32"/>
          <w:highlight w:val="none"/>
        </w:rPr>
        <w:t>采购人将根据</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日常考核和满意度情况，决定是否在下一年度与</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续签合同，若因</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考核不达标或满意度不达标降低服务质量，采购人有权拒绝与采购人续签下一年度合同并无需承担任何法律责任。</w:t>
      </w:r>
    </w:p>
    <w:p w14:paraId="1AD7488F">
      <w:pPr>
        <w:pageBreakBefore w:val="0"/>
        <w:kinsoku/>
        <w:wordWrap/>
        <w:topLinePunct w:val="0"/>
        <w:bidi w:val="0"/>
        <w:snapToGrid w:val="0"/>
        <w:spacing w:line="20" w:lineRule="atLeast"/>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lang w:val="en-US" w:eastAsia="zh-CN"/>
        </w:rPr>
        <w:t>2.</w:t>
      </w:r>
      <w:r>
        <w:rPr>
          <w:rFonts w:hint="eastAsia" w:ascii="方正仿宋_GBK" w:hAnsi="方正仿宋_GBK" w:eastAsia="方正仿宋_GBK" w:cs="方正仿宋_GBK"/>
          <w:kern w:val="0"/>
          <w:sz w:val="32"/>
          <w:szCs w:val="32"/>
          <w:highlight w:val="none"/>
        </w:rPr>
        <w:t>合同签订后，以采购人通知到场时间为准，相关配置人员到达采购人指定地点并正式开始工作。</w:t>
      </w:r>
    </w:p>
    <w:p w14:paraId="0DF5F6C2">
      <w:pPr>
        <w:pageBreakBefore w:val="0"/>
        <w:kinsoku/>
        <w:wordWrap/>
        <w:topLinePunct w:val="0"/>
        <w:bidi w:val="0"/>
        <w:snapToGrid w:val="0"/>
        <w:spacing w:line="20" w:lineRule="atLeast"/>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lang w:val="en-US" w:eastAsia="zh-CN"/>
        </w:rPr>
        <w:t>3.</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未按照合同约定时间到场的，应支付逾期违约金，其计算方式如下：</w:t>
      </w:r>
    </w:p>
    <w:p w14:paraId="1684C458">
      <w:pPr>
        <w:pageBreakBefore w:val="0"/>
        <w:kinsoku/>
        <w:wordWrap/>
        <w:topLinePunct w:val="0"/>
        <w:bidi w:val="0"/>
        <w:snapToGrid w:val="0"/>
        <w:spacing w:line="20" w:lineRule="atLeast"/>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lang w:eastAsia="zh-CN"/>
        </w:rPr>
        <w:t>（</w:t>
      </w:r>
      <w:r>
        <w:rPr>
          <w:rFonts w:hint="eastAsia" w:ascii="方正仿宋_GBK" w:hAnsi="方正仿宋_GBK" w:eastAsia="方正仿宋_GBK" w:cs="方正仿宋_GBK"/>
          <w:kern w:val="0"/>
          <w:sz w:val="32"/>
          <w:szCs w:val="32"/>
          <w:highlight w:val="none"/>
          <w:lang w:val="en-US" w:eastAsia="zh-CN"/>
        </w:rPr>
        <w:t>1）</w:t>
      </w:r>
      <w:r>
        <w:rPr>
          <w:rFonts w:hint="eastAsia" w:ascii="方正仿宋_GBK" w:hAnsi="方正仿宋_GBK" w:eastAsia="方正仿宋_GBK" w:cs="方正仿宋_GBK"/>
          <w:kern w:val="0"/>
          <w:sz w:val="32"/>
          <w:szCs w:val="32"/>
          <w:highlight w:val="none"/>
        </w:rPr>
        <w:t>延误天数累计在10个日历日以内的，每延迟一天</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lang w:val="en-US" w:eastAsia="zh-CN"/>
        </w:rPr>
        <w:t>向采购人支付</w:t>
      </w:r>
      <w:r>
        <w:rPr>
          <w:rFonts w:hint="eastAsia" w:ascii="方正仿宋_GBK" w:hAnsi="方正仿宋_GBK" w:eastAsia="方正仿宋_GBK" w:cs="方正仿宋_GBK"/>
          <w:sz w:val="32"/>
          <w:szCs w:val="32"/>
          <w:highlight w:val="none"/>
          <w:lang w:val="en-US" w:eastAsia="zh-CN"/>
        </w:rPr>
        <w:t>每月管理费</w:t>
      </w:r>
      <w:r>
        <w:rPr>
          <w:rFonts w:hint="eastAsia" w:ascii="方正仿宋_GBK" w:hAnsi="方正仿宋_GBK" w:eastAsia="方正仿宋_GBK" w:cs="方正仿宋_GBK"/>
          <w:kern w:val="0"/>
          <w:sz w:val="32"/>
          <w:szCs w:val="32"/>
          <w:highlight w:val="none"/>
        </w:rPr>
        <w:t>的</w:t>
      </w:r>
      <w:r>
        <w:rPr>
          <w:rFonts w:hint="eastAsia" w:ascii="方正仿宋_GBK" w:hAnsi="方正仿宋_GBK" w:eastAsia="方正仿宋_GBK" w:cs="方正仿宋_GBK"/>
          <w:kern w:val="0"/>
          <w:sz w:val="32"/>
          <w:szCs w:val="32"/>
          <w:highlight w:val="none"/>
          <w:lang w:val="en-US" w:eastAsia="zh-CN"/>
        </w:rPr>
        <w:t>5</w:t>
      </w:r>
      <w:r>
        <w:rPr>
          <w:rFonts w:hint="eastAsia" w:ascii="方正仿宋_GBK" w:hAnsi="方正仿宋_GBK" w:eastAsia="方正仿宋_GBK" w:cs="方正仿宋_GBK"/>
          <w:kern w:val="0"/>
          <w:sz w:val="32"/>
          <w:szCs w:val="32"/>
          <w:highlight w:val="none"/>
        </w:rPr>
        <w:t>%，以此类推；</w:t>
      </w:r>
    </w:p>
    <w:p w14:paraId="70C80CBA">
      <w:pPr>
        <w:pageBreakBefore w:val="0"/>
        <w:kinsoku/>
        <w:wordWrap/>
        <w:topLinePunct w:val="0"/>
        <w:bidi w:val="0"/>
        <w:snapToGrid w:val="0"/>
        <w:spacing w:line="20" w:lineRule="atLeast"/>
        <w:rPr>
          <w:rFonts w:hint="eastAsia" w:ascii="方正仿宋_GBK" w:hAnsi="方正仿宋_GBK" w:eastAsia="方正仿宋_GBK" w:cs="方正仿宋_GBK"/>
          <w:kern w:val="0"/>
          <w:sz w:val="32"/>
          <w:szCs w:val="32"/>
          <w:highlight w:val="none"/>
        </w:rPr>
      </w:pPr>
      <w:r>
        <w:rPr>
          <w:rFonts w:hint="eastAsia" w:ascii="方正仿宋_GBK" w:hAnsi="方正仿宋_GBK" w:eastAsia="方正仿宋_GBK" w:cs="方正仿宋_GBK"/>
          <w:kern w:val="0"/>
          <w:sz w:val="32"/>
          <w:szCs w:val="32"/>
          <w:highlight w:val="none"/>
          <w:lang w:eastAsia="zh-CN"/>
        </w:rPr>
        <w:t>（</w:t>
      </w:r>
      <w:r>
        <w:rPr>
          <w:rFonts w:hint="eastAsia" w:ascii="方正仿宋_GBK" w:hAnsi="方正仿宋_GBK" w:eastAsia="方正仿宋_GBK" w:cs="方正仿宋_GBK"/>
          <w:kern w:val="0"/>
          <w:sz w:val="32"/>
          <w:szCs w:val="32"/>
          <w:highlight w:val="none"/>
          <w:lang w:val="en-US" w:eastAsia="zh-CN"/>
        </w:rPr>
        <w:t>2）</w:t>
      </w:r>
      <w:r>
        <w:rPr>
          <w:rFonts w:hint="eastAsia" w:ascii="方正仿宋_GBK" w:hAnsi="方正仿宋_GBK" w:eastAsia="方正仿宋_GBK" w:cs="方正仿宋_GBK"/>
          <w:kern w:val="0"/>
          <w:sz w:val="32"/>
          <w:szCs w:val="32"/>
          <w:highlight w:val="none"/>
        </w:rPr>
        <w:t>延误天数累计超过10个日历日的，采购人有权单方面解除合同并有权要求</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承担由此造成的损失，</w:t>
      </w:r>
      <w:r>
        <w:rPr>
          <w:rFonts w:hint="eastAsia" w:ascii="方正仿宋_GBK" w:hAnsi="方正仿宋_GBK" w:eastAsia="方正仿宋_GBK" w:cs="方正仿宋_GBK"/>
          <w:kern w:val="0"/>
          <w:sz w:val="32"/>
          <w:szCs w:val="32"/>
          <w:highlight w:val="none"/>
          <w:lang w:eastAsia="zh-CN"/>
        </w:rPr>
        <w:t>同时按合同解除情形处理。采购人</w:t>
      </w:r>
      <w:r>
        <w:rPr>
          <w:rFonts w:hint="eastAsia" w:ascii="方正仿宋_GBK" w:hAnsi="方正仿宋_GBK" w:eastAsia="方正仿宋_GBK" w:cs="方正仿宋_GBK"/>
          <w:kern w:val="0"/>
          <w:sz w:val="32"/>
          <w:szCs w:val="32"/>
          <w:highlight w:val="none"/>
        </w:rPr>
        <w:t>不支付</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任何费用，一切后果由</w:t>
      </w:r>
      <w:r>
        <w:rPr>
          <w:rFonts w:hint="eastAsia" w:ascii="方正仿宋_GBK" w:hAnsi="方正仿宋_GBK" w:eastAsia="方正仿宋_GBK" w:cs="方正仿宋_GBK"/>
          <w:kern w:val="0"/>
          <w:sz w:val="32"/>
          <w:szCs w:val="32"/>
          <w:highlight w:val="none"/>
          <w:lang w:eastAsia="zh-CN"/>
        </w:rPr>
        <w:t>供应商</w:t>
      </w:r>
      <w:r>
        <w:rPr>
          <w:rFonts w:hint="eastAsia" w:ascii="方正仿宋_GBK" w:hAnsi="方正仿宋_GBK" w:eastAsia="方正仿宋_GBK" w:cs="方正仿宋_GBK"/>
          <w:kern w:val="0"/>
          <w:sz w:val="32"/>
          <w:szCs w:val="32"/>
          <w:highlight w:val="none"/>
        </w:rPr>
        <w:t>自行承担。</w:t>
      </w:r>
    </w:p>
    <w:p w14:paraId="0889F011">
      <w:pPr>
        <w:pStyle w:val="4"/>
        <w:pageBreakBefore w:val="0"/>
        <w:kinsoku/>
        <w:wordWrap/>
        <w:topLinePunct w:val="0"/>
        <w:bidi w:val="0"/>
        <w:spacing w:beforeAutospacing="0" w:afterAutospacing="0" w:line="20" w:lineRule="atLeast"/>
        <w:ind w:left="0" w:leftChars="0" w:firstLine="0" w:firstLineChars="0"/>
        <w:rPr>
          <w:rFonts w:hint="eastAsia" w:ascii="方正仿宋_GBK" w:hAnsi="方正仿宋_GBK" w:eastAsia="方正仿宋_GBK" w:cs="方正仿宋_GBK"/>
          <w:kern w:val="0"/>
          <w:sz w:val="32"/>
          <w:szCs w:val="32"/>
          <w:highlight w:val="none"/>
          <w:lang w:val="en-US" w:eastAsia="zh-CN" w:bidi="ar-SA"/>
        </w:rPr>
      </w:pPr>
      <w:r>
        <w:rPr>
          <w:rFonts w:hint="eastAsia" w:ascii="方正楷体_GB2312" w:hAnsi="方正楷体_GB2312" w:eastAsia="方正楷体_GB2312" w:cs="方正楷体_GB2312"/>
          <w:kern w:val="2"/>
          <w:sz w:val="32"/>
          <w:szCs w:val="32"/>
          <w:highlight w:val="none"/>
          <w:lang w:val="en-US" w:eastAsia="zh-CN" w:bidi="ar-SA"/>
        </w:rPr>
        <w:t>（二）服务地点：</w:t>
      </w:r>
      <w:r>
        <w:rPr>
          <w:rFonts w:hint="eastAsia" w:ascii="方正仿宋_GBK" w:hAnsi="方正仿宋_GBK" w:eastAsia="方正仿宋_GBK" w:cs="方正仿宋_GBK"/>
          <w:kern w:val="0"/>
          <w:sz w:val="32"/>
          <w:szCs w:val="32"/>
          <w:highlight w:val="none"/>
          <w:lang w:val="en-US" w:eastAsia="zh-CN" w:bidi="ar-SA"/>
        </w:rPr>
        <w:t>重庆市红十字会医院（江北区人民医院）五里店院区。</w:t>
      </w:r>
    </w:p>
    <w:p w14:paraId="297DF8F2">
      <w:pPr>
        <w:pStyle w:val="4"/>
        <w:pageBreakBefore w:val="0"/>
        <w:kinsoku/>
        <w:wordWrap/>
        <w:topLinePunct w:val="0"/>
        <w:bidi w:val="0"/>
        <w:spacing w:beforeAutospacing="0" w:afterAutospacing="0" w:line="20" w:lineRule="atLeast"/>
        <w:ind w:left="0" w:leftChars="0" w:firstLine="0" w:firstLineChars="0"/>
        <w:rPr>
          <w:rFonts w:hint="eastAsia" w:ascii="方正楷体_GB2312" w:hAnsi="方正楷体_GB2312" w:eastAsia="方正楷体_GB2312" w:cs="方正楷体_GB2312"/>
          <w:kern w:val="2"/>
          <w:sz w:val="32"/>
          <w:szCs w:val="32"/>
          <w:highlight w:val="none"/>
          <w:lang w:val="en-US" w:eastAsia="zh-CN" w:bidi="ar-SA"/>
        </w:rPr>
      </w:pPr>
      <w:r>
        <w:rPr>
          <w:rFonts w:hint="eastAsia" w:ascii="方正楷体_GB2312" w:hAnsi="方正楷体_GB2312" w:eastAsia="方正楷体_GB2312" w:cs="方正楷体_GB2312"/>
          <w:kern w:val="2"/>
          <w:sz w:val="32"/>
          <w:szCs w:val="32"/>
          <w:highlight w:val="none"/>
          <w:lang w:val="en-US" w:eastAsia="zh-CN" w:bidi="ar-SA"/>
        </w:rPr>
        <w:t>（三）服务执行标准</w:t>
      </w:r>
    </w:p>
    <w:p w14:paraId="2D904810">
      <w:pPr>
        <w:pStyle w:val="4"/>
        <w:pageBreakBefore w:val="0"/>
        <w:kinsoku/>
        <w:wordWrap/>
        <w:topLinePunct w:val="0"/>
        <w:bidi w:val="0"/>
        <w:spacing w:beforeAutospacing="0" w:afterAutospacing="0" w:line="20" w:lineRule="atLeast"/>
        <w:ind w:left="0" w:leftChars="0" w:firstLine="640" w:firstLineChars="200"/>
        <w:rPr>
          <w:rFonts w:hint="eastAsia" w:ascii="方正仿宋_GBK" w:hAnsi="方正仿宋_GBK" w:eastAsia="方正仿宋_GBK" w:cs="方正仿宋_GBK"/>
          <w:kern w:val="0"/>
          <w:sz w:val="32"/>
          <w:szCs w:val="32"/>
          <w:highlight w:val="none"/>
          <w:lang w:val="en-US" w:eastAsia="zh-CN" w:bidi="ar-SA"/>
        </w:rPr>
      </w:pPr>
      <w:r>
        <w:rPr>
          <w:rFonts w:hint="eastAsia" w:ascii="方正仿宋_GBK" w:hAnsi="方正仿宋_GBK" w:eastAsia="方正仿宋_GBK" w:cs="方正仿宋_GBK"/>
          <w:kern w:val="0"/>
          <w:sz w:val="32"/>
          <w:szCs w:val="32"/>
          <w:highlight w:val="none"/>
          <w:lang w:val="en-US" w:eastAsia="zh-CN" w:bidi="ar-SA"/>
        </w:rPr>
        <w:t>成交供应商应确保每日供应的食物色鲜味美、营养搭配合理、品种丰富多样，并绝对保证食品卫生与安全。必须足量、正点提供一日三餐，确保菜品优质多样，严禁出售变质、变味或剩饭剩菜。供应商应严格执行采购人制定的《食堂食品安全每月检查表》《卫生清洁记录表》及食堂安全、食品留样、食品卫生等各项管理制度。对检查中发现的问题，采购人有权要求供应商限期整改，供应商须在收到通知后一周内完成。如出现食品卫生安全事件或对采购人指出的问题逾期未整改，采购人有权单方解除合同。</w:t>
      </w:r>
    </w:p>
    <w:p w14:paraId="2494B8A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kern w:val="2"/>
          <w:sz w:val="32"/>
          <w:szCs w:val="32"/>
          <w:highlight w:val="none"/>
          <w:lang w:val="en-US" w:eastAsia="zh-CN" w:bidi="ar-SA"/>
        </w:rPr>
      </w:pPr>
      <w:r>
        <w:rPr>
          <w:rFonts w:hint="eastAsia" w:ascii="方正楷体_GB2312" w:hAnsi="方正楷体_GB2312" w:eastAsia="方正楷体_GB2312" w:cs="方正楷体_GB2312"/>
          <w:kern w:val="2"/>
          <w:sz w:val="32"/>
          <w:szCs w:val="32"/>
          <w:highlight w:val="none"/>
          <w:lang w:val="en-US" w:eastAsia="zh-CN" w:bidi="ar-SA"/>
        </w:rPr>
        <w:t>（四）季度考核</w:t>
      </w:r>
    </w:p>
    <w:p w14:paraId="0F077C1A">
      <w:pPr>
        <w:pageBreakBefore w:val="0"/>
        <w:kinsoku/>
        <w:wordWrap/>
        <w:topLinePunct w:val="0"/>
        <w:bidi w:val="0"/>
        <w:spacing w:line="20" w:lineRule="atLeast"/>
        <w:rPr>
          <w:rFonts w:hint="eastAsia" w:ascii="方正仿宋_GBK" w:hAnsi="方正仿宋_GBK" w:eastAsia="方正仿宋_GBK" w:cs="方正仿宋_GBK"/>
          <w:kern w:val="0"/>
          <w:sz w:val="32"/>
          <w:szCs w:val="32"/>
          <w:highlight w:val="none"/>
          <w:lang w:val="en-US" w:eastAsia="zh-CN" w:bidi="ar-SA"/>
        </w:rPr>
      </w:pPr>
      <w:r>
        <w:rPr>
          <w:rFonts w:hint="eastAsia" w:ascii="方正仿宋_GBK" w:hAnsi="方正仿宋_GBK" w:eastAsia="方正仿宋_GBK" w:cs="方正仿宋_GBK"/>
          <w:kern w:val="0"/>
          <w:sz w:val="32"/>
          <w:szCs w:val="32"/>
          <w:highlight w:val="none"/>
          <w:lang w:val="en-US" w:eastAsia="zh-CN" w:bidi="ar-SA"/>
        </w:rPr>
        <w:t>1.考核方式：每季度进行一次全面考核，依据《季度考核评分表》（总分100分）进行现场检查与文档审查。</w:t>
      </w:r>
    </w:p>
    <w:p w14:paraId="5638050A">
      <w:pPr>
        <w:pageBreakBefore w:val="0"/>
        <w:kinsoku/>
        <w:wordWrap/>
        <w:topLinePunct w:val="0"/>
        <w:bidi w:val="0"/>
        <w:spacing w:line="20" w:lineRule="atLeast"/>
        <w:rPr>
          <w:rFonts w:hint="eastAsia" w:ascii="方正仿宋_GBK" w:hAnsi="方正仿宋_GBK" w:eastAsia="方正仿宋_GBK" w:cs="方正仿宋_GBK"/>
          <w:kern w:val="0"/>
          <w:sz w:val="32"/>
          <w:szCs w:val="32"/>
          <w:highlight w:val="none"/>
          <w:lang w:val="en-US" w:eastAsia="zh-CN" w:bidi="ar-SA"/>
        </w:rPr>
      </w:pPr>
      <w:r>
        <w:rPr>
          <w:rFonts w:hint="eastAsia" w:ascii="方正仿宋_GBK" w:hAnsi="方正仿宋_GBK" w:eastAsia="方正仿宋_GBK" w:cs="方正仿宋_GBK"/>
          <w:kern w:val="0"/>
          <w:sz w:val="32"/>
          <w:szCs w:val="32"/>
          <w:highlight w:val="none"/>
          <w:lang w:val="en-US" w:eastAsia="zh-CN" w:bidi="ar-SA"/>
        </w:rPr>
        <w:t>2.核心维度：</w:t>
      </w:r>
    </w:p>
    <w:tbl>
      <w:tblPr>
        <w:tblStyle w:val="8"/>
        <w:tblW w:w="500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67"/>
        <w:gridCol w:w="1336"/>
        <w:gridCol w:w="1013"/>
        <w:gridCol w:w="3849"/>
        <w:gridCol w:w="1389"/>
      </w:tblGrid>
      <w:tr w14:paraId="75532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53" w:hRule="atLeast"/>
          <w:jc w:val="center"/>
        </w:trPr>
        <w:tc>
          <w:tcPr>
            <w:tcW w:w="5000" w:type="pct"/>
            <w:gridSpan w:val="5"/>
            <w:tcBorders>
              <w:top w:val="single" w:color="000000" w:sz="4" w:space="0"/>
              <w:left w:val="single" w:color="000000" w:sz="4" w:space="0"/>
              <w:right w:val="single" w:color="000000" w:sz="4" w:space="0"/>
            </w:tcBorders>
            <w:shd w:val="clear" w:color="auto" w:fill="FFFFFF"/>
            <w:tcMar>
              <w:top w:w="150" w:type="dxa"/>
              <w:left w:w="0" w:type="dxa"/>
              <w:bottom w:w="150" w:type="dxa"/>
              <w:right w:w="240" w:type="dxa"/>
            </w:tcMar>
            <w:vAlign w:val="center"/>
          </w:tcPr>
          <w:p w14:paraId="0795CEA9">
            <w:pPr>
              <w:bidi w:val="0"/>
              <w:jc w:val="center"/>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食堂服务考核表</w:t>
            </w:r>
          </w:p>
        </w:tc>
      </w:tr>
      <w:tr w14:paraId="104BC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000" w:type="pct"/>
            <w:gridSpan w:val="5"/>
            <w:tcBorders>
              <w:top w:val="single" w:color="000000" w:sz="4" w:space="0"/>
              <w:left w:val="single" w:color="000000" w:sz="4" w:space="0"/>
              <w:right w:val="single" w:color="000000" w:sz="4" w:space="0"/>
            </w:tcBorders>
            <w:shd w:val="clear" w:color="auto" w:fill="FFFFFF"/>
            <w:tcMar>
              <w:top w:w="150" w:type="dxa"/>
              <w:left w:w="0" w:type="dxa"/>
              <w:bottom w:w="150" w:type="dxa"/>
              <w:right w:w="240" w:type="dxa"/>
            </w:tcMar>
            <w:vAlign w:val="center"/>
          </w:tcPr>
          <w:p w14:paraId="28A8F1A3">
            <w:pPr>
              <w:bidi w:val="0"/>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考核分值总览：考核总分：100 分；合格分值：90 分</w:t>
            </w:r>
          </w:p>
        </w:tc>
      </w:tr>
      <w:tr w14:paraId="66475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restart"/>
            <w:tcBorders>
              <w:top w:val="single" w:color="000000" w:sz="4" w:space="0"/>
              <w:left w:val="single" w:color="000000" w:sz="4" w:space="0"/>
              <w:right w:val="single" w:color="000000" w:sz="4" w:space="0"/>
            </w:tcBorders>
            <w:shd w:val="clear" w:color="auto" w:fill="FFFFFF"/>
            <w:tcMar>
              <w:top w:w="150" w:type="dxa"/>
              <w:left w:w="0" w:type="dxa"/>
              <w:bottom w:w="150" w:type="dxa"/>
              <w:right w:w="240" w:type="dxa"/>
            </w:tcMar>
            <w:vAlign w:val="center"/>
          </w:tcPr>
          <w:p w14:paraId="0D846B15">
            <w:pPr>
              <w:bidi w:val="0"/>
              <w:rPr>
                <w:rFonts w:hint="eastAsia" w:ascii="方正仿宋_GBK" w:hAnsi="方正仿宋_GBK" w:eastAsia="方正仿宋_GBK" w:cs="方正仿宋_GBK"/>
                <w:sz w:val="21"/>
                <w:szCs w:val="21"/>
                <w:highlight w:val="none"/>
                <w:lang w:val="en-US"/>
              </w:rPr>
            </w:pPr>
            <w:r>
              <w:rPr>
                <w:rFonts w:hint="eastAsia" w:ascii="方正仿宋_GBK" w:hAnsi="方正仿宋_GBK" w:eastAsia="方正仿宋_GBK" w:cs="方正仿宋_GBK"/>
                <w:sz w:val="21"/>
                <w:szCs w:val="21"/>
                <w:highlight w:val="none"/>
                <w:lang w:val="en-US" w:eastAsia="zh-CN"/>
              </w:rPr>
              <w:t>一、食品安全（40分）</w:t>
            </w: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2937BA8E">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食品留样管理</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32F5C5C">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10分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17CFE362">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每餐按规定留样（≥125g，≥48h），专柜双锁管理，记录完整、可追溯。</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28438B23">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扣10分/次</w:t>
            </w:r>
          </w:p>
        </w:tc>
      </w:tr>
      <w:tr w14:paraId="02838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3472CC01">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FC03AF7">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过程控制与供餐质量</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1444A450">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20分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D493F4C">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从食材出库至就餐全过程须严格执行规章；保证食品质量、温度、花色品种，无变质变味、无异物；按时开餐、足量补餐。</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49AEBCAA">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扣20分/次</w:t>
            </w:r>
          </w:p>
        </w:tc>
      </w:tr>
      <w:tr w14:paraId="3F17F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continue"/>
            <w:tcBorders>
              <w:left w:val="single" w:color="000000" w:sz="4" w:space="0"/>
              <w:bottom w:val="single" w:color="000000" w:sz="4" w:space="0"/>
              <w:right w:val="single" w:color="000000" w:sz="4" w:space="0"/>
            </w:tcBorders>
            <w:shd w:val="clear" w:color="auto" w:fill="FFFFFF"/>
            <w:tcMar>
              <w:top w:w="150" w:type="dxa"/>
              <w:left w:w="0" w:type="dxa"/>
              <w:bottom w:w="150" w:type="dxa"/>
              <w:right w:w="240" w:type="dxa"/>
            </w:tcMar>
            <w:vAlign w:val="center"/>
          </w:tcPr>
          <w:p w14:paraId="765ECD1C">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1561D7E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制度落实</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7635A2E6">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10分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19D3D3A0">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严格落实“日管控、周排查、月调度”食安管理制度，记录完整。</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44AD7D1D">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扣10分/次</w:t>
            </w:r>
          </w:p>
        </w:tc>
      </w:tr>
      <w:tr w14:paraId="6D4C9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restart"/>
            <w:tcBorders>
              <w:top w:val="single" w:color="000000" w:sz="4" w:space="0"/>
              <w:left w:val="single" w:color="000000" w:sz="4" w:space="0"/>
              <w:right w:val="single" w:color="000000" w:sz="4" w:space="0"/>
            </w:tcBorders>
            <w:shd w:val="clear" w:color="auto" w:fill="FFFFFF"/>
            <w:tcMar>
              <w:top w:w="150" w:type="dxa"/>
              <w:left w:w="0" w:type="dxa"/>
              <w:bottom w:w="150" w:type="dxa"/>
              <w:right w:w="240" w:type="dxa"/>
            </w:tcMar>
            <w:vAlign w:val="center"/>
          </w:tcPr>
          <w:p w14:paraId="47862F10">
            <w:pPr>
              <w:bidi w:val="0"/>
              <w:rPr>
                <w:rFonts w:hint="eastAsia" w:ascii="方正仿宋_GBK" w:hAnsi="方正仿宋_GBK" w:eastAsia="方正仿宋_GBK" w:cs="方正仿宋_GBK"/>
                <w:sz w:val="21"/>
                <w:szCs w:val="21"/>
                <w:highlight w:val="none"/>
                <w:lang w:val="en-US"/>
              </w:rPr>
            </w:pPr>
            <w:r>
              <w:rPr>
                <w:rFonts w:hint="eastAsia" w:ascii="方正仿宋_GBK" w:hAnsi="方正仿宋_GBK" w:eastAsia="方正仿宋_GBK" w:cs="方正仿宋_GBK"/>
                <w:sz w:val="21"/>
                <w:szCs w:val="21"/>
                <w:highlight w:val="none"/>
                <w:lang w:val="en-US" w:eastAsia="zh-CN"/>
              </w:rPr>
              <w:t>二、安全与资质(20分）</w:t>
            </w: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7691EA8">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人员资质与备案</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5A646A44">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10分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C2BF6A6">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所有员工信息、健康证、资质证明均需备案；严禁使用无证或未备案人员；按合同配足人员，人员变动需提前书面申请。</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2F60DFFA">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扣10分/人/次</w:t>
            </w:r>
          </w:p>
        </w:tc>
      </w:tr>
      <w:tr w14:paraId="2AFCB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continue"/>
            <w:tcBorders>
              <w:left w:val="single" w:color="000000" w:sz="4" w:space="0"/>
              <w:bottom w:val="single" w:color="000000" w:sz="4" w:space="0"/>
              <w:right w:val="single" w:color="000000" w:sz="4" w:space="0"/>
            </w:tcBorders>
            <w:shd w:val="clear" w:color="auto" w:fill="FFFFFF"/>
            <w:tcMar>
              <w:top w:w="150" w:type="dxa"/>
              <w:left w:w="0" w:type="dxa"/>
              <w:bottom w:w="150" w:type="dxa"/>
              <w:right w:w="240" w:type="dxa"/>
            </w:tcMar>
            <w:vAlign w:val="center"/>
          </w:tcPr>
          <w:p w14:paraId="16CCE1A1">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CAA384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应急保障与上级检查</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012C3B20">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10分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4C394ACD">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发生应急供餐中断；上级检查出现重大违规；对巡查发现的安全隐患未在规定时限内整改。</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42320B89">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扣10分/次</w:t>
            </w:r>
          </w:p>
        </w:tc>
      </w:tr>
      <w:tr w14:paraId="1013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restart"/>
            <w:tcBorders>
              <w:top w:val="single" w:color="000000" w:sz="4" w:space="0"/>
              <w:left w:val="single" w:color="000000" w:sz="4" w:space="0"/>
              <w:right w:val="single" w:color="000000" w:sz="4" w:space="0"/>
            </w:tcBorders>
            <w:shd w:val="clear" w:color="auto" w:fill="FFFFFF"/>
            <w:tcMar>
              <w:top w:w="150" w:type="dxa"/>
              <w:left w:w="0" w:type="dxa"/>
              <w:bottom w:w="150" w:type="dxa"/>
              <w:right w:w="240" w:type="dxa"/>
            </w:tcMar>
            <w:vAlign w:val="center"/>
          </w:tcPr>
          <w:p w14:paraId="222F71C7">
            <w:pPr>
              <w:bidi w:val="0"/>
              <w:rPr>
                <w:rFonts w:hint="eastAsia" w:ascii="方正仿宋_GBK" w:hAnsi="方正仿宋_GBK" w:eastAsia="方正仿宋_GBK" w:cs="方正仿宋_GBK"/>
                <w:sz w:val="21"/>
                <w:szCs w:val="21"/>
                <w:highlight w:val="none"/>
                <w:lang w:val="en-US"/>
              </w:rPr>
            </w:pPr>
            <w:r>
              <w:rPr>
                <w:rFonts w:hint="eastAsia" w:ascii="方正仿宋_GBK" w:hAnsi="方正仿宋_GBK" w:eastAsia="方正仿宋_GBK" w:cs="方正仿宋_GBK"/>
                <w:sz w:val="21"/>
                <w:szCs w:val="21"/>
                <w:highlight w:val="none"/>
                <w:lang w:val="en-US" w:eastAsia="zh-CN"/>
              </w:rPr>
              <w:t>三、运营规范（40分）</w:t>
            </w: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DF0A470">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餐厨具消毒</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7006B355">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5分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086501FB">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未严格执行“一洗二清三消毒四隔离”流程；餐具容器清洁消毒未按规定操作，记录缺失。</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1E294F68">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扣5分/次</w:t>
            </w:r>
          </w:p>
        </w:tc>
      </w:tr>
      <w:tr w14:paraId="787DC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054E57E0">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A178D9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环境卫生</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72F81C36">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5分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CB0E4DD">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操作间、仓库、就餐区等区域存在脏乱、交叉污染或安全隐患；未落实“门前三包”；废弃物未及时清理。</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1256276F">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扣5分/次</w:t>
            </w:r>
          </w:p>
        </w:tc>
      </w:tr>
      <w:tr w14:paraId="53F9B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5A736132">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53B1AD1D">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个人卫生与仪表</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0834A1F6">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2分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1CD5170">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员工指甲、胡须、头发过长；工作服、口罩、帽子未穿戴整齐；手部清洁不合格。</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426CA34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扣2分/次</w:t>
            </w:r>
          </w:p>
        </w:tc>
      </w:tr>
      <w:tr w14:paraId="3A976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225930C3">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2C45E6F8">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服务行为规范</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AFAD8D7">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5分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5B0F3C1B">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未统一着装或着装不洁；服务态度差，发生有效投诉或争吵、辱骂等行为。</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393043FC">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扣5分/次</w:t>
            </w:r>
          </w:p>
        </w:tc>
      </w:tr>
      <w:tr w14:paraId="21EBC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7217EDC8">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102A866A">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记录与溯源</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16939E15">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3分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246FB6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计划、仓储、消毒、晨检、消防、食材验收等操作记录不规范或缺失，影响溯源。</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32AC16F8">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扣3分/项</w:t>
            </w:r>
          </w:p>
        </w:tc>
      </w:tr>
      <w:tr w14:paraId="1A295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3147E014">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04DB5FF3">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配合与整改</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5EA0B1F">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10分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7FE6B8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未积极配合医院管理或应急工作；对整改要求未按时完成或反馈。</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0D06FFCD">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扣10分/次</w:t>
            </w:r>
          </w:p>
        </w:tc>
      </w:tr>
      <w:tr w14:paraId="4F722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65" w:type="pct"/>
            <w:vMerge w:val="continue"/>
            <w:tcBorders>
              <w:left w:val="single" w:color="000000" w:sz="4" w:space="0"/>
              <w:right w:val="single" w:color="000000" w:sz="4" w:space="0"/>
            </w:tcBorders>
            <w:shd w:val="clear" w:color="auto" w:fill="FFFFFF"/>
            <w:tcMar>
              <w:top w:w="150" w:type="dxa"/>
              <w:left w:w="0" w:type="dxa"/>
              <w:bottom w:w="150" w:type="dxa"/>
              <w:right w:w="240" w:type="dxa"/>
            </w:tcMar>
            <w:vAlign w:val="center"/>
          </w:tcPr>
          <w:p w14:paraId="4CE00C9E">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3D0908A7">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设施与安全</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295F3D6D">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5分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620DE8A">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未落实设施设备、消防器材安全巡检制度；发现安全隐患；离岗未关设备、锁门窗。</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77F28FF2">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扣5分/次</w:t>
            </w:r>
          </w:p>
        </w:tc>
      </w:tr>
      <w:tr w14:paraId="752E4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jc w:val="center"/>
        </w:trPr>
        <w:tc>
          <w:tcPr>
            <w:tcW w:w="565" w:type="pct"/>
            <w:vMerge w:val="continue"/>
            <w:tcBorders>
              <w:left w:val="single" w:color="000000" w:sz="4" w:space="0"/>
              <w:bottom w:val="single" w:color="000000" w:sz="4" w:space="0"/>
              <w:right w:val="single" w:color="000000" w:sz="4" w:space="0"/>
            </w:tcBorders>
            <w:shd w:val="clear" w:color="auto" w:fill="FFFFFF"/>
            <w:tcMar>
              <w:top w:w="150" w:type="dxa"/>
              <w:left w:w="0" w:type="dxa"/>
              <w:bottom w:w="150" w:type="dxa"/>
              <w:right w:w="240" w:type="dxa"/>
            </w:tcMar>
            <w:vAlign w:val="center"/>
          </w:tcPr>
          <w:p w14:paraId="5E57C8DB">
            <w:pPr>
              <w:bidi w:val="0"/>
              <w:rPr>
                <w:rFonts w:hint="eastAsia" w:ascii="方正仿宋_GBK" w:hAnsi="方正仿宋_GBK" w:eastAsia="方正仿宋_GBK" w:cs="方正仿宋_GBK"/>
                <w:sz w:val="21"/>
                <w:szCs w:val="21"/>
                <w:highlight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6483E3F1">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日常管理</w:t>
            </w:r>
          </w:p>
        </w:tc>
        <w:tc>
          <w:tcPr>
            <w:tcW w:w="592"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7D856EF3">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5分</w:t>
            </w:r>
          </w:p>
        </w:tc>
        <w:tc>
          <w:tcPr>
            <w:tcW w:w="2250"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240" w:type="dxa"/>
            </w:tcMar>
            <w:vAlign w:val="center"/>
          </w:tcPr>
          <w:p w14:paraId="5AF3DFDE">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浪费水、电、气等能源；食材浪费超标（同类食材丢弃量＞1000克/餐）。</w:t>
            </w:r>
          </w:p>
        </w:tc>
        <w:tc>
          <w:tcPr>
            <w:tcW w:w="809" w:type="pct"/>
            <w:tcBorders>
              <w:top w:val="single" w:color="000000" w:sz="4" w:space="0"/>
              <w:left w:val="single" w:color="000000" w:sz="4" w:space="0"/>
              <w:bottom w:val="single" w:color="000000" w:sz="4" w:space="0"/>
              <w:right w:val="single" w:color="000000" w:sz="4" w:space="0"/>
            </w:tcBorders>
            <w:shd w:val="clear" w:color="auto" w:fill="FFFFFF"/>
            <w:tcMar>
              <w:top w:w="150" w:type="dxa"/>
              <w:left w:w="240" w:type="dxa"/>
              <w:bottom w:w="150" w:type="dxa"/>
              <w:right w:w="0" w:type="dxa"/>
            </w:tcMar>
            <w:vAlign w:val="center"/>
          </w:tcPr>
          <w:p w14:paraId="27612969">
            <w:pPr>
              <w:bidi w:val="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en-US" w:eastAsia="zh-CN"/>
              </w:rPr>
              <w:t>扣5分/次</w:t>
            </w:r>
          </w:p>
        </w:tc>
      </w:tr>
    </w:tbl>
    <w:p w14:paraId="687AD913">
      <w:pPr>
        <w:pageBreakBefore w:val="0"/>
        <w:kinsoku/>
        <w:wordWrap/>
        <w:topLinePunct w:val="0"/>
        <w:bidi w:val="0"/>
        <w:spacing w:line="20" w:lineRule="atLeast"/>
        <w:rPr>
          <w:rFonts w:hint="eastAsia" w:ascii="方正仿宋_GBK" w:hAnsi="方正仿宋_GBK" w:eastAsia="方正仿宋_GBK" w:cs="方正仿宋_GBK"/>
          <w:kern w:val="0"/>
          <w:sz w:val="32"/>
          <w:szCs w:val="32"/>
          <w:highlight w:val="none"/>
          <w:lang w:val="en-US" w:eastAsia="zh-CN" w:bidi="ar-SA"/>
        </w:rPr>
      </w:pPr>
      <w:r>
        <w:rPr>
          <w:rFonts w:hint="eastAsia" w:ascii="方正仿宋_GBK" w:hAnsi="方正仿宋_GBK" w:eastAsia="方正仿宋_GBK" w:cs="方正仿宋_GBK"/>
          <w:kern w:val="0"/>
          <w:sz w:val="32"/>
          <w:szCs w:val="32"/>
          <w:highlight w:val="none"/>
          <w:lang w:val="en-US" w:eastAsia="zh-CN" w:bidi="ar-SA"/>
        </w:rPr>
        <w:t>3.满意度调查：每季度独立开展一次满意度问卷调查，作为考核组成部分。回收率须≥70%方为有效，综合满意度基准为85%。</w:t>
      </w:r>
    </w:p>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10"/>
        <w:gridCol w:w="1316"/>
        <w:gridCol w:w="1316"/>
        <w:gridCol w:w="1316"/>
        <w:gridCol w:w="1316"/>
        <w:gridCol w:w="1348"/>
      </w:tblGrid>
      <w:tr w14:paraId="14C17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930F5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就餐满意度调查表</w:t>
            </w:r>
          </w:p>
        </w:tc>
      </w:tr>
      <w:tr w14:paraId="7CEDB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B7524A5">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​​尊敬的老师/同事/病友：​​</w:t>
            </w:r>
          </w:p>
        </w:tc>
      </w:tr>
      <w:tr w14:paraId="4FB2E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257D107">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3AC52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D8FE52C">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您好！为持续提升餐饮服务质量，恳请您花费几分钟时间填写本问卷。您的每一个评价和建议都将为我们改进工作提供重要方向。本问卷实行匿名填写，请根据您的真实感受作答。</w:t>
            </w:r>
          </w:p>
        </w:tc>
      </w:tr>
      <w:tr w14:paraId="0A7B6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148EC0">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1D34B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D16400">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​​填写日期：​​____年____月____日</w:t>
            </w:r>
          </w:p>
        </w:tc>
      </w:tr>
      <w:tr w14:paraId="763E8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991E55">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​​就餐餐别：​​ □早餐 □午餐 □晚餐</w:t>
            </w:r>
          </w:p>
        </w:tc>
      </w:tr>
      <w:tr w14:paraId="7D841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3335435">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0932B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F53618">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一、满意度评分（请在相应分值下打“√”）</w:t>
            </w:r>
          </w:p>
        </w:tc>
      </w:tr>
      <w:tr w14:paraId="5E30A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19841">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A057">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EBA57">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C31F5">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BB8E0">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132B99">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046BD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B3E59">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评价维度</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4B17E">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非常满意 (10分)</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9C6D0">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比较满意 (8分)</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CB85E">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一般 (6分)</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C54B8">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不满意 (4分)</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5ED4F">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非常不满意 (2分)</w:t>
            </w:r>
          </w:p>
        </w:tc>
      </w:tr>
      <w:tr w14:paraId="016BE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3E591">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1. 饭菜口味​​</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867DD">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0CCE5">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F96E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947E2">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E7CEE">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13367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A4FA9">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2. 饭菜新鲜度​​</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4F151">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87DC0">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596D1">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8FF96">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3DBEF">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4F261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92875">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3. 营养搭配​​</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E0C1E">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F1B60">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B6BB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BBFE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354E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0252E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BF380">
            <w:pPr>
              <w:keepNext w:val="0"/>
              <w:keepLines w:val="0"/>
              <w:pageBreakBefore w:val="0"/>
              <w:widowControl/>
              <w:suppressLineNumbers w:val="0"/>
              <w:kinsoku/>
              <w:wordWrap/>
              <w:topLinePunct w:val="0"/>
              <w:bidi w:val="0"/>
              <w:spacing w:beforeAutospacing="0" w:afterAutospacing="0" w:line="20" w:lineRule="atLeast"/>
              <w:jc w:val="both"/>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4. 菜品多样化​​</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2B5FC">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34282">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82591">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66B7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BFFD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6F969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2FC5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5. 饭菜温度​​</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03B81">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0AB4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7BFFA">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4093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E8396">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6CD8E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364B1">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6. 服务人员态度​​</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1BDD3">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BE329">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4B8E6">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12CCA">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F2913">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7E040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370D5">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7. 打餐效率与秩序​​</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133D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16EBA">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4E78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76188">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7B1DA">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17990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3"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BF57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pPr>
            <w:r>
              <w:rPr>
                <w:rFonts w:ascii="Segoe UI" w:hAnsi="Segoe UI" w:eastAsia="Segoe UI" w:cs="Segoe UI"/>
                <w:b w:val="0"/>
                <w:bCs w:val="0"/>
                <w:i w:val="0"/>
                <w:iCs w:val="0"/>
                <w:caps w:val="0"/>
                <w:color w:val="0F1115"/>
                <w:spacing w:val="0"/>
                <w:sz w:val="22"/>
                <w:szCs w:val="22"/>
                <w:highlight w:val="none"/>
                <w:shd w:val="clear" w:fill="FFFFFF"/>
              </w:rPr>
              <w:t> </w:t>
            </w:r>
            <w:r>
              <w:rPr>
                <w:rFonts w:hint="default" w:asciiTheme="minorEastAsia" w:hAnsiTheme="minorEastAsia" w:eastAsiaTheme="minorEastAsia" w:cstheme="minorEastAsia"/>
                <w:b w:val="0"/>
                <w:bCs w:val="0"/>
                <w:i w:val="0"/>
                <w:iCs w:val="0"/>
                <w:color w:val="auto"/>
                <w:kern w:val="0"/>
                <w:sz w:val="24"/>
                <w:szCs w:val="24"/>
                <w:highlight w:val="none"/>
                <w:u w:val="none"/>
                <w:lang w:val="en-US" w:eastAsia="zh-CN" w:bidi="ar"/>
              </w:rPr>
              <w:t>8.服务响应速度</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5B09C">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84C19">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FC189">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9EF6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0FA0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7623B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3"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2203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9. 就餐环境卫生​​</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A6C80">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947B6">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2433F">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11F8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16075">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78534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11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8BDCC">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10. 餐具清洁卫生</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070F6">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1C272">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4DEDE">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DDB3F">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c>
          <w:tcPr>
            <w:tcW w:w="7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A3D8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kern w:val="2"/>
                <w:sz w:val="24"/>
                <w:szCs w:val="24"/>
                <w:highlight w:val="none"/>
                <w:u w:val="none"/>
                <w:lang w:val="en-US" w:eastAsia="zh-CN" w:bidi="ar-SA"/>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tc>
      </w:tr>
      <w:tr w14:paraId="66D37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A0441F">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二、单项选择（请根据情况勾选）</w:t>
            </w:r>
          </w:p>
        </w:tc>
      </w:tr>
      <w:tr w14:paraId="367E9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7C9831">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2C33E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3323E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​​1. 您认为近期饭菜质量如何？​</w:t>
            </w:r>
            <w:r>
              <w:rPr>
                <w:rStyle w:val="12"/>
                <w:rFonts w:hint="eastAsia" w:asciiTheme="minorEastAsia" w:hAnsiTheme="minorEastAsia" w:eastAsiaTheme="minorEastAsia" w:cstheme="minorEastAsia"/>
                <w:b w:val="0"/>
                <w:bCs w:val="0"/>
                <w:color w:val="auto"/>
                <w:sz w:val="24"/>
                <w:szCs w:val="24"/>
                <w:highlight w:val="none"/>
                <w:lang w:val="en-US" w:eastAsia="zh-CN" w:bidi="ar"/>
              </w:rPr>
              <w:t>​</w:t>
            </w:r>
          </w:p>
        </w:tc>
      </w:tr>
      <w:tr w14:paraId="50FFE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82A687">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 有很大提升 □ 略有提升 □ 和以前一样 □ 略有下降 □ 明显下降</w:t>
            </w:r>
          </w:p>
        </w:tc>
      </w:tr>
      <w:tr w14:paraId="47AED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1F0EA2">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6CAC4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69187F">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​​2. 您近期就餐时是否遇到以下问题？（可多选）​</w:t>
            </w:r>
            <w:r>
              <w:rPr>
                <w:rStyle w:val="12"/>
                <w:rFonts w:hint="eastAsia" w:asciiTheme="minorEastAsia" w:hAnsiTheme="minorEastAsia" w:eastAsiaTheme="minorEastAsia" w:cstheme="minorEastAsia"/>
                <w:b w:val="0"/>
                <w:bCs w:val="0"/>
                <w:color w:val="auto"/>
                <w:sz w:val="24"/>
                <w:szCs w:val="24"/>
                <w:highlight w:val="none"/>
                <w:lang w:val="en-US" w:eastAsia="zh-CN" w:bidi="ar"/>
              </w:rPr>
              <w:t>​</w:t>
            </w:r>
          </w:p>
        </w:tc>
      </w:tr>
      <w:tr w14:paraId="0704D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5D56A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 菜品有异物 □ 饭菜口味过咸/过淡 □ 饭菜量不足 □ 菜品售罄过快</w:t>
            </w:r>
          </w:p>
        </w:tc>
      </w:tr>
      <w:tr w14:paraId="4D9D3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027F98">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 工作人员服务态度差 □ 餐具不洁净 □ 就餐环境脏乱 □ 未遇到任何问题</w:t>
            </w:r>
          </w:p>
        </w:tc>
      </w:tr>
      <w:tr w14:paraId="03A7D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0319496">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7CB73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F21A86D">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1E6CF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D7A9074">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12EC4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19BF31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三、开放性问题（请您畅所欲言）</w:t>
            </w:r>
          </w:p>
        </w:tc>
      </w:tr>
      <w:tr w14:paraId="31251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0A12C9">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1FD60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3B76E6C">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​​您认为我们近期做得最好的一道菜或最值得肯定的方面是什么？​</w:t>
            </w:r>
            <w:r>
              <w:rPr>
                <w:rStyle w:val="12"/>
                <w:rFonts w:hint="eastAsia" w:asciiTheme="minorEastAsia" w:hAnsiTheme="minorEastAsia" w:eastAsiaTheme="minorEastAsia" w:cstheme="minorEastAsia"/>
                <w:b w:val="0"/>
                <w:bCs w:val="0"/>
                <w:color w:val="auto"/>
                <w:sz w:val="24"/>
                <w:szCs w:val="24"/>
                <w:highlight w:val="none"/>
                <w:lang w:val="en-US" w:eastAsia="zh-CN" w:bidi="ar"/>
              </w:rPr>
              <w:t>​</w:t>
            </w:r>
          </w:p>
        </w:tc>
      </w:tr>
      <w:tr w14:paraId="16419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7B27DB">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3CCB1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6AF4DB">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​​您最希望增加或改进的菜品、服务或设施是什么？​</w:t>
            </w:r>
            <w:r>
              <w:rPr>
                <w:rStyle w:val="12"/>
                <w:rFonts w:hint="eastAsia" w:asciiTheme="minorEastAsia" w:hAnsiTheme="minorEastAsia" w:eastAsiaTheme="minorEastAsia" w:cstheme="minorEastAsia"/>
                <w:b w:val="0"/>
                <w:bCs w:val="0"/>
                <w:color w:val="auto"/>
                <w:sz w:val="24"/>
                <w:szCs w:val="24"/>
                <w:highlight w:val="none"/>
                <w:lang w:val="en-US" w:eastAsia="zh-CN" w:bidi="ar"/>
              </w:rPr>
              <w:t>​</w:t>
            </w:r>
          </w:p>
        </w:tc>
      </w:tr>
      <w:tr w14:paraId="5CD03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396958">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51A9C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27FFE23">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​​其他意见或建议：​</w:t>
            </w:r>
            <w:r>
              <w:rPr>
                <w:rStyle w:val="12"/>
                <w:rFonts w:hint="eastAsia" w:asciiTheme="minorEastAsia" w:hAnsiTheme="minorEastAsia" w:eastAsiaTheme="minorEastAsia" w:cstheme="minorEastAsia"/>
                <w:b w:val="0"/>
                <w:bCs w:val="0"/>
                <w:color w:val="auto"/>
                <w:sz w:val="24"/>
                <w:szCs w:val="24"/>
                <w:highlight w:val="none"/>
                <w:lang w:val="en-US" w:eastAsia="zh-CN" w:bidi="ar"/>
              </w:rPr>
              <w:t>​</w:t>
            </w:r>
          </w:p>
        </w:tc>
      </w:tr>
      <w:tr w14:paraId="639E0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934D96">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7817D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0749EE">
            <w:pPr>
              <w:pageBreakBefore w:val="0"/>
              <w:kinsoku/>
              <w:wordWrap/>
              <w:topLinePunct w:val="0"/>
              <w:bidi w:val="0"/>
              <w:spacing w:beforeAutospacing="0" w:afterAutospacing="0" w:line="20" w:lineRule="atLeast"/>
              <w:jc w:val="center"/>
              <w:rPr>
                <w:rFonts w:hint="eastAsia" w:asciiTheme="minorEastAsia" w:hAnsiTheme="minorEastAsia" w:eastAsiaTheme="minorEastAsia" w:cstheme="minorEastAsia"/>
                <w:b w:val="0"/>
                <w:bCs w:val="0"/>
                <w:i w:val="0"/>
                <w:iCs w:val="0"/>
                <w:color w:val="auto"/>
                <w:sz w:val="24"/>
                <w:szCs w:val="24"/>
                <w:highlight w:val="none"/>
                <w:u w:val="none"/>
              </w:rPr>
            </w:pPr>
          </w:p>
        </w:tc>
      </w:tr>
      <w:tr w14:paraId="2CFFC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348284">
            <w:pPr>
              <w:keepNext w:val="0"/>
              <w:keepLines w:val="0"/>
              <w:pageBreakBefore w:val="0"/>
              <w:widowControl/>
              <w:suppressLineNumbers w:val="0"/>
              <w:kinsoku/>
              <w:wordWrap/>
              <w:topLinePunct w:val="0"/>
              <w:bidi w:val="0"/>
              <w:spacing w:beforeAutospacing="0" w:afterAutospacing="0" w:line="20" w:lineRule="atLeast"/>
              <w:jc w:val="center"/>
              <w:textAlignment w:val="center"/>
              <w:rPr>
                <w:rFonts w:hint="eastAsia" w:asciiTheme="minorEastAsia" w:hAnsiTheme="minorEastAsia" w:eastAsiaTheme="minorEastAsia" w:cstheme="minorEastAsia"/>
                <w:b w:val="0"/>
                <w:bCs w:val="0"/>
                <w:i w:val="0"/>
                <w:iCs w:val="0"/>
                <w:color w:val="auto"/>
                <w:sz w:val="24"/>
                <w:szCs w:val="24"/>
                <w:highlight w:val="none"/>
                <w:u w:val="none"/>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​​调查结束，再次感谢您的支持与配合！​</w:t>
            </w:r>
            <w:r>
              <w:rPr>
                <w:rStyle w:val="12"/>
                <w:rFonts w:hint="eastAsia" w:asciiTheme="minorEastAsia" w:hAnsiTheme="minorEastAsia" w:eastAsiaTheme="minorEastAsia" w:cstheme="minorEastAsia"/>
                <w:b w:val="0"/>
                <w:bCs w:val="0"/>
                <w:color w:val="auto"/>
                <w:sz w:val="24"/>
                <w:szCs w:val="24"/>
                <w:highlight w:val="none"/>
                <w:lang w:val="en-US" w:eastAsia="zh-CN" w:bidi="ar"/>
              </w:rPr>
              <w:t>​</w:t>
            </w:r>
          </w:p>
        </w:tc>
      </w:tr>
    </w:tbl>
    <w:p w14:paraId="78749C8F">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4.</w:t>
      </w:r>
      <w:r>
        <w:rPr>
          <w:rFonts w:hint="eastAsia" w:ascii="方正仿宋_GBK" w:hAnsi="方正仿宋_GBK" w:eastAsia="方正仿宋_GBK" w:cs="方正仿宋_GBK"/>
          <w:sz w:val="32"/>
          <w:szCs w:val="32"/>
          <w:highlight w:val="none"/>
        </w:rPr>
        <w:t>季度考核总分计算</w:t>
      </w:r>
    </w:p>
    <w:p w14:paraId="7E4F683F">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 xml:space="preserve">季度考核总分 = </w:t>
      </w:r>
      <w:r>
        <w:rPr>
          <w:rFonts w:hint="eastAsia" w:ascii="方正仿宋_GBK" w:hAnsi="方正仿宋_GBK" w:eastAsia="方正仿宋_GBK" w:cs="方正仿宋_GBK"/>
          <w:sz w:val="32"/>
          <w:szCs w:val="32"/>
          <w:highlight w:val="none"/>
          <w:lang w:val="en-US" w:eastAsia="zh-CN"/>
        </w:rPr>
        <w:t>季度</w:t>
      </w:r>
      <w:r>
        <w:rPr>
          <w:rFonts w:hint="eastAsia" w:ascii="方正仿宋_GBK" w:hAnsi="方正仿宋_GBK" w:eastAsia="方正仿宋_GBK" w:cs="方正仿宋_GBK"/>
          <w:sz w:val="32"/>
          <w:szCs w:val="32"/>
          <w:highlight w:val="none"/>
        </w:rPr>
        <w:t>考核</w:t>
      </w:r>
      <w:r>
        <w:rPr>
          <w:rFonts w:hint="eastAsia" w:ascii="方正仿宋_GBK" w:hAnsi="方正仿宋_GBK" w:eastAsia="方正仿宋_GBK" w:cs="方正仿宋_GBK"/>
          <w:sz w:val="32"/>
          <w:szCs w:val="32"/>
          <w:highlight w:val="none"/>
          <w:lang w:eastAsia="zh-CN"/>
        </w:rPr>
        <w:t>总</w:t>
      </w:r>
      <w:r>
        <w:rPr>
          <w:rFonts w:hint="eastAsia" w:ascii="方正仿宋_GBK" w:hAnsi="方正仿宋_GBK" w:eastAsia="方正仿宋_GBK" w:cs="方正仿宋_GBK"/>
          <w:sz w:val="32"/>
          <w:szCs w:val="32"/>
          <w:highlight w:val="none"/>
        </w:rPr>
        <w:t>分×80%</w:t>
      </w:r>
      <w:r>
        <w:rPr>
          <w:rFonts w:hint="eastAsia" w:ascii="方正仿宋_GBK" w:hAnsi="方正仿宋_GBK" w:eastAsia="方正仿宋_GBK" w:cs="方正仿宋_GBK"/>
          <w:sz w:val="32"/>
          <w:szCs w:val="32"/>
          <w:highlight w:val="none"/>
          <w:lang w:val="en-US" w:eastAsia="zh-CN"/>
        </w:rPr>
        <w:t xml:space="preserve"> </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val="en-US" w:eastAsia="zh-CN"/>
        </w:rPr>
        <w:t xml:space="preserve"> </w:t>
      </w:r>
      <w:r>
        <w:rPr>
          <w:rFonts w:hint="eastAsia" w:ascii="方正仿宋_GBK" w:hAnsi="方正仿宋_GBK" w:eastAsia="方正仿宋_GBK" w:cs="方正仿宋_GBK"/>
          <w:sz w:val="32"/>
          <w:szCs w:val="32"/>
          <w:highlight w:val="none"/>
        </w:rPr>
        <w:t>满意度考评分×20%</w:t>
      </w:r>
    </w:p>
    <w:p w14:paraId="61F544F3">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5.</w:t>
      </w:r>
      <w:r>
        <w:rPr>
          <w:rFonts w:hint="eastAsia" w:ascii="方正仿宋_GBK" w:hAnsi="方正仿宋_GBK" w:eastAsia="方正仿宋_GBK" w:cs="方正仿宋_GBK"/>
          <w:sz w:val="32"/>
          <w:szCs w:val="32"/>
          <w:highlight w:val="none"/>
        </w:rPr>
        <w:t>结果应用</w:t>
      </w:r>
    </w:p>
    <w:p w14:paraId="21EF03DE">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基准与罚款：季度考核基准分为90分。实际得分（S）每低于基准分1分，处以1000元罚款，于次季度首月餐费中扣除。</w:t>
      </w:r>
    </w:p>
    <w:p w14:paraId="5BB7C981">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6.</w:t>
      </w:r>
      <w:r>
        <w:rPr>
          <w:rFonts w:hint="eastAsia" w:ascii="方正仿宋_GBK" w:hAnsi="方正仿宋_GBK" w:eastAsia="方正仿宋_GBK" w:cs="方正仿宋_GBK"/>
          <w:sz w:val="32"/>
          <w:szCs w:val="32"/>
          <w:highlight w:val="none"/>
        </w:rPr>
        <w:t>合同终止情形</w:t>
      </w:r>
    </w:p>
    <w:p w14:paraId="6805EB30">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发生重大食品安全事故（如使用违禁、变质原料），采购人有权立即单方终止合同。</w:t>
      </w:r>
    </w:p>
    <w:p w14:paraId="15A02561">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连续两个季度考核得分低于</w:t>
      </w:r>
      <w:r>
        <w:rPr>
          <w:rFonts w:hint="eastAsia" w:ascii="方正仿宋_GBK" w:hAnsi="方正仿宋_GBK" w:eastAsia="方正仿宋_GBK" w:cs="方正仿宋_GBK"/>
          <w:sz w:val="32"/>
          <w:szCs w:val="32"/>
          <w:highlight w:val="none"/>
          <w:lang w:val="en-US" w:eastAsia="zh-CN"/>
        </w:rPr>
        <w:t>9</w:t>
      </w:r>
      <w:r>
        <w:rPr>
          <w:rFonts w:hint="eastAsia" w:ascii="方正仿宋_GBK" w:hAnsi="方正仿宋_GBK" w:eastAsia="方正仿宋_GBK" w:cs="方正仿宋_GBK"/>
          <w:sz w:val="32"/>
          <w:szCs w:val="32"/>
          <w:highlight w:val="none"/>
        </w:rPr>
        <w:t>0分，采购人有权单方解除合同，并追究违约责任。</w:t>
      </w:r>
    </w:p>
    <w:p w14:paraId="5E9857F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0" w:lineRule="atLeast"/>
        <w:textAlignment w:val="auto"/>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（五）年度考核</w:t>
      </w:r>
    </w:p>
    <w:p w14:paraId="4AAF834C">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基于季度考核结果进行综合评定，决定合同长期走向。</w:t>
      </w:r>
    </w:p>
    <w:p w14:paraId="78E8A73B">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1.</w:t>
      </w:r>
      <w:r>
        <w:rPr>
          <w:rFonts w:hint="eastAsia" w:ascii="方正仿宋_GBK" w:hAnsi="方正仿宋_GBK" w:eastAsia="方正仿宋_GBK" w:cs="方正仿宋_GBK"/>
          <w:sz w:val="32"/>
          <w:szCs w:val="32"/>
          <w:highlight w:val="none"/>
        </w:rPr>
        <w:t>考核方式：</w:t>
      </w:r>
    </w:p>
    <w:p w14:paraId="220ADE58">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年度考核总分：取当年四个季度考核得分的算术平均值。</w:t>
      </w:r>
    </w:p>
    <w:p w14:paraId="34236598">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综合评议：结合年度内整改情况、重大事项表现及专项检查结果进行定性评价。</w:t>
      </w:r>
    </w:p>
    <w:p w14:paraId="04E270F9">
      <w:pPr>
        <w:pageBreakBefore w:val="0"/>
        <w:kinsoku/>
        <w:wordWrap/>
        <w:topLinePunct w:val="0"/>
        <w:bidi w:val="0"/>
        <w:spacing w:line="20" w:lineRule="atLeast"/>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lang w:val="en-US" w:eastAsia="zh-CN"/>
        </w:rPr>
        <w:t>2.</w:t>
      </w:r>
      <w:r>
        <w:rPr>
          <w:rFonts w:hint="eastAsia" w:ascii="方正仿宋_GBK" w:hAnsi="方正仿宋_GBK" w:eastAsia="方正仿宋_GBK" w:cs="方正仿宋_GBK"/>
          <w:sz w:val="32"/>
          <w:szCs w:val="32"/>
          <w:highlight w:val="none"/>
        </w:rPr>
        <w:t>结果分级与应用：</w:t>
      </w:r>
    </w:p>
    <w:p w14:paraId="312EF8A4">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优秀（年度均分≥90分）：可作为合同优先续签、评优表彰的重要依据。</w:t>
      </w:r>
    </w:p>
    <w:p w14:paraId="33BFDF9E">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highlight w:val="none"/>
        </w:rPr>
        <w:t>合格（80分≤年度均分&lt;90分）：继续履行合同，但需针对薄弱环节制定改进计划。</w:t>
      </w:r>
    </w:p>
    <w:p w14:paraId="04ADEA20">
      <w:pPr>
        <w:pageBreakBefore w:val="0"/>
        <w:kinsoku/>
        <w:wordWrap/>
        <w:topLinePunct w:val="0"/>
        <w:bidi w:val="0"/>
        <w:spacing w:line="20" w:lineRule="atLeast"/>
        <w:ind w:firstLine="640" w:firstLineChars="200"/>
        <w:rPr>
          <w:rFonts w:hint="eastAsia" w:asciiTheme="minorEastAsia" w:hAnsiTheme="minorEastAsia" w:eastAsiaTheme="minorEastAsia" w:cstheme="minorEastAsia"/>
          <w:i w:val="0"/>
          <w:iCs w:val="0"/>
          <w:caps w:val="0"/>
          <w:color w:val="auto"/>
          <w:spacing w:val="0"/>
          <w:sz w:val="24"/>
          <w:szCs w:val="24"/>
          <w:highlight w:val="none"/>
          <w:shd w:val="clear" w:fill="FFFFFF"/>
          <w:lang w:val="en-US" w:eastAsia="zh-CN"/>
        </w:rPr>
      </w:pPr>
      <w:r>
        <w:rPr>
          <w:rFonts w:hint="eastAsia" w:ascii="方正仿宋_GBK" w:hAnsi="方正仿宋_GBK" w:eastAsia="方正仿宋_GBK" w:cs="方正仿宋_GBK"/>
          <w:sz w:val="32"/>
          <w:szCs w:val="32"/>
          <w:highlight w:val="none"/>
        </w:rPr>
        <w:t>不合格（年度均分&lt;80分）：采购人有权不予续签合同，并可能追究相应违约责任。</w:t>
      </w:r>
    </w:p>
    <w:p w14:paraId="656B0E22">
      <w:pPr>
        <w:bidi w:val="0"/>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val="en-US" w:eastAsia="zh-CN"/>
        </w:rPr>
        <w:t>二、报价要求</w:t>
      </w:r>
    </w:p>
    <w:p w14:paraId="52355EF3">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本次报价以人民币为单位，全包干式报价，为供应商支付给采购人的管理费报价。因经营所需的其他包括但不限于：食堂改造、餐厨用具、建设及水电气接驳，人员工资与福利（含双休日、节假日值班、加班、超时等费用），税费，住宿费，服装费，社会保险，交通费（采购人不提供交通），食材采购，福利与奖金，社保费用，食品安全责任险、意外伤害险等商业保险费，劳动合同解除或终止所涉经济补偿与赔偿，劳动保护用品（含服装），餐饮及保洁工具购置与维修，培训，水电气费，垃圾处理，清洁服务，安全生产事故处理，工伤（亡）事故及各类不可预见风险损失，补助费用，应急工作开支，以及成交供应商的运输、装卸、利润、税金和各类风险损失等一切相关费用，都由供应商自行承担。如因成交供应商自身原因出现多报，相应责任由其自行承担，采购人不再予以额外补偿。</w:t>
      </w:r>
    </w:p>
    <w:p w14:paraId="1E52D1F4">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3.法律责任与保险购买</w:t>
      </w:r>
    </w:p>
    <w:p w14:paraId="44682324">
      <w:pPr>
        <w:pageBreakBefore w:val="0"/>
        <w:kinsoku/>
        <w:wordWrap/>
        <w:topLinePunct w:val="0"/>
        <w:bidi w:val="0"/>
        <w:spacing w:line="20" w:lineRule="atLeast"/>
        <w:ind w:firstLine="640" w:firstLineChars="200"/>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供应商须承诺：本项目履约过程中所发生的一切劳资纠纷、用工意外、安全事故等均由供应商独立承担全部法律责任和经济赔偿责任，与采购人无关。供应商负责本项目人员工资标准不得低于重庆市最新发布的最低工资标准。供应商应与其员工建立合法的劳动/劳务关系，并就此在投标文件中提供承诺函（格式自定）。</w:t>
      </w:r>
    </w:p>
    <w:p w14:paraId="3165605E">
      <w:pPr>
        <w:pageBreakBefore w:val="0"/>
        <w:kinsoku/>
        <w:wordWrap/>
        <w:topLinePunct w:val="0"/>
        <w:bidi w:val="0"/>
        <w:spacing w:line="20" w:lineRule="atLeast"/>
        <w:ind w:firstLine="640" w:firstLineChars="200"/>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供应商必须为本项目购买食品安全责任险和公众责任险，并在合同签订前向采购人提交保单复印件。</w:t>
      </w:r>
    </w:p>
    <w:p w14:paraId="4EA4AEC6">
      <w:pPr>
        <w:pageBreakBefore w:val="0"/>
        <w:kinsoku/>
        <w:wordWrap/>
        <w:topLinePunct w:val="0"/>
        <w:bidi w:val="0"/>
        <w:spacing w:line="20" w:lineRule="atLeast"/>
        <w:rPr>
          <w:rFonts w:hint="eastAsia" w:ascii="方正楷体_GB2312" w:hAnsi="方正楷体_GB2312" w:eastAsia="方正楷体_GB2312" w:cs="方正楷体_GB2312"/>
          <w:sz w:val="32"/>
          <w:szCs w:val="21"/>
          <w:highlight w:val="none"/>
          <w:lang w:val="en-US" w:eastAsia="zh-CN"/>
        </w:rPr>
      </w:pPr>
      <w:r>
        <w:rPr>
          <w:rFonts w:hint="eastAsia" w:ascii="方正黑体_GBK" w:hAnsi="方正黑体_GBK" w:eastAsia="方正黑体_GBK" w:cs="方正黑体_GBK"/>
          <w:sz w:val="32"/>
          <w:szCs w:val="21"/>
          <w:highlight w:val="none"/>
          <w:lang w:val="en-US" w:eastAsia="zh-CN"/>
        </w:rPr>
        <w:t>三、付款方式</w:t>
      </w:r>
      <w:r>
        <w:rPr>
          <w:rFonts w:hint="eastAsia" w:ascii="方正黑体_GBK" w:hAnsi="方正黑体_GBK" w:eastAsia="方正黑体_GBK" w:cs="方正黑体_GBK"/>
          <w:highlight w:val="none"/>
          <w:lang w:val="en-US" w:eastAsia="zh-CN"/>
        </w:rPr>
        <w:br w:type="textWrapping"/>
      </w:r>
      <w:r>
        <w:rPr>
          <w:rFonts w:hint="eastAsia" w:ascii="方正楷体_GB2312" w:hAnsi="方正楷体_GB2312" w:eastAsia="方正楷体_GB2312" w:cs="方正楷体_GB2312"/>
          <w:sz w:val="32"/>
          <w:szCs w:val="21"/>
          <w:highlight w:val="none"/>
          <w:lang w:val="en-US" w:eastAsia="zh-CN"/>
        </w:rPr>
        <w:t>（一）结算方式</w:t>
      </w:r>
    </w:p>
    <w:p w14:paraId="07ABC843">
      <w:pPr>
        <w:pStyle w:val="5"/>
        <w:rPr>
          <w:rFonts w:hint="eastAsia"/>
          <w:highlight w:val="none"/>
          <w:lang w:val="en-US" w:eastAsia="zh-CN"/>
        </w:rPr>
      </w:pPr>
      <w:r>
        <w:rPr>
          <w:rFonts w:hint="eastAsia" w:ascii="方正仿宋_GBK" w:hAnsi="方正仿宋_GBK" w:eastAsia="方正仿宋_GBK" w:cs="方正仿宋_GBK"/>
          <w:sz w:val="32"/>
          <w:szCs w:val="32"/>
          <w:highlight w:val="none"/>
          <w:lang w:val="en-US" w:eastAsia="zh-CN"/>
        </w:rPr>
        <w:t>1、职工餐补结算：</w:t>
      </w:r>
      <w:r>
        <w:rPr>
          <w:rFonts w:hint="eastAsia" w:ascii="方正仿宋_GBK" w:hAnsi="方正仿宋_GBK" w:eastAsia="方正仿宋_GBK" w:cs="方正仿宋_GBK"/>
          <w:color w:val="auto"/>
          <w:kern w:val="2"/>
          <w:sz w:val="32"/>
          <w:szCs w:val="32"/>
          <w:highlight w:val="none"/>
          <w:lang w:val="en-US" w:eastAsia="zh-CN" w:bidi="ar-SA"/>
        </w:rPr>
        <w:t>针对采购人的职工就餐，采购人向采购人工作人员给予一定金额的就餐补助，由采购人通知供应商提前一月充值;供应商接采购人通知后，负责采购人工作人员就餐补助的充值。每一月前5日内，采购人与供应商共同确认采购人工作人员上月实际消费金额中应由采购人补助的金额，经采购人与供应商双方确认无误后，供应商按照双方确认的金额向采购人开具等额的增值税发票，采购人收到供应商交付的增值税发票后，按照医院报销制度及流程向供应商付款。</w:t>
      </w:r>
    </w:p>
    <w:p w14:paraId="28761922">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2、患者餐费结算：患者及陪护人员餐费属于自主经营部分，由中标供应商自行收取并自负盈亏。相关餐品定价需提前申报，经采购人管理部门审核通过后方可执行。</w:t>
      </w:r>
    </w:p>
    <w:p w14:paraId="25BB38F8">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3、管理费结算：成交供应商应于每月10日前（节假日顺延），将上月管理费支付至采购人指定账户。</w:t>
      </w:r>
    </w:p>
    <w:p w14:paraId="1D003510">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4、其他餐费结算：公务接待餐、工作餐、桌餐等应由采购人支付的餐费，由成交供应商提供用餐统计明细，采购人定期进行结算。成交供应商应同时向采购人提供合法有效的正式发票。</w:t>
      </w:r>
    </w:p>
    <w:p w14:paraId="6F8DD288">
      <w:pPr>
        <w:bidi w:val="0"/>
        <w:rPr>
          <w:rFonts w:hint="eastAsia" w:ascii="方正楷体_GB2312" w:hAnsi="方正楷体_GB2312" w:eastAsia="方正楷体_GB2312" w:cs="方正楷体_GB2312"/>
          <w:sz w:val="32"/>
          <w:szCs w:val="32"/>
          <w:highlight w:val="none"/>
          <w:lang w:val="en-US" w:eastAsia="zh-CN"/>
        </w:rPr>
      </w:pPr>
      <w:r>
        <w:rPr>
          <w:rFonts w:hint="eastAsia" w:ascii="方正楷体_GB2312" w:hAnsi="方正楷体_GB2312" w:eastAsia="方正楷体_GB2312" w:cs="方正楷体_GB2312"/>
          <w:sz w:val="32"/>
          <w:szCs w:val="32"/>
          <w:highlight w:val="none"/>
          <w:lang w:val="en-US" w:eastAsia="zh-CN"/>
        </w:rPr>
        <w:t>（二）支付原则</w:t>
      </w:r>
    </w:p>
    <w:p w14:paraId="55BF7A97">
      <w:pPr>
        <w:pageBreakBefore w:val="0"/>
        <w:kinsoku/>
        <w:wordWrap/>
        <w:topLinePunct w:val="0"/>
        <w:bidi w:val="0"/>
        <w:spacing w:line="20" w:lineRule="atLeast"/>
        <w:ind w:firstLine="640" w:firstLineChars="200"/>
        <w:rPr>
          <w:rFonts w:hint="default"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本合同所涉及的所有支付事项均为无息处理。</w:t>
      </w:r>
    </w:p>
    <w:p w14:paraId="46236EAB">
      <w:pPr>
        <w:bidi w:val="0"/>
        <w:rPr>
          <w:rFonts w:hint="eastAsia" w:ascii="方正黑体_GBK" w:hAnsi="方正黑体_GBK" w:eastAsia="方正黑体_GBK" w:cs="方正黑体_GBK"/>
          <w:sz w:val="32"/>
          <w:szCs w:val="21"/>
          <w:highlight w:val="none"/>
          <w:lang w:val="en-US" w:eastAsia="zh-CN"/>
        </w:rPr>
      </w:pPr>
      <w:r>
        <w:rPr>
          <w:rFonts w:hint="eastAsia" w:ascii="方正黑体_GBK" w:hAnsi="方正黑体_GBK" w:eastAsia="方正黑体_GBK" w:cs="方正黑体_GBK"/>
          <w:sz w:val="32"/>
          <w:szCs w:val="21"/>
          <w:highlight w:val="none"/>
          <w:lang w:val="en-US" w:eastAsia="zh-CN"/>
        </w:rPr>
        <w:t>四、双方权责与商务条款</w:t>
      </w:r>
    </w:p>
    <w:p w14:paraId="18C767E7">
      <w:pPr>
        <w:bidi w:val="0"/>
        <w:rPr>
          <w:rFonts w:hint="eastAsia" w:ascii="方正楷体_GB2312" w:hAnsi="方正楷体_GB2312" w:eastAsia="方正楷体_GB2312" w:cs="方正楷体_GB2312"/>
          <w:sz w:val="32"/>
          <w:szCs w:val="21"/>
          <w:highlight w:val="none"/>
          <w:lang w:val="en-US" w:eastAsia="zh-CN"/>
        </w:rPr>
      </w:pPr>
      <w:r>
        <w:rPr>
          <w:rFonts w:hint="eastAsia" w:ascii="方正楷体_GB2312" w:hAnsi="方正楷体_GB2312" w:eastAsia="方正楷体_GB2312" w:cs="方正楷体_GB2312"/>
          <w:sz w:val="32"/>
          <w:szCs w:val="21"/>
          <w:highlight w:val="none"/>
          <w:lang w:val="en-US" w:eastAsia="zh-CN"/>
        </w:rPr>
        <w:t>（一）资产清点与权属</w:t>
      </w:r>
    </w:p>
    <w:p w14:paraId="0B19C24F">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1.</w:t>
      </w:r>
      <w:r>
        <w:rPr>
          <w:rFonts w:hint="default" w:ascii="方正仿宋_GBK" w:hAnsi="方正仿宋_GBK" w:eastAsia="方正仿宋_GBK" w:cs="方正仿宋_GBK"/>
          <w:sz w:val="32"/>
          <w:szCs w:val="32"/>
          <w:highlight w:val="none"/>
          <w:lang w:val="en-US" w:eastAsia="zh-CN"/>
        </w:rPr>
        <w:t>资产清点：合同生效后，双方应共同清点并形成《进场资产交接清单》，会签后作为合同附件。</w:t>
      </w:r>
    </w:p>
    <w:p w14:paraId="6393AF25">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2.</w:t>
      </w:r>
      <w:r>
        <w:rPr>
          <w:rFonts w:hint="default" w:ascii="方正仿宋_GBK" w:hAnsi="方正仿宋_GBK" w:eastAsia="方正仿宋_GBK" w:cs="方正仿宋_GBK"/>
          <w:sz w:val="32"/>
          <w:szCs w:val="32"/>
          <w:highlight w:val="none"/>
          <w:lang w:val="en-US" w:eastAsia="zh-CN"/>
        </w:rPr>
        <w:t>资产权属：</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（1）</w:t>
      </w:r>
      <w:r>
        <w:rPr>
          <w:rFonts w:hint="default" w:ascii="方正仿宋_GBK" w:hAnsi="方正仿宋_GBK" w:eastAsia="方正仿宋_GBK" w:cs="方正仿宋_GBK"/>
          <w:sz w:val="32"/>
          <w:szCs w:val="32"/>
          <w:highlight w:val="none"/>
          <w:lang w:val="en-US" w:eastAsia="zh-CN"/>
        </w:rPr>
        <w:t>供应商购置资产：合同期内所有权归供应商，合同期满或终止时无偿移交采购人。</w:t>
      </w:r>
    </w:p>
    <w:p w14:paraId="3C002DD1">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（2)</w:t>
      </w:r>
      <w:r>
        <w:rPr>
          <w:rFonts w:hint="default" w:ascii="方正仿宋_GBK" w:hAnsi="方正仿宋_GBK" w:eastAsia="方正仿宋_GBK" w:cs="方正仿宋_GBK"/>
          <w:sz w:val="32"/>
          <w:szCs w:val="32"/>
          <w:highlight w:val="none"/>
          <w:lang w:val="en-US" w:eastAsia="zh-CN"/>
        </w:rPr>
        <w:t>采购人提供资产：所有权始终归采购人，供应商负责维护，合同结束时完好返还。</w:t>
      </w:r>
    </w:p>
    <w:p w14:paraId="234325A4">
      <w:pPr>
        <w:bidi w:val="0"/>
        <w:rPr>
          <w:rFonts w:hint="eastAsia" w:ascii="方正楷体_GB2312" w:hAnsi="方正楷体_GB2312" w:eastAsia="方正楷体_GB2312" w:cs="方正楷体_GB2312"/>
          <w:sz w:val="32"/>
          <w:szCs w:val="21"/>
          <w:highlight w:val="none"/>
          <w:lang w:val="en-US" w:eastAsia="zh-CN"/>
        </w:rPr>
      </w:pPr>
      <w:r>
        <w:rPr>
          <w:rFonts w:hint="eastAsia" w:ascii="方正楷体_GB2312" w:hAnsi="方正楷体_GB2312" w:eastAsia="方正楷体_GB2312" w:cs="方正楷体_GB2312"/>
          <w:sz w:val="32"/>
          <w:szCs w:val="21"/>
          <w:highlight w:val="none"/>
          <w:lang w:val="en-US" w:eastAsia="zh-CN"/>
        </w:rPr>
        <w:t>（二）运营费用承担</w:t>
      </w:r>
    </w:p>
    <w:p w14:paraId="58D9907D">
      <w:pPr>
        <w:bidi w:val="0"/>
        <w:ind w:firstLine="640" w:firstLineChars="200"/>
        <w:rPr>
          <w:rFonts w:hint="default" w:ascii="方正楷体_GB2312" w:hAnsi="方正楷体_GB2312" w:eastAsia="方正楷体_GB2312" w:cs="方正楷体_GB2312"/>
          <w:sz w:val="32"/>
          <w:szCs w:val="21"/>
          <w:highlight w:val="none"/>
          <w:lang w:val="en-US" w:eastAsia="zh-CN"/>
        </w:rPr>
      </w:pPr>
      <w:r>
        <w:rPr>
          <w:rFonts w:hint="default" w:ascii="方正仿宋_GBK" w:hAnsi="方正仿宋_GBK" w:eastAsia="方正仿宋_GBK" w:cs="方正仿宋_GBK"/>
          <w:sz w:val="32"/>
          <w:szCs w:val="32"/>
          <w:highlight w:val="none"/>
          <w:lang w:val="en-US" w:eastAsia="zh-CN"/>
        </w:rPr>
        <w:t>供应商独立承担运营产生的一切费用（包括水电气、人工、系统维护、垃圾清运等）。</w:t>
      </w:r>
      <w:r>
        <w:rPr>
          <w:rFonts w:hint="default" w:ascii="方正仿宋_GBK" w:hAnsi="方正仿宋_GBK" w:eastAsia="方正仿宋_GBK" w:cs="方正仿宋_GBK"/>
          <w:sz w:val="32"/>
          <w:szCs w:val="32"/>
          <w:highlight w:val="none"/>
          <w:lang w:val="en-US" w:eastAsia="zh-CN"/>
        </w:rPr>
        <w:br w:type="textWrapping"/>
      </w:r>
      <w:r>
        <w:rPr>
          <w:rFonts w:hint="default" w:ascii="方正楷体_GB2312" w:hAnsi="方正楷体_GB2312" w:eastAsia="方正楷体_GB2312" w:cs="方正楷体_GB2312"/>
          <w:sz w:val="32"/>
          <w:szCs w:val="21"/>
          <w:highlight w:val="none"/>
          <w:lang w:val="en-US" w:eastAsia="zh-CN"/>
        </w:rPr>
        <w:t>（三）劳动关系与第三方责任</w:t>
      </w:r>
    </w:p>
    <w:p w14:paraId="4FA8D416">
      <w:pPr>
        <w:bidi w:val="0"/>
        <w:ind w:firstLine="640" w:firstLineChars="200"/>
        <w:rPr>
          <w:rFonts w:hint="default" w:ascii="方正楷体_GB2312" w:hAnsi="方正楷体_GB2312" w:eastAsia="方正楷体_GB2312" w:cs="方正楷体_GB2312"/>
          <w:sz w:val="32"/>
          <w:szCs w:val="21"/>
          <w:highlight w:val="none"/>
          <w:lang w:val="en-US" w:eastAsia="zh-CN"/>
        </w:rPr>
      </w:pPr>
      <w:r>
        <w:rPr>
          <w:rFonts w:hint="default" w:ascii="方正仿宋_GBK" w:hAnsi="方正仿宋_GBK" w:eastAsia="方正仿宋_GBK" w:cs="方正仿宋_GBK"/>
          <w:sz w:val="32"/>
          <w:szCs w:val="32"/>
          <w:highlight w:val="none"/>
          <w:lang w:val="en-US" w:eastAsia="zh-CN"/>
        </w:rPr>
        <w:t>供应商工作人员与采购人无劳动关系，供应商独立承担其员工的全部用工责任及与第三方的债权债务纠纷。</w:t>
      </w:r>
      <w:r>
        <w:rPr>
          <w:rFonts w:hint="default" w:ascii="方正仿宋_GBK" w:hAnsi="方正仿宋_GBK" w:eastAsia="方正仿宋_GBK" w:cs="方正仿宋_GBK"/>
          <w:sz w:val="32"/>
          <w:szCs w:val="32"/>
          <w:highlight w:val="none"/>
          <w:lang w:val="en-US" w:eastAsia="zh-CN"/>
        </w:rPr>
        <w:br w:type="textWrapping"/>
      </w:r>
      <w:r>
        <w:rPr>
          <w:rFonts w:hint="default" w:ascii="方正楷体_GB2312" w:hAnsi="方正楷体_GB2312" w:eastAsia="方正楷体_GB2312" w:cs="方正楷体_GB2312"/>
          <w:sz w:val="32"/>
          <w:szCs w:val="21"/>
          <w:highlight w:val="none"/>
          <w:lang w:val="en-US" w:eastAsia="zh-CN"/>
        </w:rPr>
        <w:t>（四）禁止性行为</w:t>
      </w:r>
    </w:p>
    <w:p w14:paraId="69569699">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default" w:ascii="方正仿宋_GBK" w:hAnsi="方正仿宋_GBK" w:eastAsia="方正仿宋_GBK" w:cs="方正仿宋_GBK"/>
          <w:sz w:val="32"/>
          <w:szCs w:val="32"/>
          <w:highlight w:val="none"/>
          <w:lang w:val="en-US" w:eastAsia="zh-CN"/>
        </w:rPr>
        <w:t>未经采购人书面同意，供应商不得转分包、改变场地用途或对外商业经营。</w:t>
      </w:r>
    </w:p>
    <w:p w14:paraId="6EE97FCD">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default" w:ascii="方正仿宋_GBK" w:hAnsi="方正仿宋_GBK" w:eastAsia="方正仿宋_GBK" w:cs="方正仿宋_GBK"/>
          <w:sz w:val="32"/>
          <w:szCs w:val="32"/>
          <w:highlight w:val="none"/>
          <w:lang w:val="en-US" w:eastAsia="zh-CN"/>
        </w:rPr>
        <w:t>五、违约、合同解除及后果</w:t>
      </w:r>
    </w:p>
    <w:p w14:paraId="14A96032">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default" w:ascii="方正仿宋_GBK" w:hAnsi="方正仿宋_GBK" w:eastAsia="方正仿宋_GBK" w:cs="方正仿宋_GBK"/>
          <w:sz w:val="32"/>
          <w:szCs w:val="32"/>
          <w:highlight w:val="none"/>
          <w:lang w:val="en-US" w:eastAsia="zh-CN"/>
        </w:rPr>
        <w:t>（一）一般违约处理</w:t>
      </w:r>
    </w:p>
    <w:p w14:paraId="18AF8A19">
      <w:pPr>
        <w:pageBreakBefore w:val="0"/>
        <w:kinsoku/>
        <w:wordWrap/>
        <w:topLinePunct w:val="0"/>
        <w:bidi w:val="0"/>
        <w:spacing w:line="20" w:lineRule="atLeast"/>
        <w:rPr>
          <w:rFonts w:hint="default"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供应商</w:t>
      </w:r>
      <w:r>
        <w:rPr>
          <w:rFonts w:hint="default" w:ascii="方正仿宋_GBK" w:hAnsi="方正仿宋_GBK" w:eastAsia="方正仿宋_GBK" w:cs="方正仿宋_GBK"/>
          <w:sz w:val="32"/>
          <w:szCs w:val="32"/>
          <w:highlight w:val="none"/>
          <w:lang w:val="en-US" w:eastAsia="zh-CN"/>
        </w:rPr>
        <w:t>发生违约，</w:t>
      </w:r>
      <w:r>
        <w:rPr>
          <w:rFonts w:hint="eastAsia" w:ascii="方正仿宋_GBK" w:hAnsi="方正仿宋_GBK" w:eastAsia="方正仿宋_GBK" w:cs="方正仿宋_GBK"/>
          <w:sz w:val="32"/>
          <w:szCs w:val="32"/>
          <w:highlight w:val="none"/>
          <w:lang w:val="en-US" w:eastAsia="zh-CN"/>
        </w:rPr>
        <w:t>采购人</w:t>
      </w:r>
      <w:r>
        <w:rPr>
          <w:rFonts w:hint="default" w:ascii="方正仿宋_GBK" w:hAnsi="方正仿宋_GBK" w:eastAsia="方正仿宋_GBK" w:cs="方正仿宋_GBK"/>
          <w:sz w:val="32"/>
          <w:szCs w:val="32"/>
          <w:highlight w:val="none"/>
          <w:lang w:val="en-US" w:eastAsia="zh-CN"/>
        </w:rPr>
        <w:t>每次有</w:t>
      </w:r>
      <w:r>
        <w:rPr>
          <w:rFonts w:hint="eastAsia" w:ascii="方正仿宋_GBK" w:hAnsi="方正仿宋_GBK" w:eastAsia="方正仿宋_GBK" w:cs="方正仿宋_GBK"/>
          <w:sz w:val="32"/>
          <w:szCs w:val="32"/>
          <w:highlight w:val="none"/>
          <w:lang w:val="en-US" w:eastAsia="zh-CN"/>
        </w:rPr>
        <w:t>权增加收取每月管理费</w:t>
      </w:r>
      <w:r>
        <w:rPr>
          <w:rFonts w:hint="default" w:ascii="方正仿宋_GBK" w:hAnsi="方正仿宋_GBK" w:eastAsia="方正仿宋_GBK" w:cs="方正仿宋_GBK"/>
          <w:sz w:val="32"/>
          <w:szCs w:val="32"/>
          <w:highlight w:val="none"/>
          <w:lang w:val="en-US" w:eastAsia="zh-CN"/>
        </w:rPr>
        <w:t>的10%作为违约金，并可要求赔偿损失。经催告未纠正的，</w:t>
      </w:r>
      <w:r>
        <w:rPr>
          <w:rFonts w:hint="eastAsia" w:ascii="方正仿宋_GBK" w:hAnsi="方正仿宋_GBK" w:eastAsia="方正仿宋_GBK" w:cs="方正仿宋_GBK"/>
          <w:sz w:val="32"/>
          <w:szCs w:val="32"/>
          <w:highlight w:val="none"/>
          <w:lang w:val="en-US" w:eastAsia="zh-CN"/>
        </w:rPr>
        <w:t>采购人</w:t>
      </w:r>
      <w:r>
        <w:rPr>
          <w:rFonts w:hint="default" w:ascii="方正仿宋_GBK" w:hAnsi="方正仿宋_GBK" w:eastAsia="方正仿宋_GBK" w:cs="方正仿宋_GBK"/>
          <w:sz w:val="32"/>
          <w:szCs w:val="32"/>
          <w:highlight w:val="none"/>
          <w:lang w:val="en-US" w:eastAsia="zh-CN"/>
        </w:rPr>
        <w:t>有权解除合同。</w:t>
      </w:r>
      <w:r>
        <w:rPr>
          <w:rFonts w:hint="default" w:ascii="方正仿宋_GBK" w:hAnsi="方正仿宋_GBK" w:eastAsia="方正仿宋_GBK" w:cs="方正仿宋_GBK"/>
          <w:sz w:val="32"/>
          <w:szCs w:val="32"/>
          <w:highlight w:val="none"/>
          <w:lang w:val="en-US" w:eastAsia="zh-CN"/>
        </w:rPr>
        <w:br w:type="textWrapping"/>
      </w:r>
      <w:r>
        <w:rPr>
          <w:rFonts w:hint="default" w:ascii="方正仿宋_GBK" w:hAnsi="方正仿宋_GBK" w:eastAsia="方正仿宋_GBK" w:cs="方正仿宋_GBK"/>
          <w:sz w:val="32"/>
          <w:szCs w:val="32"/>
          <w:highlight w:val="none"/>
          <w:lang w:val="en-US" w:eastAsia="zh-CN"/>
        </w:rPr>
        <w:t>（二）合同解除情形</w:t>
      </w:r>
    </w:p>
    <w:p w14:paraId="445FE0FD">
      <w:pPr>
        <w:rPr>
          <w:rFonts w:hint="eastAsia" w:ascii="方正仿宋_GBK" w:hAnsi="方正仿宋_GBK" w:eastAsia="方正仿宋_GBK" w:cs="方正仿宋_GBK"/>
          <w:sz w:val="32"/>
          <w:szCs w:val="32"/>
          <w:highlight w:val="none"/>
          <w:lang w:val="en-US" w:eastAsia="zh-CN"/>
        </w:rPr>
      </w:pPr>
      <w:r>
        <w:rPr>
          <w:rFonts w:hint="default" w:ascii="方正仿宋_GBK" w:hAnsi="方正仿宋_GBK" w:eastAsia="方正仿宋_GBK" w:cs="方正仿宋_GBK"/>
          <w:sz w:val="32"/>
          <w:szCs w:val="32"/>
          <w:highlight w:val="none"/>
          <w:lang w:val="en-US" w:eastAsia="zh-CN"/>
        </w:rPr>
        <w:t>出现</w:t>
      </w:r>
      <w:r>
        <w:rPr>
          <w:rFonts w:hint="eastAsia" w:ascii="方正仿宋_GBK" w:hAnsi="方正仿宋_GBK" w:eastAsia="方正仿宋_GBK" w:cs="方正仿宋_GBK"/>
          <w:sz w:val="32"/>
          <w:szCs w:val="32"/>
          <w:highlight w:val="none"/>
          <w:lang w:val="en-US" w:eastAsia="zh-CN"/>
        </w:rPr>
        <w:t>包括但不限于</w:t>
      </w:r>
      <w:r>
        <w:rPr>
          <w:rFonts w:hint="default" w:ascii="方正仿宋_GBK" w:hAnsi="方正仿宋_GBK" w:eastAsia="方正仿宋_GBK" w:cs="方正仿宋_GBK"/>
          <w:sz w:val="32"/>
          <w:szCs w:val="32"/>
          <w:highlight w:val="none"/>
          <w:lang w:val="en-US" w:eastAsia="zh-CN"/>
        </w:rPr>
        <w:t>以下任一情况，</w:t>
      </w:r>
      <w:r>
        <w:rPr>
          <w:rFonts w:hint="eastAsia" w:ascii="方正仿宋_GBK" w:hAnsi="方正仿宋_GBK" w:eastAsia="方正仿宋_GBK" w:cs="方正仿宋_GBK"/>
          <w:sz w:val="32"/>
          <w:szCs w:val="32"/>
          <w:highlight w:val="none"/>
          <w:lang w:val="en-US" w:eastAsia="zh-CN"/>
        </w:rPr>
        <w:t>采购人</w:t>
      </w:r>
      <w:r>
        <w:rPr>
          <w:rFonts w:hint="default" w:ascii="方正仿宋_GBK" w:hAnsi="方正仿宋_GBK" w:eastAsia="方正仿宋_GBK" w:cs="方正仿宋_GBK"/>
          <w:sz w:val="32"/>
          <w:szCs w:val="32"/>
          <w:highlight w:val="none"/>
          <w:lang w:val="en-US" w:eastAsia="zh-CN"/>
        </w:rPr>
        <w:t>有权立即单方解除合同：</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1.</w:t>
      </w:r>
      <w:r>
        <w:rPr>
          <w:rFonts w:hint="default" w:ascii="方正仿宋_GBK" w:hAnsi="方正仿宋_GBK" w:eastAsia="方正仿宋_GBK" w:cs="方正仿宋_GBK"/>
          <w:sz w:val="32"/>
          <w:szCs w:val="32"/>
          <w:highlight w:val="none"/>
          <w:lang w:val="en-US" w:eastAsia="zh-CN"/>
        </w:rPr>
        <w:t>发生群体性食物中毒或重大安全事故；</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2.</w:t>
      </w:r>
      <w:r>
        <w:rPr>
          <w:rFonts w:hint="default" w:ascii="方正仿宋_GBK" w:hAnsi="方正仿宋_GBK" w:eastAsia="方正仿宋_GBK" w:cs="方正仿宋_GBK"/>
          <w:sz w:val="32"/>
          <w:szCs w:val="32"/>
          <w:highlight w:val="none"/>
          <w:lang w:val="en-US" w:eastAsia="zh-CN"/>
        </w:rPr>
        <w:t>人员资质或行为不符要求，拒不更换或一周内未完成更换；</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3.</w:t>
      </w:r>
      <w:r>
        <w:rPr>
          <w:rFonts w:hint="default" w:ascii="方正仿宋_GBK" w:hAnsi="方正仿宋_GBK" w:eastAsia="方正仿宋_GBK" w:cs="方正仿宋_GBK"/>
          <w:sz w:val="32"/>
          <w:szCs w:val="32"/>
          <w:highlight w:val="none"/>
          <w:lang w:val="en-US" w:eastAsia="zh-CN"/>
        </w:rPr>
        <w:t>对合理整改意见拒不整改或整改不合格；</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4.</w:t>
      </w:r>
      <w:r>
        <w:rPr>
          <w:rFonts w:hint="default" w:ascii="方正仿宋_GBK" w:hAnsi="方正仿宋_GBK" w:eastAsia="方正仿宋_GBK" w:cs="方正仿宋_GBK"/>
          <w:sz w:val="32"/>
          <w:szCs w:val="32"/>
          <w:highlight w:val="none"/>
          <w:lang w:val="en-US" w:eastAsia="zh-CN"/>
        </w:rPr>
        <w:t>因管理失职造成重大经济损失或声誉影响；</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5.</w:t>
      </w:r>
      <w:r>
        <w:rPr>
          <w:rFonts w:hint="default" w:ascii="方正仿宋_GBK" w:hAnsi="方正仿宋_GBK" w:eastAsia="方正仿宋_GBK" w:cs="方正仿宋_GBK"/>
          <w:sz w:val="32"/>
          <w:szCs w:val="32"/>
          <w:highlight w:val="none"/>
          <w:lang w:val="en-US" w:eastAsia="zh-CN"/>
        </w:rPr>
        <w:t>违反国家强制性规定导致</w:t>
      </w:r>
      <w:r>
        <w:rPr>
          <w:rFonts w:hint="eastAsia" w:ascii="方正仿宋_GBK" w:hAnsi="方正仿宋_GBK" w:eastAsia="方正仿宋_GBK" w:cs="方正仿宋_GBK"/>
          <w:sz w:val="32"/>
          <w:szCs w:val="32"/>
          <w:highlight w:val="none"/>
          <w:lang w:val="en-US" w:eastAsia="zh-CN"/>
        </w:rPr>
        <w:t>采购人</w:t>
      </w:r>
      <w:r>
        <w:rPr>
          <w:rFonts w:hint="default" w:ascii="方正仿宋_GBK" w:hAnsi="方正仿宋_GBK" w:eastAsia="方正仿宋_GBK" w:cs="方正仿宋_GBK"/>
          <w:sz w:val="32"/>
          <w:szCs w:val="32"/>
          <w:highlight w:val="none"/>
          <w:lang w:val="en-US" w:eastAsia="zh-CN"/>
        </w:rPr>
        <w:t>受行政处罚；</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6.</w:t>
      </w:r>
      <w:r>
        <w:rPr>
          <w:rFonts w:hint="default" w:ascii="方正仿宋_GBK" w:hAnsi="方正仿宋_GBK" w:eastAsia="方正仿宋_GBK" w:cs="方正仿宋_GBK"/>
          <w:sz w:val="32"/>
          <w:szCs w:val="32"/>
          <w:highlight w:val="none"/>
          <w:lang w:val="en-US" w:eastAsia="zh-CN"/>
        </w:rPr>
        <w:t>未依法足额发放工资或缴纳社保；</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7.季度</w:t>
      </w:r>
      <w:r>
        <w:rPr>
          <w:rFonts w:hint="default" w:ascii="方正仿宋_GBK" w:hAnsi="方正仿宋_GBK" w:eastAsia="方正仿宋_GBK" w:cs="方正仿宋_GBK"/>
          <w:sz w:val="32"/>
          <w:szCs w:val="32"/>
          <w:highlight w:val="none"/>
          <w:lang w:val="en-US" w:eastAsia="zh-CN"/>
        </w:rPr>
        <w:t>满意度调查累计三次未达</w:t>
      </w:r>
      <w:r>
        <w:rPr>
          <w:rFonts w:hint="eastAsia" w:ascii="方正仿宋_GBK" w:hAnsi="方正仿宋_GBK" w:eastAsia="方正仿宋_GBK" w:cs="方正仿宋_GBK"/>
          <w:sz w:val="32"/>
          <w:szCs w:val="32"/>
          <w:highlight w:val="none"/>
          <w:lang w:val="en-US" w:eastAsia="zh-CN"/>
        </w:rPr>
        <w:t>90</w:t>
      </w:r>
      <w:r>
        <w:rPr>
          <w:rFonts w:hint="default" w:ascii="方正仿宋_GBK" w:hAnsi="方正仿宋_GBK" w:eastAsia="方正仿宋_GBK" w:cs="方正仿宋_GBK"/>
          <w:sz w:val="32"/>
          <w:szCs w:val="32"/>
          <w:highlight w:val="none"/>
          <w:lang w:val="en-US" w:eastAsia="zh-CN"/>
        </w:rPr>
        <w:t>%；</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8.</w:t>
      </w:r>
      <w:r>
        <w:rPr>
          <w:rFonts w:hint="default" w:ascii="方正仿宋_GBK" w:hAnsi="方正仿宋_GBK" w:eastAsia="方正仿宋_GBK" w:cs="方正仿宋_GBK"/>
          <w:sz w:val="32"/>
          <w:szCs w:val="32"/>
          <w:highlight w:val="none"/>
          <w:lang w:val="en-US" w:eastAsia="zh-CN"/>
        </w:rPr>
        <w:t>使用来源不明、劣质食材；</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 xml:space="preserve"> 9.</w:t>
      </w:r>
      <w:r>
        <w:rPr>
          <w:rFonts w:hint="default" w:ascii="方正仿宋_GBK" w:hAnsi="方正仿宋_GBK" w:eastAsia="方正仿宋_GBK" w:cs="方正仿宋_GBK"/>
          <w:sz w:val="32"/>
          <w:szCs w:val="32"/>
          <w:highlight w:val="none"/>
          <w:lang w:val="en-US" w:eastAsia="zh-CN"/>
        </w:rPr>
        <w:t>无正当理由拒绝执行合理建议，严重妨碍正常运行。</w:t>
      </w:r>
      <w:r>
        <w:rPr>
          <w:rFonts w:hint="default" w:ascii="方正仿宋_GBK" w:hAnsi="方正仿宋_GBK" w:eastAsia="方正仿宋_GBK" w:cs="方正仿宋_GBK"/>
          <w:sz w:val="32"/>
          <w:szCs w:val="32"/>
          <w:highlight w:val="none"/>
          <w:lang w:val="en-US" w:eastAsia="zh-CN"/>
        </w:rPr>
        <w:br w:type="textWrapping"/>
      </w:r>
      <w:r>
        <w:rPr>
          <w:rFonts w:hint="default" w:ascii="方正仿宋_GBK" w:hAnsi="方正仿宋_GBK" w:eastAsia="方正仿宋_GBK" w:cs="方正仿宋_GBK"/>
          <w:sz w:val="32"/>
          <w:szCs w:val="32"/>
          <w:highlight w:val="none"/>
          <w:lang w:val="en-US" w:eastAsia="zh-CN"/>
        </w:rPr>
        <w:t>（三）合同解除后果（因</w:t>
      </w:r>
      <w:r>
        <w:rPr>
          <w:rFonts w:hint="eastAsia" w:ascii="方正仿宋_GBK" w:hAnsi="方正仿宋_GBK" w:eastAsia="方正仿宋_GBK" w:cs="方正仿宋_GBK"/>
          <w:sz w:val="32"/>
          <w:szCs w:val="32"/>
          <w:highlight w:val="none"/>
          <w:lang w:val="en-US" w:eastAsia="zh-CN"/>
        </w:rPr>
        <w:t>供应商</w:t>
      </w:r>
      <w:r>
        <w:rPr>
          <w:rFonts w:hint="default" w:ascii="方正仿宋_GBK" w:hAnsi="方正仿宋_GBK" w:eastAsia="方正仿宋_GBK" w:cs="方正仿宋_GBK"/>
          <w:sz w:val="32"/>
          <w:szCs w:val="32"/>
          <w:highlight w:val="none"/>
          <w:lang w:val="en-US" w:eastAsia="zh-CN"/>
        </w:rPr>
        <w:t>违约导致）：</w:t>
      </w:r>
      <w:r>
        <w:rPr>
          <w:rFonts w:hint="default" w:ascii="方正仿宋_GBK" w:hAnsi="方正仿宋_GBK" w:eastAsia="方正仿宋_GBK" w:cs="方正仿宋_GBK"/>
          <w:sz w:val="32"/>
          <w:szCs w:val="32"/>
          <w:highlight w:val="none"/>
          <w:lang w:val="en-US" w:eastAsia="zh-CN"/>
        </w:rPr>
        <w:br w:type="textWrapping"/>
      </w:r>
      <w:r>
        <w:rPr>
          <w:rFonts w:hint="eastAsia" w:ascii="方正仿宋_GBK" w:hAnsi="方正仿宋_GBK" w:eastAsia="方正仿宋_GBK" w:cs="方正仿宋_GBK"/>
          <w:sz w:val="32"/>
          <w:szCs w:val="32"/>
          <w:highlight w:val="none"/>
          <w:lang w:val="en-US" w:eastAsia="zh-CN"/>
        </w:rPr>
        <w:t>1.若因供应商根本违约导致本合同解除，供应商应承担以下全部责任：</w:t>
      </w:r>
    </w:p>
    <w:p w14:paraId="79A2C5A4">
      <w:pPr>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费用返还与支付：供应商应在本合同解除后，按采购人要求结清应付未付的所有费用。</w:t>
      </w:r>
    </w:p>
    <w:p w14:paraId="62C69900">
      <w:pPr>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2.违约金：供应商应向采购人支付数额相当于3个月管理费的违约金，作为对采购人基本损失（包括预期管理费收益损失、商誉损失等）的补偿。</w:t>
      </w:r>
    </w:p>
    <w:p w14:paraId="63F16205">
      <w:pPr>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3.损失赔偿：前款违约金不足以覆盖采购人全部实际损失的（包括但不限于重新采购的额外成本、对第三方承担的赔偿、其他直接经济损失等），供应商应就差额部分予以补足。</w:t>
      </w:r>
    </w:p>
    <w:p w14:paraId="7E43CA2B">
      <w:pPr>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4.维权费用：供应商须承担采购人为实现债权所支出的全部合理费用，包括但不限于诉讼费、律师费、保全费、鉴定评估费等。</w:t>
      </w:r>
    </w:p>
    <w:p w14:paraId="4B81042F">
      <w:pPr>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5.撤场交接：供应商的撤场（含人员、设备、物料撤离）必须满足以下前提，且不得妨碍后续工作：</w:t>
      </w:r>
    </w:p>
    <w:p w14:paraId="28BF1599">
      <w:pPr>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（1）与采购人及其确定的新服务方完成全部工作、资料、现场的书面交接，并签署交接文件；</w:t>
      </w:r>
    </w:p>
    <w:p w14:paraId="6B133126">
      <w:pPr>
        <w:rPr>
          <w:rFonts w:hint="default"/>
          <w:highlight w:val="none"/>
          <w:lang w:val="en-US" w:eastAsia="zh-CN"/>
        </w:rPr>
      </w:pPr>
      <w:r>
        <w:rPr>
          <w:rFonts w:hint="eastAsia" w:ascii="方正仿宋_GBK" w:hAnsi="方正仿宋_GBK" w:eastAsia="方正仿宋_GBK" w:cs="方正仿宋_GBK"/>
          <w:sz w:val="32"/>
          <w:szCs w:val="32"/>
          <w:highlight w:val="none"/>
          <w:lang w:val="en-US" w:eastAsia="zh-CN"/>
        </w:rPr>
        <w:t>（2）获得采购人就此发出的书面撤场许可。该许可的发出时间不早于新服务方正式进场接管之日。</w:t>
      </w:r>
    </w:p>
    <w:p w14:paraId="4DBF5928">
      <w:pPr>
        <w:bidi w:val="0"/>
        <w:rPr>
          <w:rFonts w:hint="eastAsia" w:ascii="方正黑体_GBK" w:hAnsi="方正黑体_GBK" w:eastAsia="方正黑体_GBK" w:cs="方正黑体_GBK"/>
          <w:sz w:val="32"/>
          <w:szCs w:val="21"/>
          <w:highlight w:val="none"/>
        </w:rPr>
      </w:pPr>
      <w:r>
        <w:rPr>
          <w:rFonts w:hint="eastAsia" w:ascii="方正黑体_GBK" w:hAnsi="方正黑体_GBK" w:eastAsia="方正黑体_GBK" w:cs="方正黑体_GBK"/>
          <w:sz w:val="32"/>
          <w:szCs w:val="21"/>
          <w:highlight w:val="none"/>
          <w:lang w:val="en-US" w:eastAsia="zh-CN"/>
        </w:rPr>
        <w:t>六</w:t>
      </w:r>
      <w:r>
        <w:rPr>
          <w:rFonts w:hint="eastAsia" w:ascii="方正黑体_GBK" w:hAnsi="方正黑体_GBK" w:eastAsia="方正黑体_GBK" w:cs="方正黑体_GBK"/>
          <w:sz w:val="32"/>
          <w:szCs w:val="21"/>
          <w:highlight w:val="none"/>
        </w:rPr>
        <w:t>、保密条款</w:t>
      </w:r>
    </w:p>
    <w:p w14:paraId="4E4A9778">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1.成交供应商应对本文内容及履行过程中知悉的采购人商业信息、运营资料等一切未公开信息予以保密，未经采购人事先书面同意，不得以任何形式向任何第三方披露（各方为履行本合同所必需授权的员工、法律顾问及财务顾问除外）。</w:t>
      </w:r>
    </w:p>
    <w:p w14:paraId="0DF6A6C0">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2.如成交供应商违反上述保密义务，即视为严重违约，应承担相应违约责任。供应商除须赔偿由此给采购人造成的全部直接和间接损失外，还须支付相当于合同总金额10%的违约金，并承担采购人为维护合法权益所支出的全部费用，包括但不限于诉讼费、仲裁费、律师费、差旅费、公证费、鉴定费、财产保全费、保全担保费、执行费、评估拍卖费等。</w:t>
      </w:r>
    </w:p>
    <w:p w14:paraId="1E559F67">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3.本保密义务自本合同签订之日起生效，永久有效。本合同的终止、解除或无效均不影响保密条款的继续履行和义务的承担。</w:t>
      </w:r>
    </w:p>
    <w:p w14:paraId="0E2AD082">
      <w:pPr>
        <w:bidi w:val="0"/>
        <w:rPr>
          <w:rFonts w:hint="eastAsia" w:ascii="方正黑体_GBK" w:hAnsi="方正黑体_GBK" w:eastAsia="方正黑体_GBK" w:cs="方正黑体_GBK"/>
          <w:sz w:val="32"/>
          <w:szCs w:val="21"/>
          <w:highlight w:val="none"/>
          <w:lang w:val="en-US" w:eastAsia="zh-CN"/>
        </w:rPr>
      </w:pPr>
      <w:r>
        <w:rPr>
          <w:rFonts w:hint="eastAsia" w:ascii="方正黑体_GBK" w:hAnsi="方正黑体_GBK" w:eastAsia="方正黑体_GBK" w:cs="方正黑体_GBK"/>
          <w:sz w:val="32"/>
          <w:szCs w:val="21"/>
          <w:highlight w:val="none"/>
          <w:lang w:val="en-US" w:eastAsia="zh-CN"/>
        </w:rPr>
        <w:t>七、其他约定</w:t>
      </w:r>
    </w:p>
    <w:p w14:paraId="7DCA7BFF">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1.本项目所涉全部配置人员的社会保险（含养老、医疗、失业、工伤和生育保险）费用，均由成交供应商（供应商）承担。</w:t>
      </w:r>
    </w:p>
    <w:p w14:paraId="51982612">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2.供应商有义务协助采购人办理餐饮服务经营及管理所必需的各项行政审批及备案手续。</w:t>
      </w:r>
    </w:p>
    <w:p w14:paraId="43C261B3">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3.供应商应按照采购人要求，及时签订消防、治安、食品安全等各类安全责任书，并严格履行相应责任。</w:t>
      </w:r>
    </w:p>
    <w:p w14:paraId="3E591F01">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4.供应商须建立健全完善的财务管理制度和经营核算体系，确保收支清晰、账目规范。</w:t>
      </w:r>
    </w:p>
    <w:p w14:paraId="32BF20BE">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5.供应商须在投标文件中逐项明确响应以上条款及各项服务承诺，并保证其内容完全符合招标文件的实质性要求。</w:t>
      </w:r>
    </w:p>
    <w:p w14:paraId="4E05CCB7">
      <w:pPr>
        <w:pageBreakBefore w:val="0"/>
        <w:kinsoku/>
        <w:wordWrap/>
        <w:topLinePunct w:val="0"/>
        <w:bidi w:val="0"/>
        <w:spacing w:line="20" w:lineRule="atLeast"/>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highlight w:val="none"/>
          <w:lang w:val="en-US" w:eastAsia="zh-CN"/>
        </w:rPr>
        <w:t>6.未尽事宜，由双方协商一致，并报经采购人院长办公会审议通过后，可另行签订补充协议。补充协议与本文具有同等法律效力。其他未列明事项，由甲乙双方在采购合同中进一步详细约定。</w:t>
      </w:r>
    </w:p>
    <w:p w14:paraId="5FA33BFA">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1" w:fontKey="{66A0E0CF-2E00-4A2A-88B0-EA392B742C03}"/>
  </w:font>
  <w:font w:name="方正小标宋_GBK">
    <w:panose1 w:val="03000509000000000000"/>
    <w:charset w:val="86"/>
    <w:family w:val="auto"/>
    <w:pitch w:val="default"/>
    <w:sig w:usb0="00000001" w:usb1="080E0000" w:usb2="00000000" w:usb3="00000000" w:csb0="00040000" w:csb1="00000000"/>
    <w:embedRegular r:id="rId2" w:fontKey="{50F2C6A8-1C89-4968-BD0B-0CCC27CC9744}"/>
  </w:font>
  <w:font w:name="方正黑体_GBK">
    <w:panose1 w:val="03000509000000000000"/>
    <w:charset w:val="86"/>
    <w:family w:val="auto"/>
    <w:pitch w:val="default"/>
    <w:sig w:usb0="00000001" w:usb1="080E0000" w:usb2="00000000" w:usb3="00000000" w:csb0="00040000" w:csb1="00000000"/>
    <w:embedRegular r:id="rId3" w:fontKey="{BFC31F9A-12C3-4395-AD2C-5865A8F76D07}"/>
  </w:font>
  <w:font w:name="方正仿宋_GB2312">
    <w:panose1 w:val="02000000000000000000"/>
    <w:charset w:val="86"/>
    <w:family w:val="auto"/>
    <w:pitch w:val="default"/>
    <w:sig w:usb0="A00002BF" w:usb1="184F6CFA" w:usb2="00000012" w:usb3="00000000" w:csb0="00040001" w:csb1="00000000"/>
    <w:embedRegular r:id="rId4" w:fontKey="{82BE8A17-CC96-41E1-95DF-0F91AD0CBD9A}"/>
  </w:font>
  <w:font w:name="方正楷体_GB2312">
    <w:panose1 w:val="02000000000000000000"/>
    <w:charset w:val="86"/>
    <w:family w:val="auto"/>
    <w:pitch w:val="default"/>
    <w:sig w:usb0="A00002BF" w:usb1="184F6CFA" w:usb2="00000012" w:usb3="00000000" w:csb0="00040001" w:csb1="00000000"/>
    <w:embedRegular r:id="rId5" w:fontKey="{B706D045-93FE-4A98-BDDC-1A2BA66306E4}"/>
  </w:font>
  <w:font w:name="Segoe UI">
    <w:panose1 w:val="020B0502040204020203"/>
    <w:charset w:val="00"/>
    <w:family w:val="auto"/>
    <w:pitch w:val="default"/>
    <w:sig w:usb0="E4002EFF" w:usb1="C000E47F" w:usb2="00000009" w:usb3="00000000" w:csb0="200001FF" w:csb1="00000000"/>
    <w:embedRegular r:id="rId6" w:fontKey="{C3120120-E124-4F7E-8BF2-8C7D2B94FAA8}"/>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D5E8E">
    <w:pPr>
      <w:pStyle w:val="5"/>
      <w:jc w:val="center"/>
      <w:rPr>
        <w:rFonts w:hint="eastAsia" w:ascii="宋体" w:hAnsi="宋体"/>
        <w:sz w:val="21"/>
        <w:szCs w:val="21"/>
      </w:rPr>
    </w:pPr>
    <w:r>
      <w:rPr>
        <w:rFonts w:ascii="宋体" w:hAnsi="宋体"/>
        <w:sz w:val="21"/>
        <w:szCs w:val="21"/>
      </w:rPr>
      <w:fldChar w:fldCharType="begin"/>
    </w:r>
    <w:r>
      <w:rPr>
        <w:rStyle w:val="11"/>
        <w:rFonts w:ascii="宋体" w:hAnsi="宋体"/>
        <w:sz w:val="21"/>
        <w:szCs w:val="21"/>
      </w:rPr>
      <w:instrText xml:space="preserve"> PAGE </w:instrText>
    </w:r>
    <w:r>
      <w:rPr>
        <w:rFonts w:ascii="宋体" w:hAnsi="宋体"/>
        <w:sz w:val="21"/>
        <w:szCs w:val="21"/>
      </w:rPr>
      <w:fldChar w:fldCharType="separate"/>
    </w:r>
    <w:r>
      <w:rPr>
        <w:rStyle w:val="11"/>
        <w:rFonts w:ascii="宋体" w:hAnsi="宋体"/>
        <w:sz w:val="21"/>
        <w:szCs w:val="21"/>
      </w:rPr>
      <w:t>- 11 -</w:t>
    </w:r>
    <w:r>
      <w:rPr>
        <w:rFonts w:ascii="宋体" w:hAnsi="宋体"/>
        <w:sz w:val="21"/>
        <w:szCs w:val="21"/>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C3E0F6"/>
    <w:multiLevelType w:val="singleLevel"/>
    <w:tmpl w:val="ADC3E0F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59637B"/>
    <w:rsid w:val="096A5E1D"/>
    <w:rsid w:val="3C59637B"/>
    <w:rsid w:val="74217754"/>
    <w:rsid w:val="7BC32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tabs>
        <w:tab w:val="left" w:pos="3360"/>
      </w:tabs>
      <w:snapToGrid w:val="0"/>
      <w:spacing w:before="312" w:beforeLines="100" w:beforeAutospacing="0" w:after="156" w:afterLines="50" w:afterAutospacing="0" w:line="800" w:lineRule="atLeast"/>
      <w:jc w:val="center"/>
      <w:outlineLvl w:val="0"/>
    </w:pPr>
    <w:rPr>
      <w:rFonts w:eastAsia="黑体"/>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Indent 2"/>
    <w:basedOn w:val="1"/>
    <w:qFormat/>
    <w:uiPriority w:val="0"/>
    <w:pPr>
      <w:snapToGrid w:val="0"/>
      <w:spacing w:line="560" w:lineRule="atLeast"/>
      <w:ind w:firstLine="540"/>
    </w:p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索引 51"/>
    <w:basedOn w:val="1"/>
    <w:next w:val="1"/>
    <w:qFormat/>
    <w:uiPriority w:val="0"/>
    <w:pPr>
      <w:ind w:left="1680"/>
    </w:pPr>
  </w:style>
  <w:style w:type="paragraph" w:styleId="7">
    <w:name w:val="Normal (Web)"/>
    <w:basedOn w:val="1"/>
    <w:qFormat/>
    <w:uiPriority w:val="0"/>
    <w:rPr>
      <w:sz w:val="24"/>
    </w:rPr>
  </w:style>
  <w:style w:type="character" w:styleId="10">
    <w:name w:val="Strong"/>
    <w:basedOn w:val="9"/>
    <w:qFormat/>
    <w:uiPriority w:val="0"/>
    <w:rPr>
      <w:b/>
    </w:rPr>
  </w:style>
  <w:style w:type="character" w:styleId="11">
    <w:name w:val="page number"/>
    <w:qFormat/>
    <w:uiPriority w:val="0"/>
  </w:style>
  <w:style w:type="character" w:customStyle="1" w:styleId="12">
    <w:name w:val="font6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7818</Words>
  <Characters>7970</Characters>
  <Lines>0</Lines>
  <Paragraphs>0</Paragraphs>
  <TotalTime>0</TotalTime>
  <ScaleCrop>false</ScaleCrop>
  <LinksUpToDate>false</LinksUpToDate>
  <CharactersWithSpaces>7980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2026-01-12T01:25:00Z</dcterms:created>
  <dc:creator>文文</dc:creator>
  <cp:lastModifiedBy>文文</cp:lastModifiedBy>
  <dcterms:modified xsi:type="dcterms:W3CDTF">2026-01-12T02:42:38Z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E14F73A4B6D249599DB244A29A776A0C_11</vt:lpwstr>
  </property>
  <property fmtid="{D5CDD505-2E9C-101B-9397-08002B2CF9AE}" pid="4" name="KSOTemplateDocerSaveRecord">
    <vt:lpwstr>eyJoZGlkIjoiYmEwYWQ3NjQ5N2U4ZWY1YjUwMTI1MGVjNTQ2YjM0NTIiLCJ1c2VySWQiOiIxNDMzNjE4NSJ9</vt:lpwstr>
  </property>
</Properties>
</file>