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5151C1">
      <w:pPr>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重庆市垫江县中医院</w:t>
      </w:r>
    </w:p>
    <w:p w14:paraId="53E99CBF">
      <w:pPr>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lang w:eastAsia="zh-CN"/>
        </w:rPr>
        <w:t>院感系统</w:t>
      </w:r>
      <w:r>
        <w:rPr>
          <w:rFonts w:hint="eastAsia" w:ascii="方正小标宋_GBK" w:hAnsi="方正小标宋_GBK" w:eastAsia="方正小标宋_GBK" w:cs="方正小标宋_GBK"/>
          <w:bCs/>
          <w:sz w:val="44"/>
          <w:szCs w:val="44"/>
        </w:rPr>
        <w:t>市场调查</w:t>
      </w:r>
    </w:p>
    <w:p w14:paraId="2494A2FE">
      <w:pPr>
        <w:jc w:val="left"/>
        <w:rPr>
          <w:rFonts w:ascii="Times New Roman" w:hAnsi="Times New Roman" w:eastAsia="方正仿宋_GBK" w:cs="Times New Roman"/>
          <w:sz w:val="32"/>
          <w:szCs w:val="32"/>
        </w:rPr>
      </w:pPr>
      <w:r>
        <w:rPr>
          <w:rFonts w:hint="eastAsia" w:ascii="方正仿宋_GBK" w:hAnsi="方正仿宋_GBK" w:eastAsia="方正仿宋_GBK" w:cs="方正仿宋_GBK"/>
          <w:sz w:val="32"/>
          <w:szCs w:val="32"/>
        </w:rPr>
        <w:t>各潜在</w:t>
      </w:r>
      <w:r>
        <w:rPr>
          <w:rFonts w:ascii="Times New Roman" w:hAnsi="Times New Roman" w:eastAsia="方正仿宋_GBK" w:cs="Times New Roman"/>
          <w:sz w:val="32"/>
          <w:szCs w:val="32"/>
        </w:rPr>
        <w:t>供应商：</w:t>
      </w:r>
    </w:p>
    <w:p w14:paraId="408391A4">
      <w:pPr>
        <w:ind w:firstLine="54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我院</w:t>
      </w:r>
      <w:r>
        <w:rPr>
          <w:rFonts w:hint="eastAsia" w:ascii="Times New Roman" w:hAnsi="Times New Roman" w:eastAsia="方正仿宋_GBK" w:cs="Times New Roman"/>
          <w:sz w:val="32"/>
          <w:szCs w:val="32"/>
        </w:rPr>
        <w:t>开展</w:t>
      </w:r>
      <w:r>
        <w:rPr>
          <w:rFonts w:hint="eastAsia" w:ascii="Times New Roman" w:hAnsi="Times New Roman" w:eastAsia="方正仿宋_GBK" w:cs="Times New Roman"/>
          <w:sz w:val="32"/>
          <w:szCs w:val="32"/>
          <w:lang w:eastAsia="zh-CN"/>
        </w:rPr>
        <w:t>院感系统</w:t>
      </w:r>
      <w:r>
        <w:rPr>
          <w:rFonts w:hint="eastAsia" w:ascii="Times New Roman" w:hAnsi="Times New Roman" w:eastAsia="方正仿宋_GBK" w:cs="Times New Roman"/>
          <w:sz w:val="32"/>
          <w:szCs w:val="32"/>
        </w:rPr>
        <w:t>市场调查</w:t>
      </w:r>
      <w:r>
        <w:rPr>
          <w:rFonts w:ascii="Times New Roman" w:hAnsi="Times New Roman" w:eastAsia="方正仿宋_GBK" w:cs="Times New Roman"/>
          <w:sz w:val="32"/>
          <w:szCs w:val="32"/>
        </w:rPr>
        <w:t>，欢迎具有合格资质的供应商前来参与。</w:t>
      </w:r>
    </w:p>
    <w:p w14:paraId="49405CC9">
      <w:pPr>
        <w:ind w:firstLine="640" w:firstLineChars="20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1.资料收集提交时间： 202</w:t>
      </w:r>
      <w:r>
        <w:rPr>
          <w:rFonts w:hint="eastAsia" w:ascii="Times New Roman" w:hAnsi="Times New Roman" w:eastAsia="方正仿宋_GBK" w:cs="Times New Roman"/>
          <w:kern w:val="0"/>
          <w:sz w:val="32"/>
          <w:szCs w:val="32"/>
          <w:lang w:val="en-US" w:eastAsia="zh-CN"/>
        </w:rPr>
        <w:t>5</w:t>
      </w:r>
      <w:r>
        <w:rPr>
          <w:rFonts w:ascii="Times New Roman" w:hAnsi="Times New Roman" w:eastAsia="方正仿宋_GBK" w:cs="Times New Roman"/>
          <w:kern w:val="0"/>
          <w:sz w:val="32"/>
          <w:szCs w:val="32"/>
        </w:rPr>
        <w:t>年</w:t>
      </w:r>
      <w:r>
        <w:rPr>
          <w:rFonts w:hint="eastAsia" w:ascii="Times New Roman" w:hAnsi="Times New Roman" w:eastAsia="方正仿宋_GBK" w:cs="Times New Roman"/>
          <w:kern w:val="0"/>
          <w:sz w:val="32"/>
          <w:szCs w:val="32"/>
          <w:lang w:val="en-US" w:eastAsia="zh-CN"/>
        </w:rPr>
        <w:t>4</w:t>
      </w:r>
      <w:r>
        <w:rPr>
          <w:rFonts w:ascii="Times New Roman" w:hAnsi="Times New Roman" w:eastAsia="方正仿宋_GBK" w:cs="Times New Roman"/>
          <w:kern w:val="0"/>
          <w:sz w:val="32"/>
          <w:szCs w:val="32"/>
        </w:rPr>
        <w:t>月</w:t>
      </w:r>
      <w:r>
        <w:rPr>
          <w:rFonts w:hint="eastAsia" w:ascii="Times New Roman" w:hAnsi="Times New Roman" w:eastAsia="方正仿宋_GBK" w:cs="Times New Roman"/>
          <w:kern w:val="0"/>
          <w:sz w:val="32"/>
          <w:szCs w:val="32"/>
          <w:lang w:val="en-US" w:eastAsia="zh-CN"/>
        </w:rPr>
        <w:t>24</w:t>
      </w:r>
      <w:r>
        <w:rPr>
          <w:rFonts w:ascii="Times New Roman" w:hAnsi="Times New Roman" w:eastAsia="方正仿宋_GBK" w:cs="Times New Roman"/>
          <w:kern w:val="0"/>
          <w:sz w:val="32"/>
          <w:szCs w:val="32"/>
        </w:rPr>
        <w:t>日——</w:t>
      </w:r>
      <w:r>
        <w:rPr>
          <w:rFonts w:hint="eastAsia" w:ascii="Times New Roman" w:hAnsi="Times New Roman" w:eastAsia="方正仿宋_GBK" w:cs="Times New Roman"/>
          <w:kern w:val="0"/>
          <w:sz w:val="32"/>
          <w:szCs w:val="32"/>
        </w:rPr>
        <w:t>202</w:t>
      </w:r>
      <w:r>
        <w:rPr>
          <w:rFonts w:hint="eastAsia" w:ascii="Times New Roman" w:hAnsi="Times New Roman" w:eastAsia="方正仿宋_GBK" w:cs="Times New Roman"/>
          <w:kern w:val="0"/>
          <w:sz w:val="32"/>
          <w:szCs w:val="32"/>
          <w:lang w:val="en-US" w:eastAsia="zh-CN"/>
        </w:rPr>
        <w:t>5</w:t>
      </w:r>
      <w:r>
        <w:rPr>
          <w:rFonts w:hint="eastAsia" w:ascii="Times New Roman" w:hAnsi="Times New Roman" w:eastAsia="方正仿宋_GBK" w:cs="Times New Roman"/>
          <w:kern w:val="0"/>
          <w:sz w:val="32"/>
          <w:szCs w:val="32"/>
        </w:rPr>
        <w:t>年</w:t>
      </w:r>
      <w:r>
        <w:rPr>
          <w:rFonts w:hint="eastAsia" w:ascii="Times New Roman" w:hAnsi="Times New Roman" w:eastAsia="方正仿宋_GBK" w:cs="Times New Roman"/>
          <w:kern w:val="0"/>
          <w:sz w:val="32"/>
          <w:szCs w:val="32"/>
          <w:lang w:val="en-US" w:eastAsia="zh-CN"/>
        </w:rPr>
        <w:t>4</w:t>
      </w:r>
      <w:r>
        <w:rPr>
          <w:rFonts w:hint="eastAsia" w:ascii="Times New Roman" w:hAnsi="Times New Roman" w:eastAsia="方正仿宋_GBK" w:cs="Times New Roman"/>
          <w:kern w:val="0"/>
          <w:sz w:val="32"/>
          <w:szCs w:val="32"/>
        </w:rPr>
        <w:t>月2</w:t>
      </w:r>
      <w:r>
        <w:rPr>
          <w:rFonts w:hint="eastAsia" w:ascii="Times New Roman" w:hAnsi="Times New Roman" w:eastAsia="方正仿宋_GBK" w:cs="Times New Roman"/>
          <w:kern w:val="0"/>
          <w:sz w:val="32"/>
          <w:szCs w:val="32"/>
          <w:lang w:val="en-US" w:eastAsia="zh-CN"/>
        </w:rPr>
        <w:t>9</w:t>
      </w:r>
      <w:r>
        <w:rPr>
          <w:rFonts w:hint="eastAsia" w:ascii="Times New Roman" w:hAnsi="Times New Roman" w:eastAsia="方正仿宋_GBK" w:cs="Times New Roman"/>
          <w:kern w:val="0"/>
          <w:sz w:val="32"/>
          <w:szCs w:val="32"/>
        </w:rPr>
        <w:t>日</w:t>
      </w:r>
    </w:p>
    <w:p w14:paraId="79A46210">
      <w:pPr>
        <w:ind w:firstLine="640" w:firstLineChars="20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2.请提供单位营业执照复印件、报价表（参照需求描述及附件加盖公章）。</w:t>
      </w:r>
    </w:p>
    <w:p w14:paraId="2E16419C">
      <w:pPr>
        <w:ind w:firstLine="640" w:firstLineChars="2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3.报送方式：在规定时限内填写</w:t>
      </w:r>
      <w:r>
        <w:rPr>
          <w:rFonts w:ascii="Times New Roman" w:hAnsi="Times New Roman" w:eastAsia="方正仿宋_GBK" w:cs="Times New Roman"/>
          <w:kern w:val="0"/>
          <w:sz w:val="32"/>
          <w:szCs w:val="32"/>
        </w:rPr>
        <w:t>附</w:t>
      </w:r>
      <w:r>
        <w:rPr>
          <w:rFonts w:ascii="Times New Roman" w:hAnsi="Times New Roman" w:eastAsia="方正仿宋_GBK" w:cs="Times New Roman"/>
          <w:sz w:val="32"/>
          <w:szCs w:val="32"/>
        </w:rPr>
        <w:t>件</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院感系统</w:t>
      </w:r>
      <w:r>
        <w:rPr>
          <w:rFonts w:hint="eastAsia" w:ascii="Times New Roman" w:hAnsi="Times New Roman" w:eastAsia="方正仿宋_GBK" w:cs="Times New Roman"/>
          <w:sz w:val="32"/>
          <w:szCs w:val="32"/>
        </w:rPr>
        <w:t>市场调查</w:t>
      </w:r>
      <w:r>
        <w:rPr>
          <w:rFonts w:hint="eastAsia" w:ascii="Times New Roman" w:hAnsi="Times New Roman" w:eastAsia="方正仿宋_GBK" w:cs="Times New Roman"/>
          <w:kern w:val="0"/>
          <w:sz w:val="32"/>
          <w:szCs w:val="32"/>
        </w:rPr>
        <w:t>》并按报送清单要求将产品相关材料打包上传至“行采家”平台（https://www.gec123.com）。上传文件名称为“报送单位名称”。</w:t>
      </w:r>
    </w:p>
    <w:p w14:paraId="6B1F3122">
      <w:pPr>
        <w:ind w:firstLine="640" w:firstLineChars="2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4.联系电话：023-74573120</w:t>
      </w:r>
    </w:p>
    <w:p w14:paraId="72F3C403">
      <w:pPr>
        <w:ind w:firstLine="640" w:firstLineChars="2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5.附件《</w:t>
      </w:r>
      <w:r>
        <w:rPr>
          <w:rFonts w:hint="eastAsia" w:ascii="Times New Roman" w:hAnsi="Times New Roman" w:eastAsia="方正仿宋_GBK" w:cs="Times New Roman"/>
          <w:sz w:val="32"/>
          <w:szCs w:val="32"/>
          <w:lang w:eastAsia="zh-CN"/>
        </w:rPr>
        <w:t>院感系统</w:t>
      </w:r>
      <w:r>
        <w:rPr>
          <w:rFonts w:hint="eastAsia" w:ascii="Times New Roman" w:hAnsi="Times New Roman" w:eastAsia="方正仿宋_GBK" w:cs="Times New Roman"/>
          <w:sz w:val="32"/>
          <w:szCs w:val="32"/>
        </w:rPr>
        <w:t>市场调查</w:t>
      </w:r>
      <w:r>
        <w:rPr>
          <w:rFonts w:hint="eastAsia" w:ascii="Times New Roman" w:hAnsi="Times New Roman" w:eastAsia="方正仿宋_GBK" w:cs="Times New Roman"/>
          <w:kern w:val="0"/>
          <w:sz w:val="32"/>
          <w:szCs w:val="32"/>
        </w:rPr>
        <w:t>》需加盖公章扫描件</w:t>
      </w:r>
      <w:r>
        <w:rPr>
          <w:rFonts w:ascii="Times New Roman" w:hAnsi="Times New Roman" w:eastAsia="方正仿宋_GBK" w:cs="Times New Roman"/>
          <w:kern w:val="0"/>
          <w:sz w:val="32"/>
          <w:szCs w:val="32"/>
        </w:rPr>
        <w:t>1</w:t>
      </w:r>
      <w:r>
        <w:rPr>
          <w:rFonts w:hint="eastAsia" w:ascii="Times New Roman" w:hAnsi="Times New Roman" w:eastAsia="方正仿宋_GBK" w:cs="Times New Roman"/>
          <w:kern w:val="0"/>
          <w:sz w:val="32"/>
          <w:szCs w:val="32"/>
        </w:rPr>
        <w:t>套，以及可编辑的</w:t>
      </w:r>
      <w:r>
        <w:rPr>
          <w:rFonts w:ascii="Times New Roman" w:hAnsi="Times New Roman" w:eastAsia="方正仿宋_GBK" w:cs="Times New Roman"/>
          <w:kern w:val="0"/>
          <w:sz w:val="32"/>
          <w:szCs w:val="32"/>
        </w:rPr>
        <w:t>word</w:t>
      </w:r>
      <w:r>
        <w:rPr>
          <w:rFonts w:hint="eastAsia" w:ascii="Times New Roman" w:hAnsi="Times New Roman" w:eastAsia="方正仿宋_GBK" w:cs="Times New Roman"/>
          <w:kern w:val="0"/>
          <w:sz w:val="32"/>
          <w:szCs w:val="32"/>
        </w:rPr>
        <w:t>或</w:t>
      </w:r>
      <w:r>
        <w:rPr>
          <w:rFonts w:ascii="Times New Roman" w:hAnsi="Times New Roman" w:eastAsia="方正仿宋_GBK" w:cs="Times New Roman"/>
          <w:kern w:val="0"/>
          <w:sz w:val="32"/>
          <w:szCs w:val="32"/>
        </w:rPr>
        <w:t>excel</w:t>
      </w:r>
      <w:r>
        <w:rPr>
          <w:rFonts w:hint="eastAsia" w:ascii="Times New Roman" w:hAnsi="Times New Roman" w:eastAsia="方正仿宋_GBK" w:cs="Times New Roman"/>
          <w:kern w:val="0"/>
          <w:sz w:val="32"/>
          <w:szCs w:val="32"/>
        </w:rPr>
        <w:t>文件</w:t>
      </w:r>
      <w:r>
        <w:rPr>
          <w:rFonts w:ascii="Times New Roman" w:hAnsi="Times New Roman" w:eastAsia="方正仿宋_GBK" w:cs="Times New Roman"/>
          <w:kern w:val="0"/>
          <w:sz w:val="32"/>
          <w:szCs w:val="32"/>
        </w:rPr>
        <w:t>1</w:t>
      </w:r>
      <w:r>
        <w:rPr>
          <w:rFonts w:hint="eastAsia" w:ascii="Times New Roman" w:hAnsi="Times New Roman" w:eastAsia="方正仿宋_GBK" w:cs="Times New Roman"/>
          <w:kern w:val="0"/>
          <w:sz w:val="32"/>
          <w:szCs w:val="32"/>
        </w:rPr>
        <w:t>套，</w:t>
      </w:r>
      <w:r>
        <w:rPr>
          <w:rFonts w:ascii="Times New Roman" w:hAnsi="Times New Roman" w:eastAsia="方正仿宋_GBK" w:cs="Times New Roman"/>
          <w:kern w:val="0"/>
          <w:sz w:val="32"/>
          <w:szCs w:val="32"/>
        </w:rPr>
        <w:t>2</w:t>
      </w:r>
      <w:r>
        <w:rPr>
          <w:rFonts w:hint="eastAsia" w:ascii="Times New Roman" w:hAnsi="Times New Roman" w:eastAsia="方正仿宋_GBK" w:cs="Times New Roman"/>
          <w:kern w:val="0"/>
          <w:sz w:val="32"/>
          <w:szCs w:val="32"/>
        </w:rPr>
        <w:t>套文件内容应保持一致。</w:t>
      </w:r>
    </w:p>
    <w:p w14:paraId="0011E5BD">
      <w:pPr>
        <w:spacing w:line="560" w:lineRule="exact"/>
        <w:ind w:firstLine="560" w:firstLineChars="200"/>
        <w:rPr>
          <w:rFonts w:ascii="Times New Roman" w:hAnsi="Times New Roman" w:eastAsia="方正仿宋_GBK" w:cs="Times New Roman"/>
          <w:sz w:val="32"/>
          <w:szCs w:val="32"/>
        </w:rPr>
      </w:pPr>
      <w:r>
        <w:rPr>
          <w:rFonts w:ascii="Times New Roman" w:hAnsi="Times New Roman" w:eastAsia="方正仿宋_GBK" w:cs="Times New Roman"/>
          <w:sz w:val="28"/>
          <w:szCs w:val="28"/>
        </w:rPr>
        <w:t>特别提醒：本次市场</w:t>
      </w:r>
      <w:r>
        <w:rPr>
          <w:rFonts w:hint="eastAsia" w:ascii="Times New Roman" w:hAnsi="Times New Roman" w:eastAsia="方正仿宋_GBK" w:cs="Times New Roman"/>
          <w:sz w:val="28"/>
          <w:szCs w:val="28"/>
        </w:rPr>
        <w:t>调查</w:t>
      </w:r>
      <w:r>
        <w:rPr>
          <w:rFonts w:ascii="Times New Roman" w:hAnsi="Times New Roman" w:eastAsia="方正仿宋_GBK" w:cs="Times New Roman"/>
          <w:sz w:val="28"/>
          <w:szCs w:val="28"/>
        </w:rPr>
        <w:t>不是正式采购活动，具体采购项目情况以最终发布的采购公告和采购文件为准。</w:t>
      </w:r>
      <w:bookmarkStart w:id="0" w:name="_GoBack"/>
      <w:bookmarkEnd w:id="0"/>
    </w:p>
    <w:p w14:paraId="5744E033">
      <w:pPr>
        <w:ind w:firstLine="540"/>
        <w:jc w:val="left"/>
        <w:rPr>
          <w:rFonts w:ascii="Times New Roman" w:hAnsi="Times New Roman" w:eastAsia="方正仿宋_GBK" w:cs="Times New Roman"/>
          <w:sz w:val="32"/>
          <w:szCs w:val="32"/>
        </w:rPr>
      </w:pPr>
      <w:r>
        <w:rPr>
          <w:rFonts w:hint="eastAsia" w:ascii="方正仿宋_GBK" w:hAnsi="方正仿宋_GBK" w:eastAsia="方正仿宋_GBK" w:cs="方正仿宋_GBK"/>
          <w:sz w:val="32"/>
          <w:szCs w:val="32"/>
        </w:rPr>
        <w:t xml:space="preserve">                          </w:t>
      </w:r>
      <w:r>
        <w:rPr>
          <w:rFonts w:ascii="Times New Roman" w:hAnsi="Times New Roman" w:eastAsia="方正仿宋_GBK" w:cs="Times New Roman"/>
          <w:sz w:val="32"/>
          <w:szCs w:val="32"/>
        </w:rPr>
        <w:t xml:space="preserve">   重庆市</w:t>
      </w:r>
      <w:r>
        <w:rPr>
          <w:rFonts w:hint="eastAsia" w:ascii="Times New Roman" w:hAnsi="Times New Roman" w:eastAsia="方正仿宋_GBK" w:cs="Times New Roman"/>
          <w:sz w:val="32"/>
          <w:szCs w:val="32"/>
        </w:rPr>
        <w:t>垫江县</w:t>
      </w:r>
      <w:r>
        <w:rPr>
          <w:rFonts w:ascii="Times New Roman" w:hAnsi="Times New Roman" w:eastAsia="方正仿宋_GBK" w:cs="Times New Roman"/>
          <w:sz w:val="32"/>
          <w:szCs w:val="32"/>
        </w:rPr>
        <w:t>中医院</w:t>
      </w:r>
    </w:p>
    <w:p w14:paraId="5ED51849">
      <w:pPr>
        <w:ind w:firstLine="540"/>
        <w:jc w:val="left"/>
        <w:rPr>
          <w:rFonts w:ascii="方正小标宋_GBK" w:hAnsi="方正小标宋_GBK" w:eastAsia="方正小标宋_GBK" w:cs="方正小标宋_GBK"/>
          <w:b/>
          <w:bCs/>
          <w:sz w:val="36"/>
          <w:szCs w:val="36"/>
        </w:rPr>
      </w:pPr>
      <w:r>
        <w:rPr>
          <w:rFonts w:ascii="Times New Roman" w:hAnsi="Times New Roman" w:eastAsia="方正仿宋_GBK" w:cs="Times New Roman"/>
          <w:sz w:val="32"/>
          <w:szCs w:val="32"/>
        </w:rPr>
        <w:t xml:space="preserve">                              202</w:t>
      </w:r>
      <w:r>
        <w:rPr>
          <w:rFonts w:hint="eastAsia" w:ascii="Times New Roman" w:hAnsi="Times New Roman" w:eastAsia="方正仿宋_GBK" w:cs="Times New Roman"/>
          <w:sz w:val="32"/>
          <w:szCs w:val="32"/>
          <w:lang w:val="en-US" w:eastAsia="zh-CN"/>
        </w:rPr>
        <w:t>5</w:t>
      </w:r>
      <w:r>
        <w:rPr>
          <w:rFonts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4</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29</w:t>
      </w:r>
      <w:r>
        <w:rPr>
          <w:rFonts w:ascii="Times New Roman" w:hAnsi="Times New Roman" w:eastAsia="方正仿宋_GBK" w:cs="Times New Roman"/>
          <w:sz w:val="32"/>
          <w:szCs w:val="32"/>
        </w:rPr>
        <w:t>日</w:t>
      </w:r>
      <w:r>
        <w:rPr>
          <w:rFonts w:ascii="方正小标宋_GBK" w:hAnsi="方正小标宋_GBK" w:eastAsia="方正小标宋_GBK" w:cs="方正小标宋_GBK"/>
          <w:b/>
          <w:bCs/>
          <w:sz w:val="36"/>
          <w:szCs w:val="36"/>
        </w:rPr>
        <w:br w:type="page"/>
      </w:r>
    </w:p>
    <w:p w14:paraId="29D865FA">
      <w:pPr>
        <w:pStyle w:val="13"/>
        <w:rPr>
          <w:rFonts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rPr>
        <w:t>技术要求</w:t>
      </w:r>
    </w:p>
    <w:tbl>
      <w:tblPr>
        <w:tblStyle w:val="15"/>
        <w:tblW w:w="8653" w:type="dxa"/>
        <w:tblInd w:w="-184" w:type="dxa"/>
        <w:tblLayout w:type="autofit"/>
        <w:tblCellMar>
          <w:top w:w="0" w:type="dxa"/>
          <w:left w:w="108" w:type="dxa"/>
          <w:bottom w:w="0" w:type="dxa"/>
          <w:right w:w="108" w:type="dxa"/>
        </w:tblCellMar>
      </w:tblPr>
      <w:tblGrid>
        <w:gridCol w:w="715"/>
        <w:gridCol w:w="1134"/>
        <w:gridCol w:w="6095"/>
        <w:gridCol w:w="709"/>
      </w:tblGrid>
      <w:tr w14:paraId="20614142">
        <w:tblPrEx>
          <w:tblCellMar>
            <w:top w:w="0" w:type="dxa"/>
            <w:left w:w="108" w:type="dxa"/>
            <w:bottom w:w="0" w:type="dxa"/>
            <w:right w:w="108" w:type="dxa"/>
          </w:tblCellMar>
        </w:tblPrEx>
        <w:trPr>
          <w:trHeight w:val="4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BD7379">
            <w:pPr>
              <w:widowControl/>
              <w:jc w:val="center"/>
              <w:rPr>
                <w:rFonts w:ascii="方正仿宋_GBK" w:hAnsi="宋体" w:eastAsia="方正仿宋_GBK" w:cs="宋体"/>
                <w:b/>
                <w:bCs/>
                <w:color w:val="FF0000"/>
                <w:kern w:val="0"/>
                <w:szCs w:val="21"/>
              </w:rPr>
            </w:pPr>
            <w:r>
              <w:rPr>
                <w:rFonts w:hint="eastAsia" w:ascii="方正仿宋_GBK" w:hAnsi="宋体" w:eastAsia="方正仿宋_GBK" w:cs="宋体"/>
                <w:b/>
                <w:bCs/>
                <w:color w:val="FF0000"/>
                <w:kern w:val="0"/>
                <w:szCs w:val="21"/>
              </w:rPr>
              <w:t>序号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53EF68CF">
            <w:pPr>
              <w:widowControl/>
              <w:jc w:val="center"/>
              <w:rPr>
                <w:rFonts w:ascii="方正仿宋_GBK" w:hAnsi="宋体" w:eastAsia="方正仿宋_GBK" w:cs="宋体"/>
                <w:b/>
                <w:bCs/>
                <w:color w:val="FF0000"/>
                <w:kern w:val="0"/>
                <w:szCs w:val="21"/>
              </w:rPr>
            </w:pPr>
            <w:r>
              <w:rPr>
                <w:rFonts w:hint="eastAsia" w:ascii="方正仿宋_GBK" w:hAnsi="宋体" w:eastAsia="方正仿宋_GBK" w:cs="宋体"/>
                <w:b/>
                <w:bCs/>
                <w:color w:val="FF0000"/>
                <w:kern w:val="0"/>
                <w:szCs w:val="21"/>
                <w:lang w:val="en-US" w:eastAsia="zh-CN"/>
              </w:rPr>
              <w:t>模块</w:t>
            </w:r>
            <w:r>
              <w:rPr>
                <w:rFonts w:hint="eastAsia" w:ascii="方正仿宋_GBK" w:hAnsi="宋体" w:eastAsia="方正仿宋_GBK" w:cs="宋体"/>
                <w:b/>
                <w:bCs/>
                <w:color w:val="FF0000"/>
                <w:kern w:val="0"/>
                <w:szCs w:val="21"/>
              </w:rPr>
              <w:t>名称</w:t>
            </w:r>
          </w:p>
        </w:tc>
        <w:tc>
          <w:tcPr>
            <w:tcW w:w="6095" w:type="dxa"/>
            <w:tcBorders>
              <w:top w:val="single" w:color="auto" w:sz="4" w:space="0"/>
              <w:left w:val="nil"/>
              <w:bottom w:val="single" w:color="auto" w:sz="4" w:space="0"/>
              <w:right w:val="single" w:color="auto" w:sz="4" w:space="0"/>
            </w:tcBorders>
            <w:shd w:val="clear" w:color="auto" w:fill="auto"/>
            <w:vAlign w:val="center"/>
          </w:tcPr>
          <w:p w14:paraId="414BB31B">
            <w:pPr>
              <w:widowControl/>
              <w:jc w:val="center"/>
              <w:rPr>
                <w:rFonts w:ascii="方正仿宋_GBK" w:hAnsi="宋体" w:eastAsia="方正仿宋_GBK" w:cs="宋体"/>
                <w:b/>
                <w:bCs/>
                <w:color w:val="FF0000"/>
                <w:kern w:val="0"/>
                <w:szCs w:val="21"/>
              </w:rPr>
            </w:pPr>
            <w:r>
              <w:rPr>
                <w:rFonts w:hint="eastAsia" w:ascii="方正仿宋_GBK" w:hAnsi="宋体" w:eastAsia="方正仿宋_GBK" w:cs="宋体"/>
                <w:b/>
                <w:bCs/>
                <w:color w:val="FF0000"/>
                <w:kern w:val="0"/>
                <w:szCs w:val="21"/>
              </w:rPr>
              <w:t>技术参数</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42C3182">
            <w:pPr>
              <w:widowControl/>
              <w:jc w:val="center"/>
              <w:rPr>
                <w:rFonts w:ascii="方正仿宋_GBK" w:hAnsi="宋体" w:eastAsia="方正仿宋_GBK" w:cs="宋体"/>
                <w:b/>
                <w:bCs/>
                <w:color w:val="FF0000"/>
                <w:kern w:val="0"/>
                <w:szCs w:val="21"/>
              </w:rPr>
            </w:pPr>
            <w:r>
              <w:rPr>
                <w:rFonts w:hint="eastAsia" w:ascii="方正仿宋_GBK" w:hAnsi="宋体" w:eastAsia="方正仿宋_GBK" w:cs="宋体"/>
                <w:b/>
                <w:bCs/>
                <w:color w:val="FF0000"/>
                <w:kern w:val="0"/>
                <w:szCs w:val="21"/>
              </w:rPr>
              <w:t>数量</w:t>
            </w:r>
          </w:p>
        </w:tc>
      </w:tr>
      <w:tr w14:paraId="678C911F">
        <w:tblPrEx>
          <w:tblCellMar>
            <w:top w:w="0" w:type="dxa"/>
            <w:left w:w="108" w:type="dxa"/>
            <w:bottom w:w="0" w:type="dxa"/>
            <w:right w:w="108" w:type="dxa"/>
          </w:tblCellMar>
        </w:tblPrEx>
        <w:trPr>
          <w:trHeight w:val="2970" w:hRule="atLeast"/>
        </w:trPr>
        <w:tc>
          <w:tcPr>
            <w:tcW w:w="715" w:type="dxa"/>
            <w:tcBorders>
              <w:top w:val="nil"/>
              <w:left w:val="single" w:color="auto" w:sz="4" w:space="0"/>
              <w:bottom w:val="single" w:color="auto" w:sz="4" w:space="0"/>
              <w:right w:val="single" w:color="auto" w:sz="4" w:space="0"/>
            </w:tcBorders>
            <w:shd w:val="clear" w:color="auto" w:fill="auto"/>
            <w:noWrap/>
            <w:vAlign w:val="center"/>
          </w:tcPr>
          <w:p w14:paraId="46E0E859">
            <w:pPr>
              <w:widowControl/>
              <w:jc w:val="center"/>
              <w:rPr>
                <w:rFonts w:ascii="方正仿宋_GBK" w:hAnsi="宋体" w:eastAsia="方正仿宋_GBK" w:cs="宋体"/>
                <w:color w:val="FF0000"/>
                <w:kern w:val="0"/>
                <w:szCs w:val="21"/>
              </w:rPr>
            </w:pPr>
            <w:r>
              <w:rPr>
                <w:rFonts w:hint="eastAsia" w:ascii="方正仿宋_GBK" w:hAnsi="宋体" w:eastAsia="方正仿宋_GBK" w:cs="宋体"/>
                <w:color w:val="FF0000"/>
                <w:kern w:val="0"/>
                <w:szCs w:val="21"/>
              </w:rPr>
              <w:t>1</w:t>
            </w:r>
          </w:p>
        </w:tc>
        <w:tc>
          <w:tcPr>
            <w:tcW w:w="1134" w:type="dxa"/>
            <w:tcBorders>
              <w:top w:val="nil"/>
              <w:left w:val="nil"/>
              <w:bottom w:val="single" w:color="auto" w:sz="4" w:space="0"/>
              <w:right w:val="single" w:color="auto" w:sz="4" w:space="0"/>
            </w:tcBorders>
            <w:shd w:val="clear" w:color="auto" w:fill="auto"/>
            <w:noWrap/>
            <w:vAlign w:val="center"/>
          </w:tcPr>
          <w:p w14:paraId="403075DD">
            <w:pPr>
              <w:widowControl/>
              <w:jc w:val="left"/>
              <w:rPr>
                <w:rFonts w:hint="eastAsia" w:ascii="方正仿宋_GBK" w:hAnsi="宋体" w:eastAsia="方正仿宋_GBK" w:cs="宋体"/>
                <w:color w:val="000000" w:themeColor="text1"/>
                <w:kern w:val="0"/>
                <w:szCs w:val="21"/>
                <w:lang w:val="en-US" w:eastAsia="zh-CN"/>
                <w14:textFill>
                  <w14:solidFill>
                    <w14:schemeClr w14:val="tx1"/>
                  </w14:solidFill>
                </w14:textFill>
              </w:rPr>
            </w:pPr>
            <w:r>
              <w:rPr>
                <w:rFonts w:hint="eastAsia" w:ascii="方正仿宋_GBK" w:hAnsi="宋体" w:eastAsia="方正仿宋_GBK" w:cs="宋体"/>
                <w:color w:val="000000" w:themeColor="text1"/>
                <w:kern w:val="0"/>
                <w:szCs w:val="21"/>
                <w:lang w:val="en-US" w:eastAsia="zh-CN"/>
                <w14:textFill>
                  <w14:solidFill>
                    <w14:schemeClr w14:val="tx1"/>
                  </w14:solidFill>
                </w14:textFill>
              </w:rPr>
              <w:t>实时监测与数据采集需求</w:t>
            </w:r>
          </w:p>
        </w:tc>
        <w:tc>
          <w:tcPr>
            <w:tcW w:w="6095" w:type="dxa"/>
            <w:tcBorders>
              <w:top w:val="nil"/>
              <w:left w:val="nil"/>
              <w:bottom w:val="single" w:color="auto" w:sz="4" w:space="0"/>
              <w:right w:val="single" w:color="auto" w:sz="4" w:space="0"/>
            </w:tcBorders>
            <w:shd w:val="clear" w:color="auto" w:fill="auto"/>
            <w:vAlign w:val="center"/>
          </w:tcPr>
          <w:p w14:paraId="5EEDDB36">
            <w:pPr>
              <w:widowControl/>
              <w:jc w:val="left"/>
              <w:rPr>
                <w:rFonts w:hint="eastAsia" w:ascii="方正仿宋_GBK" w:hAnsi="宋体" w:eastAsia="方正仿宋_GBK" w:cs="宋体"/>
                <w:color w:val="000000" w:themeColor="text1"/>
                <w:kern w:val="0"/>
                <w:szCs w:val="21"/>
                <w:lang w:val="en-US" w:eastAsia="zh-CN"/>
                <w14:textFill>
                  <w14:solidFill>
                    <w14:schemeClr w14:val="tx1"/>
                  </w14:solidFill>
                </w14:textFill>
              </w:rPr>
            </w:pPr>
            <w:r>
              <w:rPr>
                <w:rFonts w:hint="eastAsia" w:ascii="方正仿宋_GBK" w:hAnsi="宋体" w:eastAsia="方正仿宋_GBK" w:cs="宋体"/>
                <w:color w:val="000000" w:themeColor="text1"/>
                <w:kern w:val="0"/>
                <w:szCs w:val="21"/>
                <w:lang w:val="en-US" w:eastAsia="zh-CN"/>
                <w14:textFill>
                  <w14:solidFill>
                    <w14:schemeClr w14:val="tx1"/>
                  </w14:solidFill>
                </w14:textFill>
              </w:rPr>
              <w:t>1、多源数据自动采集：医院感染涉及众多环节与数据类型，新的院感系统应具备强大的数据采集能力。能够自动从医院信息系统（HIS）、实验室信息管理系统（LIS）、电子病历系统（EMR）、病历系统、医嘱系统、检验系统、手麻系统、药学系统、血透系统、放射、B超等检查系统等系统等多个数据源获取患者基本信息、临床诊断数据、检验检查结果（如微生物培养结果、血常规数据等）、手术信息、抗菌药物数据以及护理记录等相关数据。通过接口对接与数据整合技术，实现数据的实时传输与自动采集，减少人工录入工作量，避免因人工操作导致的数据遗漏或错误，确保数据的及时性与准确性。</w:t>
            </w:r>
          </w:p>
          <w:p w14:paraId="7DACF560">
            <w:pPr>
              <w:widowControl/>
              <w:jc w:val="left"/>
              <w:rPr>
                <w:rFonts w:hint="eastAsia" w:ascii="方正仿宋_GBK" w:hAnsi="宋体" w:eastAsia="方正仿宋_GBK" w:cs="宋体"/>
                <w:color w:val="000000" w:themeColor="text1"/>
                <w:kern w:val="0"/>
                <w:szCs w:val="21"/>
                <w:lang w:val="en-US" w:eastAsia="zh-CN"/>
                <w14:textFill>
                  <w14:solidFill>
                    <w14:schemeClr w14:val="tx1"/>
                  </w14:solidFill>
                </w14:textFill>
              </w:rPr>
            </w:pPr>
            <w:r>
              <w:rPr>
                <w:rFonts w:hint="eastAsia" w:ascii="方正仿宋_GBK" w:hAnsi="宋体" w:eastAsia="方正仿宋_GBK" w:cs="宋体"/>
                <w:color w:val="000000" w:themeColor="text1"/>
                <w:kern w:val="0"/>
                <w:szCs w:val="21"/>
                <w:lang w:val="en-US" w:eastAsia="zh-CN"/>
                <w14:textFill>
                  <w14:solidFill>
                    <w14:schemeClr w14:val="tx1"/>
                  </w14:solidFill>
                </w14:textFill>
              </w:rPr>
              <w:t>2、重点区域实时监测：医院的重症监护病房（ICU）、手术室、新生儿病房、血液透析室等区域是院感的高风险区域，需要进行重点监测。</w:t>
            </w:r>
          </w:p>
        </w:tc>
        <w:tc>
          <w:tcPr>
            <w:tcW w:w="709" w:type="dxa"/>
            <w:tcBorders>
              <w:top w:val="nil"/>
              <w:left w:val="nil"/>
              <w:bottom w:val="single" w:color="auto" w:sz="4" w:space="0"/>
              <w:right w:val="single" w:color="auto" w:sz="4" w:space="0"/>
            </w:tcBorders>
            <w:shd w:val="clear" w:color="auto" w:fill="auto"/>
            <w:noWrap/>
            <w:vAlign w:val="center"/>
          </w:tcPr>
          <w:p w14:paraId="743949D4">
            <w:pPr>
              <w:widowControl/>
              <w:jc w:val="center"/>
              <w:rPr>
                <w:rFonts w:ascii="方正仿宋_GBK" w:hAnsi="宋体" w:eastAsia="方正仿宋_GBK" w:cs="宋体"/>
                <w:color w:val="FF0000"/>
                <w:kern w:val="0"/>
                <w:szCs w:val="21"/>
              </w:rPr>
            </w:pPr>
            <w:r>
              <w:rPr>
                <w:rFonts w:hint="eastAsia" w:ascii="方正仿宋_GBK" w:hAnsi="宋体" w:eastAsia="方正仿宋_GBK" w:cs="宋体"/>
                <w:color w:val="FF0000"/>
                <w:kern w:val="0"/>
                <w:szCs w:val="21"/>
              </w:rPr>
              <w:t>1</w:t>
            </w:r>
          </w:p>
        </w:tc>
      </w:tr>
      <w:tr w14:paraId="4A0A1403">
        <w:tblPrEx>
          <w:tblCellMar>
            <w:top w:w="0" w:type="dxa"/>
            <w:left w:w="108" w:type="dxa"/>
            <w:bottom w:w="0" w:type="dxa"/>
            <w:right w:w="108" w:type="dxa"/>
          </w:tblCellMar>
        </w:tblPrEx>
        <w:trPr>
          <w:trHeight w:val="540" w:hRule="atLeast"/>
        </w:trPr>
        <w:tc>
          <w:tcPr>
            <w:tcW w:w="715" w:type="dxa"/>
            <w:tcBorders>
              <w:top w:val="nil"/>
              <w:left w:val="single" w:color="auto" w:sz="4" w:space="0"/>
              <w:bottom w:val="single" w:color="auto" w:sz="4" w:space="0"/>
              <w:right w:val="single" w:color="auto" w:sz="4" w:space="0"/>
            </w:tcBorders>
            <w:shd w:val="clear" w:color="auto" w:fill="auto"/>
            <w:noWrap/>
            <w:vAlign w:val="center"/>
          </w:tcPr>
          <w:p w14:paraId="6A68798D">
            <w:pPr>
              <w:widowControl/>
              <w:jc w:val="center"/>
              <w:rPr>
                <w:rFonts w:ascii="方正仿宋_GBK" w:hAnsi="宋体" w:eastAsia="方正仿宋_GBK" w:cs="宋体"/>
                <w:color w:val="FF0000"/>
                <w:kern w:val="0"/>
                <w:szCs w:val="21"/>
              </w:rPr>
            </w:pPr>
            <w:r>
              <w:rPr>
                <w:rFonts w:hint="eastAsia" w:ascii="方正仿宋_GBK" w:hAnsi="宋体" w:eastAsia="方正仿宋_GBK" w:cs="宋体"/>
                <w:color w:val="FF0000"/>
                <w:kern w:val="0"/>
                <w:szCs w:val="21"/>
              </w:rPr>
              <w:t>2</w:t>
            </w:r>
          </w:p>
        </w:tc>
        <w:tc>
          <w:tcPr>
            <w:tcW w:w="1134" w:type="dxa"/>
            <w:tcBorders>
              <w:top w:val="nil"/>
              <w:left w:val="nil"/>
              <w:bottom w:val="single" w:color="auto" w:sz="4" w:space="0"/>
              <w:right w:val="single" w:color="auto" w:sz="4" w:space="0"/>
            </w:tcBorders>
            <w:shd w:val="clear" w:color="auto" w:fill="auto"/>
            <w:noWrap/>
            <w:vAlign w:val="center"/>
          </w:tcPr>
          <w:p w14:paraId="73589F0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after="0" w:line="360" w:lineRule="auto"/>
              <w:textAlignment w:val="baseline"/>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pPr>
            <w:r>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t>风险预警与分析需求</w:t>
            </w:r>
          </w:p>
          <w:p w14:paraId="45F2797D">
            <w:pPr>
              <w:widowControl/>
              <w:jc w:val="left"/>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pPr>
          </w:p>
        </w:tc>
        <w:tc>
          <w:tcPr>
            <w:tcW w:w="6095" w:type="dxa"/>
            <w:tcBorders>
              <w:top w:val="nil"/>
              <w:left w:val="nil"/>
              <w:bottom w:val="single" w:color="auto" w:sz="4" w:space="0"/>
              <w:right w:val="single" w:color="auto" w:sz="4" w:space="0"/>
            </w:tcBorders>
            <w:shd w:val="clear" w:color="auto" w:fill="auto"/>
            <w:vAlign w:val="center"/>
          </w:tcPr>
          <w:p w14:paraId="7B5F136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after="0" w:line="360" w:lineRule="auto"/>
              <w:ind w:left="0" w:leftChars="0" w:firstLine="420" w:firstLineChars="200"/>
              <w:textAlignment w:val="baseline"/>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pPr>
            <w:r>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t>1、智能化风险预警模型：构建基于大数据分析与人工智能算法的风险预警模型是院感系统的关键需求之一。系统应能够根据采集到的各类数据，运用数据挖掘技术对院感风险因素进行分析与识别。例如，通过分析患者的基础疾病、抗菌药物使用情况、侵入性操作史等数据，预测患者发生医院感染的概率；依据手术室的环境监测数据与手术相关指标，预警手术部位感染风险。当风险值超过预设阈值时，系统能够立即以弹窗向相关医护人员与院感管理人员发出预警信息，以便及时采取防控措施，降低院感发生风险。</w:t>
            </w:r>
          </w:p>
          <w:p w14:paraId="22574B0B">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after="0" w:line="360" w:lineRule="auto"/>
              <w:ind w:left="0" w:leftChars="0" w:firstLine="420" w:firstLineChars="200"/>
              <w:textAlignment w:val="baseline"/>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pPr>
            <w:r>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t>2、数据分析与报表生成：院感系统需具备强大的数据分析功能，能够对采集到的海量数据进行深度挖掘与分析。支持多维度数据分析，如按科室、病种、感染类型、时间等维度对院感数据进行统计分析，生成直观易懂的图表与报表。例如，生成各科室院感发生率趋势图、不同感染类型构成比饼图、抗菌药物使用强度分析报表等。通过数据分析，帮助管理人员了解院感发生的规律与特点，发现潜在的院感风险因素与管理漏洞，为制定针对性的防控策略与持续改进措施提供数据支持。</w:t>
            </w:r>
          </w:p>
          <w:p w14:paraId="29030196">
            <w:pPr>
              <w:widowControl/>
              <w:jc w:val="left"/>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pPr>
          </w:p>
        </w:tc>
        <w:tc>
          <w:tcPr>
            <w:tcW w:w="709" w:type="dxa"/>
            <w:tcBorders>
              <w:top w:val="nil"/>
              <w:left w:val="nil"/>
              <w:bottom w:val="single" w:color="auto" w:sz="4" w:space="0"/>
              <w:right w:val="single" w:color="auto" w:sz="4" w:space="0"/>
            </w:tcBorders>
            <w:shd w:val="clear" w:color="auto" w:fill="auto"/>
            <w:noWrap/>
            <w:vAlign w:val="center"/>
          </w:tcPr>
          <w:p w14:paraId="456A7E24">
            <w:pPr>
              <w:widowControl/>
              <w:jc w:val="center"/>
              <w:rPr>
                <w:rFonts w:hint="eastAsia" w:ascii="方正仿宋_GBK" w:hAnsi="宋体" w:eastAsia="方正仿宋_GBK" w:cs="宋体"/>
                <w:color w:val="FF0000"/>
                <w:kern w:val="0"/>
                <w:szCs w:val="21"/>
                <w:lang w:val="en-US" w:eastAsia="zh-CN"/>
              </w:rPr>
            </w:pPr>
            <w:r>
              <w:rPr>
                <w:rFonts w:hint="eastAsia" w:ascii="方正仿宋_GBK" w:hAnsi="宋体" w:eastAsia="方正仿宋_GBK" w:cs="宋体"/>
                <w:color w:val="FF0000"/>
                <w:kern w:val="0"/>
                <w:szCs w:val="21"/>
                <w:lang w:val="en-US" w:eastAsia="zh-CN"/>
              </w:rPr>
              <w:t>1</w:t>
            </w:r>
          </w:p>
        </w:tc>
      </w:tr>
      <w:tr w14:paraId="66F1D990">
        <w:tblPrEx>
          <w:tblCellMar>
            <w:top w:w="0" w:type="dxa"/>
            <w:left w:w="108" w:type="dxa"/>
            <w:bottom w:w="0" w:type="dxa"/>
            <w:right w:w="108" w:type="dxa"/>
          </w:tblCellMar>
        </w:tblPrEx>
        <w:trPr>
          <w:trHeight w:val="1080" w:hRule="atLeast"/>
        </w:trPr>
        <w:tc>
          <w:tcPr>
            <w:tcW w:w="715" w:type="dxa"/>
            <w:tcBorders>
              <w:top w:val="nil"/>
              <w:left w:val="single" w:color="auto" w:sz="4" w:space="0"/>
              <w:bottom w:val="single" w:color="auto" w:sz="4" w:space="0"/>
              <w:right w:val="single" w:color="auto" w:sz="4" w:space="0"/>
            </w:tcBorders>
            <w:shd w:val="clear" w:color="auto" w:fill="auto"/>
            <w:noWrap/>
            <w:vAlign w:val="center"/>
          </w:tcPr>
          <w:p w14:paraId="52A40A27">
            <w:pPr>
              <w:widowControl/>
              <w:jc w:val="center"/>
              <w:rPr>
                <w:rFonts w:ascii="方正仿宋_GBK" w:hAnsi="宋体" w:eastAsia="方正仿宋_GBK" w:cs="宋体"/>
                <w:color w:val="FF0000"/>
                <w:kern w:val="0"/>
                <w:szCs w:val="21"/>
              </w:rPr>
            </w:pPr>
            <w:r>
              <w:rPr>
                <w:rFonts w:hint="eastAsia" w:ascii="方正仿宋_GBK" w:hAnsi="宋体" w:eastAsia="方正仿宋_GBK" w:cs="宋体"/>
                <w:color w:val="FF0000"/>
                <w:kern w:val="0"/>
                <w:szCs w:val="21"/>
              </w:rPr>
              <w:t>3</w:t>
            </w:r>
          </w:p>
        </w:tc>
        <w:tc>
          <w:tcPr>
            <w:tcW w:w="1134" w:type="dxa"/>
            <w:tcBorders>
              <w:top w:val="nil"/>
              <w:left w:val="nil"/>
              <w:bottom w:val="single" w:color="auto" w:sz="4" w:space="0"/>
              <w:right w:val="single" w:color="auto" w:sz="4" w:space="0"/>
            </w:tcBorders>
            <w:shd w:val="clear" w:color="auto" w:fill="auto"/>
            <w:noWrap/>
            <w:vAlign w:val="center"/>
          </w:tcPr>
          <w:p w14:paraId="0B9C4E33">
            <w:pPr>
              <w:widowControl/>
              <w:jc w:val="left"/>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pPr>
            <w:r>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t>培训与知识管理需求</w:t>
            </w:r>
          </w:p>
        </w:tc>
        <w:tc>
          <w:tcPr>
            <w:tcW w:w="6095" w:type="dxa"/>
            <w:tcBorders>
              <w:top w:val="nil"/>
              <w:left w:val="nil"/>
              <w:bottom w:val="single" w:color="auto" w:sz="4" w:space="0"/>
              <w:right w:val="single" w:color="auto" w:sz="4" w:space="0"/>
            </w:tcBorders>
            <w:shd w:val="clear" w:color="auto" w:fill="auto"/>
            <w:vAlign w:val="center"/>
          </w:tcPr>
          <w:p w14:paraId="02A8086B">
            <w:pPr>
              <w:widowControl/>
              <w:jc w:val="left"/>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pPr>
            <w:r>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t>1、在线培训资源库：院感防控知识的更新与医护人员的培训是降低院感发生率的重要手段。院感系统应内置在线培训资源库，收集整理包括院感防控最新政策法规、标准规范、专业知识、操作技能等方面的培训资料，如视频教程、文档课件、案例分析等。医护人员可以通过系统随时随地进行在线学习，完成课程学习后还能进行在线考核，系统自动记录学习与考核结果，方便管理人员对医护人员的培训情况进行跟踪与管理。</w:t>
            </w:r>
          </w:p>
          <w:p w14:paraId="48A332C9">
            <w:pPr>
              <w:widowControl/>
              <w:jc w:val="left"/>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pPr>
            <w:r>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t>2、知识推送与交流互动：系统具备知识推送功能，能够根据医护人员的岗位需求与学习情况，有针对性地推送院感防控相关知识与资讯。同时，提供交流互动平台，方便医护人员之间分享院感防控经验、讨论工作中遇到的问题，促进知识的传播与共享。此外，系统还应能够收集医护人员在实际工作中反馈的问题与建议，为持续完善院感防控知识体系与优化系统功能提供参考依据。</w:t>
            </w:r>
          </w:p>
          <w:p w14:paraId="1D3FF718">
            <w:pPr>
              <w:widowControl/>
              <w:jc w:val="left"/>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pPr>
          </w:p>
        </w:tc>
        <w:tc>
          <w:tcPr>
            <w:tcW w:w="709" w:type="dxa"/>
            <w:tcBorders>
              <w:top w:val="nil"/>
              <w:left w:val="nil"/>
              <w:bottom w:val="single" w:color="auto" w:sz="4" w:space="0"/>
              <w:right w:val="single" w:color="auto" w:sz="4" w:space="0"/>
            </w:tcBorders>
            <w:shd w:val="clear" w:color="auto" w:fill="auto"/>
            <w:noWrap/>
            <w:vAlign w:val="center"/>
          </w:tcPr>
          <w:p w14:paraId="463C443B">
            <w:pPr>
              <w:widowControl/>
              <w:jc w:val="center"/>
              <w:rPr>
                <w:rFonts w:ascii="方正仿宋_GBK" w:hAnsi="宋体" w:eastAsia="方正仿宋_GBK" w:cs="宋体"/>
                <w:color w:val="FF0000"/>
                <w:kern w:val="0"/>
                <w:szCs w:val="21"/>
              </w:rPr>
            </w:pPr>
            <w:r>
              <w:rPr>
                <w:rFonts w:hint="eastAsia" w:ascii="方正仿宋_GBK" w:hAnsi="宋体" w:eastAsia="方正仿宋_GBK" w:cs="宋体"/>
                <w:color w:val="FF0000"/>
                <w:kern w:val="0"/>
                <w:szCs w:val="21"/>
              </w:rPr>
              <w:t>1</w:t>
            </w:r>
          </w:p>
        </w:tc>
      </w:tr>
      <w:tr w14:paraId="12904F1D">
        <w:tblPrEx>
          <w:tblCellMar>
            <w:top w:w="0" w:type="dxa"/>
            <w:left w:w="108" w:type="dxa"/>
            <w:bottom w:w="0" w:type="dxa"/>
            <w:right w:w="108" w:type="dxa"/>
          </w:tblCellMar>
        </w:tblPrEx>
        <w:trPr>
          <w:trHeight w:val="2700" w:hRule="atLeast"/>
        </w:trPr>
        <w:tc>
          <w:tcPr>
            <w:tcW w:w="715" w:type="dxa"/>
            <w:tcBorders>
              <w:top w:val="nil"/>
              <w:left w:val="single" w:color="auto" w:sz="4" w:space="0"/>
              <w:bottom w:val="single" w:color="auto" w:sz="4" w:space="0"/>
              <w:right w:val="single" w:color="auto" w:sz="4" w:space="0"/>
            </w:tcBorders>
            <w:shd w:val="clear" w:color="auto" w:fill="auto"/>
            <w:noWrap/>
            <w:vAlign w:val="center"/>
          </w:tcPr>
          <w:p w14:paraId="5329C830">
            <w:pPr>
              <w:widowControl/>
              <w:jc w:val="center"/>
              <w:rPr>
                <w:rFonts w:ascii="方正仿宋_GBK" w:hAnsi="宋体" w:eastAsia="方正仿宋_GBK" w:cs="宋体"/>
                <w:color w:val="FF0000"/>
                <w:kern w:val="0"/>
                <w:szCs w:val="21"/>
              </w:rPr>
            </w:pPr>
            <w:r>
              <w:rPr>
                <w:rFonts w:hint="eastAsia" w:ascii="方正仿宋_GBK" w:hAnsi="宋体" w:eastAsia="方正仿宋_GBK" w:cs="宋体"/>
                <w:color w:val="FF0000"/>
                <w:kern w:val="0"/>
                <w:szCs w:val="21"/>
              </w:rPr>
              <w:t>4</w:t>
            </w:r>
          </w:p>
        </w:tc>
        <w:tc>
          <w:tcPr>
            <w:tcW w:w="1134" w:type="dxa"/>
            <w:tcBorders>
              <w:top w:val="nil"/>
              <w:left w:val="nil"/>
              <w:bottom w:val="single" w:color="auto" w:sz="4" w:space="0"/>
              <w:right w:val="single" w:color="auto" w:sz="4" w:space="0"/>
            </w:tcBorders>
            <w:shd w:val="clear" w:color="auto" w:fill="auto"/>
            <w:noWrap/>
            <w:vAlign w:val="center"/>
          </w:tcPr>
          <w:p w14:paraId="7DDA90A1">
            <w:pPr>
              <w:widowControl/>
              <w:jc w:val="left"/>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pPr>
            <w:r>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t>统计指标和上报工作需求</w:t>
            </w:r>
          </w:p>
        </w:tc>
        <w:tc>
          <w:tcPr>
            <w:tcW w:w="6095" w:type="dxa"/>
            <w:tcBorders>
              <w:top w:val="nil"/>
              <w:left w:val="nil"/>
              <w:bottom w:val="single" w:color="auto" w:sz="4" w:space="0"/>
              <w:right w:val="single" w:color="auto" w:sz="4" w:space="0"/>
            </w:tcBorders>
            <w:shd w:val="clear" w:color="auto" w:fill="auto"/>
            <w:vAlign w:val="center"/>
          </w:tcPr>
          <w:p w14:paraId="45CB17FE">
            <w:pPr>
              <w:widowControl/>
              <w:jc w:val="left"/>
              <w:rPr>
                <w:rFonts w:hint="default"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pPr>
            <w:r>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t>1、统计指标：系统提供统计《2015十三项院感质控指标》的功能、系统提供2023监测标准补充指标的功能、系统支持提供根据《医院感染管理医疗质量控制指标（2024版）》以及统计医学发展需要国家指令性指标。</w:t>
            </w:r>
          </w:p>
          <w:p w14:paraId="62010EEB">
            <w:pPr>
              <w:widowControl/>
              <w:jc w:val="left"/>
              <w:rPr>
                <w:rFonts w:hint="default"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pPr>
            <w:r>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t>2、数据上报：系统提供卫健委《提高住院患者抗菌药物治疗前病原学送检率》专项活动、“感术”行动、现患率调查、目标检测等数据上报功能，以及提供市、县院感监测平台数据上报功能。</w:t>
            </w:r>
          </w:p>
          <w:p w14:paraId="43461B3D">
            <w:pPr>
              <w:widowControl/>
              <w:jc w:val="left"/>
              <w:rPr>
                <w:rFonts w:hint="eastAsia" w:ascii="方正仿宋_GBK" w:hAnsi="宋体" w:eastAsia="方正仿宋_GBK" w:cs="宋体"/>
                <w:b w:val="0"/>
                <w:bCs w:val="0"/>
                <w:color w:val="000000" w:themeColor="text1"/>
                <w:kern w:val="0"/>
                <w:sz w:val="21"/>
                <w:szCs w:val="21"/>
                <w:lang w:val="en-US" w:eastAsia="zh-CN" w:bidi="ar-SA"/>
                <w14:textFill>
                  <w14:solidFill>
                    <w14:schemeClr w14:val="tx1"/>
                  </w14:solidFill>
                </w14:textFill>
              </w:rPr>
            </w:pPr>
          </w:p>
        </w:tc>
        <w:tc>
          <w:tcPr>
            <w:tcW w:w="709" w:type="dxa"/>
            <w:tcBorders>
              <w:top w:val="nil"/>
              <w:left w:val="nil"/>
              <w:bottom w:val="single" w:color="auto" w:sz="4" w:space="0"/>
              <w:right w:val="single" w:color="auto" w:sz="4" w:space="0"/>
            </w:tcBorders>
            <w:shd w:val="clear" w:color="auto" w:fill="auto"/>
            <w:noWrap/>
            <w:vAlign w:val="center"/>
          </w:tcPr>
          <w:p w14:paraId="4E805F5C">
            <w:pPr>
              <w:widowControl/>
              <w:jc w:val="center"/>
              <w:rPr>
                <w:rFonts w:ascii="方正仿宋_GBK" w:hAnsi="宋体" w:eastAsia="方正仿宋_GBK" w:cs="宋体"/>
                <w:color w:val="FF0000"/>
                <w:kern w:val="0"/>
                <w:szCs w:val="21"/>
              </w:rPr>
            </w:pPr>
            <w:r>
              <w:rPr>
                <w:rFonts w:hint="eastAsia" w:ascii="方正仿宋_GBK" w:hAnsi="宋体" w:eastAsia="方正仿宋_GBK" w:cs="宋体"/>
                <w:color w:val="FF0000"/>
                <w:kern w:val="0"/>
                <w:szCs w:val="21"/>
              </w:rPr>
              <w:t>1</w:t>
            </w:r>
          </w:p>
        </w:tc>
      </w:tr>
      <w:tr w14:paraId="2D17D2D0">
        <w:tblPrEx>
          <w:tblCellMar>
            <w:top w:w="0" w:type="dxa"/>
            <w:left w:w="108" w:type="dxa"/>
            <w:bottom w:w="0" w:type="dxa"/>
            <w:right w:w="108" w:type="dxa"/>
          </w:tblCellMar>
        </w:tblPrEx>
        <w:trPr>
          <w:trHeight w:val="540" w:hRule="atLeast"/>
        </w:trPr>
        <w:tc>
          <w:tcPr>
            <w:tcW w:w="715" w:type="dxa"/>
            <w:tcBorders>
              <w:top w:val="nil"/>
              <w:left w:val="single" w:color="auto" w:sz="4" w:space="0"/>
              <w:bottom w:val="single" w:color="auto" w:sz="4" w:space="0"/>
              <w:right w:val="single" w:color="auto" w:sz="4" w:space="0"/>
            </w:tcBorders>
            <w:shd w:val="clear" w:color="auto" w:fill="auto"/>
            <w:noWrap/>
            <w:vAlign w:val="center"/>
          </w:tcPr>
          <w:p w14:paraId="01F024DC">
            <w:pPr>
              <w:widowControl/>
              <w:jc w:val="center"/>
              <w:rPr>
                <w:rFonts w:ascii="方正仿宋_GBK" w:hAnsi="宋体" w:eastAsia="方正仿宋_GBK" w:cs="宋体"/>
                <w:color w:val="000000" w:themeColor="text1"/>
                <w:kern w:val="0"/>
                <w:szCs w:val="21"/>
                <w14:textFill>
                  <w14:solidFill>
                    <w14:schemeClr w14:val="tx1"/>
                  </w14:solidFill>
                </w14:textFill>
              </w:rPr>
            </w:pPr>
            <w:r>
              <w:rPr>
                <w:rFonts w:hint="eastAsia" w:ascii="方正仿宋_GBK" w:hAnsi="宋体" w:eastAsia="方正仿宋_GBK" w:cs="宋体"/>
                <w:color w:val="000000" w:themeColor="text1"/>
                <w:kern w:val="0"/>
                <w:szCs w:val="21"/>
                <w14:textFill>
                  <w14:solidFill>
                    <w14:schemeClr w14:val="tx1"/>
                  </w14:solidFill>
                </w14:textFill>
              </w:rPr>
              <w:t>5</w:t>
            </w:r>
          </w:p>
        </w:tc>
        <w:tc>
          <w:tcPr>
            <w:tcW w:w="1134" w:type="dxa"/>
            <w:tcBorders>
              <w:top w:val="nil"/>
              <w:left w:val="nil"/>
              <w:bottom w:val="single" w:color="auto" w:sz="4" w:space="0"/>
              <w:right w:val="single" w:color="auto" w:sz="4" w:space="0"/>
            </w:tcBorders>
            <w:shd w:val="clear" w:color="auto" w:fill="auto"/>
            <w:noWrap/>
            <w:vAlign w:val="center"/>
          </w:tcPr>
          <w:p w14:paraId="3CD6FB48">
            <w:pPr>
              <w:widowControl/>
              <w:jc w:val="left"/>
              <w:rPr>
                <w:rFonts w:ascii="方正仿宋_GBK" w:hAnsi="宋体" w:eastAsia="方正仿宋_GBK" w:cs="宋体"/>
                <w:color w:val="000000" w:themeColor="text1"/>
                <w:kern w:val="0"/>
                <w:szCs w:val="21"/>
                <w14:textFill>
                  <w14:solidFill>
                    <w14:schemeClr w14:val="tx1"/>
                  </w14:solidFill>
                </w14:textFill>
              </w:rPr>
            </w:pPr>
            <w:r>
              <w:rPr>
                <w:rFonts w:hint="eastAsia" w:ascii="方正仿宋_GBK" w:hAnsi="宋体" w:eastAsia="方正仿宋_GBK" w:cs="宋体"/>
                <w:color w:val="000000" w:themeColor="text1"/>
                <w:kern w:val="0"/>
                <w:szCs w:val="21"/>
                <w14:textFill>
                  <w14:solidFill>
                    <w14:schemeClr w14:val="tx1"/>
                  </w14:solidFill>
                </w14:textFill>
              </w:rPr>
              <w:t>运维服务</w:t>
            </w:r>
          </w:p>
        </w:tc>
        <w:tc>
          <w:tcPr>
            <w:tcW w:w="6095" w:type="dxa"/>
            <w:tcBorders>
              <w:top w:val="nil"/>
              <w:left w:val="nil"/>
              <w:bottom w:val="single" w:color="auto" w:sz="4" w:space="0"/>
              <w:right w:val="single" w:color="auto" w:sz="4" w:space="0"/>
            </w:tcBorders>
            <w:shd w:val="clear" w:color="auto" w:fill="auto"/>
            <w:vAlign w:val="center"/>
          </w:tcPr>
          <w:p w14:paraId="52DCF7B2">
            <w:pPr>
              <w:widowControl/>
              <w:jc w:val="left"/>
              <w:rPr>
                <w:rFonts w:ascii="方正仿宋_GBK" w:hAnsi="宋体" w:eastAsia="方正仿宋_GBK" w:cs="宋体"/>
                <w:color w:val="000000" w:themeColor="text1"/>
                <w:kern w:val="0"/>
                <w:szCs w:val="21"/>
                <w14:textFill>
                  <w14:solidFill>
                    <w14:schemeClr w14:val="tx1"/>
                  </w14:solidFill>
                </w14:textFill>
              </w:rPr>
            </w:pPr>
            <w:r>
              <w:rPr>
                <w:rFonts w:hint="eastAsia" w:ascii="方正仿宋_GBK" w:hAnsi="宋体" w:eastAsia="方正仿宋_GBK" w:cs="宋体"/>
                <w:color w:val="000000" w:themeColor="text1"/>
                <w:kern w:val="0"/>
                <w:szCs w:val="21"/>
                <w:lang w:val="en-US" w:eastAsia="zh-CN"/>
                <w14:textFill>
                  <w14:solidFill>
                    <w14:schemeClr w14:val="tx1"/>
                  </w14:solidFill>
                </w14:textFill>
              </w:rPr>
              <w:t>数据维护，系统运维保障服务</w:t>
            </w:r>
          </w:p>
        </w:tc>
        <w:tc>
          <w:tcPr>
            <w:tcW w:w="709" w:type="dxa"/>
            <w:tcBorders>
              <w:top w:val="nil"/>
              <w:left w:val="nil"/>
              <w:bottom w:val="single" w:color="auto" w:sz="4" w:space="0"/>
              <w:right w:val="single" w:color="auto" w:sz="4" w:space="0"/>
            </w:tcBorders>
            <w:shd w:val="clear" w:color="auto" w:fill="auto"/>
            <w:noWrap/>
            <w:vAlign w:val="center"/>
          </w:tcPr>
          <w:p w14:paraId="296DFE29">
            <w:pPr>
              <w:widowControl/>
              <w:jc w:val="center"/>
              <w:rPr>
                <w:rFonts w:hint="eastAsia" w:ascii="方正仿宋_GBK" w:hAnsi="宋体" w:eastAsia="方正仿宋_GBK" w:cs="宋体"/>
                <w:color w:val="000000" w:themeColor="text1"/>
                <w:kern w:val="0"/>
                <w:szCs w:val="21"/>
                <w:lang w:val="en-US" w:eastAsia="zh-CN"/>
                <w14:textFill>
                  <w14:solidFill>
                    <w14:schemeClr w14:val="tx1"/>
                  </w14:solidFill>
                </w14:textFill>
              </w:rPr>
            </w:pPr>
            <w:r>
              <w:rPr>
                <w:rFonts w:hint="eastAsia" w:ascii="方正仿宋_GBK" w:hAnsi="宋体" w:eastAsia="方正仿宋_GBK" w:cs="宋体"/>
                <w:color w:val="000000" w:themeColor="text1"/>
                <w:kern w:val="0"/>
                <w:szCs w:val="21"/>
                <w:lang w:val="en-US" w:eastAsia="zh-CN"/>
                <w14:textFill>
                  <w14:solidFill>
                    <w14:schemeClr w14:val="tx1"/>
                  </w14:solidFill>
                </w14:textFill>
              </w:rPr>
              <w:t>1</w:t>
            </w:r>
          </w:p>
        </w:tc>
      </w:tr>
    </w:tbl>
    <w:p w14:paraId="0D41C146">
      <w:pPr>
        <w:spacing w:line="360" w:lineRule="auto"/>
        <w:jc w:val="left"/>
        <w:rPr>
          <w:rFonts w:ascii="Times New Roman" w:hAnsi="Times New Roman" w:eastAsia="方正仿宋_GBK" w:cs="Times New Roman"/>
          <w:kern w:val="0"/>
          <w:sz w:val="32"/>
          <w:szCs w:val="32"/>
        </w:rPr>
      </w:pPr>
    </w:p>
    <w:p w14:paraId="0D1DE588">
      <w:pPr>
        <w:pStyle w:val="13"/>
        <w:rPr>
          <w:rFonts w:ascii="方正小标宋_GBK" w:hAnsi="方正小标宋_GBK" w:eastAsia="方正小标宋_GBK" w:cs="方正小标宋_GBK"/>
          <w:b/>
          <w:bCs/>
          <w:sz w:val="36"/>
          <w:szCs w:val="36"/>
        </w:rPr>
      </w:pPr>
      <w:r>
        <w:rPr>
          <w:rFonts w:ascii="方正小标宋_GBK" w:hAnsi="方正小标宋_GBK" w:eastAsia="方正小标宋_GBK" w:cs="方正小标宋_GBK"/>
          <w:b/>
          <w:bCs/>
          <w:sz w:val="36"/>
          <w:szCs w:val="36"/>
        </w:rPr>
        <w:t>商务需求</w:t>
      </w:r>
    </w:p>
    <w:p w14:paraId="7C4BAC57">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1</w:t>
      </w:r>
      <w:r>
        <w:rPr>
          <w:rFonts w:hint="eastAsia" w:ascii="方正仿宋_GBK" w:hAnsi="宋体" w:eastAsia="方正仿宋_GBK" w:cs="宋体"/>
          <w:sz w:val="28"/>
          <w:szCs w:val="28"/>
        </w:rPr>
        <w:t>、</w:t>
      </w:r>
      <w:r>
        <w:rPr>
          <w:rFonts w:hint="eastAsia" w:ascii="方正仿宋_GBK" w:hAnsi="宋体" w:eastAsia="方正仿宋_GBK" w:cs="宋体"/>
          <w:color w:val="000000"/>
          <w:sz w:val="28"/>
          <w:szCs w:val="28"/>
        </w:rPr>
        <w:t>产品质量保证期</w:t>
      </w:r>
    </w:p>
    <w:p w14:paraId="6838A8AA">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（1）所提供从验收合格后起3年免费维护</w:t>
      </w:r>
    </w:p>
    <w:p w14:paraId="30E8B48D">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（2）故障报修的响应时间：1小时；若电话中无法解决，4小时内到达现场进行维护。</w:t>
      </w:r>
    </w:p>
    <w:p w14:paraId="49FC5FF8">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2</w:t>
      </w:r>
      <w:r>
        <w:rPr>
          <w:rFonts w:hint="eastAsia" w:ascii="方正仿宋_GBK" w:hAnsi="宋体" w:eastAsia="方正仿宋_GBK" w:cs="宋体"/>
          <w:sz w:val="28"/>
          <w:szCs w:val="28"/>
        </w:rPr>
        <w:t>、</w:t>
      </w:r>
      <w:r>
        <w:rPr>
          <w:rFonts w:hint="eastAsia" w:ascii="方正仿宋_GBK" w:hAnsi="宋体" w:eastAsia="方正仿宋_GBK" w:cs="宋体"/>
          <w:color w:val="000000"/>
          <w:sz w:val="28"/>
          <w:szCs w:val="28"/>
        </w:rPr>
        <w:t>履约保证金</w:t>
      </w:r>
    </w:p>
    <w:p w14:paraId="521314F2">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履约保证金为中标金额10%，在验收合格后无息退还。</w:t>
      </w:r>
    </w:p>
    <w:p w14:paraId="35C44A66">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3</w:t>
      </w:r>
      <w:r>
        <w:rPr>
          <w:rFonts w:hint="eastAsia" w:ascii="方正仿宋_GBK" w:hAnsi="宋体" w:eastAsia="方正仿宋_GBK" w:cs="宋体"/>
          <w:sz w:val="28"/>
          <w:szCs w:val="28"/>
        </w:rPr>
        <w:t>、</w:t>
      </w:r>
      <w:r>
        <w:rPr>
          <w:rFonts w:hint="eastAsia" w:ascii="方正仿宋_GBK" w:hAnsi="宋体" w:eastAsia="方正仿宋_GBK" w:cs="宋体"/>
          <w:color w:val="000000"/>
          <w:sz w:val="28"/>
          <w:szCs w:val="28"/>
        </w:rPr>
        <w:t>付款方式</w:t>
      </w:r>
    </w:p>
    <w:p w14:paraId="126A03E8">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本项目验收合格试运行三个月后支付合同总款的50%；在无质量及售后服务问题的前提下，验收合格试运行六个月后支付合同总款的40%；无质量及售后服务问题的前提下, 三年后支付合同总款的10%。</w:t>
      </w:r>
    </w:p>
    <w:p w14:paraId="1C02ACB0">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4</w:t>
      </w:r>
      <w:r>
        <w:rPr>
          <w:rFonts w:hint="eastAsia" w:ascii="方正仿宋_GBK" w:hAnsi="宋体" w:eastAsia="方正仿宋_GBK" w:cs="宋体"/>
          <w:sz w:val="28"/>
          <w:szCs w:val="28"/>
        </w:rPr>
        <w:t>、</w:t>
      </w:r>
      <w:r>
        <w:rPr>
          <w:rFonts w:hint="eastAsia" w:ascii="方正仿宋_GBK" w:hAnsi="宋体" w:eastAsia="方正仿宋_GBK" w:cs="宋体"/>
          <w:color w:val="000000"/>
          <w:sz w:val="28"/>
          <w:szCs w:val="28"/>
        </w:rPr>
        <w:t>质保期后维保费要求</w:t>
      </w:r>
    </w:p>
    <w:p w14:paraId="6A66BF0D">
      <w:pPr>
        <w:ind w:firstLine="560" w:firstLineChars="200"/>
        <w:rPr>
          <w:rFonts w:ascii="方正仿宋_GBK" w:hAnsi="宋体" w:eastAsia="方正仿宋_GBK" w:cs="宋体"/>
          <w:color w:val="000000"/>
          <w:sz w:val="30"/>
          <w:szCs w:val="30"/>
        </w:rPr>
      </w:pPr>
      <w:r>
        <w:rPr>
          <w:rFonts w:hint="eastAsia" w:ascii="方正仿宋_GBK" w:hAnsi="宋体" w:eastAsia="方正仿宋_GBK" w:cs="宋体"/>
          <w:color w:val="000000"/>
          <w:sz w:val="28"/>
          <w:szCs w:val="28"/>
        </w:rPr>
        <w:t>质量保证期过后，采购人需要继续由原中标人或厂家提供售后服务的，年维护费为中标金额的4%</w:t>
      </w:r>
      <w:r>
        <w:rPr>
          <w:rFonts w:hint="eastAsia" w:ascii="方正仿宋_GBK" w:hAnsi="宋体" w:eastAsia="方正仿宋_GBK" w:cs="宋体"/>
          <w:color w:val="000000"/>
          <w:sz w:val="30"/>
          <w:szCs w:val="30"/>
        </w:rPr>
        <w:t>。</w:t>
      </w:r>
    </w:p>
    <w:p w14:paraId="1609D3B0">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5、系统报价</w:t>
      </w:r>
    </w:p>
    <w:p w14:paraId="4DA61252">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报价包含但不限于：产品价、运输费（含装卸费）、保险费、</w:t>
      </w:r>
      <w:r>
        <w:rPr>
          <w:rFonts w:hint="eastAsia" w:ascii="方正仿宋_GBK" w:hAnsi="宋体" w:eastAsia="方正仿宋_GBK" w:cs="宋体"/>
          <w:b/>
          <w:color w:val="000000"/>
          <w:sz w:val="28"/>
          <w:szCs w:val="28"/>
        </w:rPr>
        <w:t>第三方接口费</w:t>
      </w:r>
      <w:r>
        <w:rPr>
          <w:rFonts w:hint="eastAsia" w:ascii="方正仿宋_GBK" w:hAnsi="宋体" w:eastAsia="方正仿宋_GBK" w:cs="宋体"/>
          <w:color w:val="000000"/>
          <w:sz w:val="28"/>
          <w:szCs w:val="28"/>
        </w:rPr>
        <w:t>、安装调试费、税费、验收费、培训费等送货到采购人指定地点并完成安装、调试的所有费用。</w:t>
      </w:r>
    </w:p>
    <w:p w14:paraId="51A6CA76">
      <w:pPr>
        <w:ind w:firstLine="560" w:firstLineChars="200"/>
      </w:pPr>
      <w:r>
        <w:rPr>
          <w:rFonts w:hint="eastAsia" w:ascii="方正仿宋_GBK" w:hAnsi="宋体" w:eastAsia="方正仿宋_GBK" w:cs="宋体"/>
          <w:color w:val="000000"/>
          <w:sz w:val="28"/>
          <w:szCs w:val="28"/>
        </w:rPr>
        <w:t>（上述服务需求、商务需求不作为最终招标技术、商务需求，仅做为市场调查使用）</w:t>
      </w:r>
      <w:r>
        <w:br w:type="page"/>
      </w:r>
    </w:p>
    <w:p w14:paraId="51E82271">
      <w:pPr>
        <w:pStyle w:val="14"/>
        <w:rPr>
          <w:sz w:val="36"/>
          <w:szCs w:val="36"/>
        </w:rPr>
      </w:pPr>
      <w:r>
        <w:rPr>
          <w:sz w:val="36"/>
          <w:szCs w:val="36"/>
        </w:rPr>
        <w:t>附件：</w:t>
      </w:r>
    </w:p>
    <w:p w14:paraId="7FE369A9">
      <w:pPr>
        <w:pStyle w:val="13"/>
        <w:jc w:val="center"/>
        <w:rPr>
          <w:sz w:val="28"/>
          <w:szCs w:val="44"/>
        </w:rPr>
      </w:pPr>
      <w:r>
        <w:rPr>
          <w:rFonts w:hint="eastAsia" w:ascii="方正小标宋_GBK" w:hAnsi="方正小标宋_GBK" w:eastAsia="方正小标宋_GBK" w:cs="方正小标宋_GBK"/>
          <w:b/>
          <w:bCs/>
          <w:sz w:val="36"/>
          <w:szCs w:val="36"/>
          <w:lang w:eastAsia="zh-CN"/>
        </w:rPr>
        <w:t>院感系统</w:t>
      </w:r>
      <w:r>
        <w:rPr>
          <w:rFonts w:hint="eastAsia" w:ascii="方正小标宋_GBK" w:hAnsi="方正小标宋_GBK" w:eastAsia="方正小标宋_GBK" w:cs="方正小标宋_GBK"/>
          <w:b/>
          <w:bCs/>
          <w:sz w:val="36"/>
          <w:szCs w:val="36"/>
        </w:rPr>
        <w:t>市场调查</w:t>
      </w:r>
    </w:p>
    <w:p w14:paraId="5019DCDD">
      <w:pPr>
        <w:pStyle w:val="13"/>
        <w:spacing w:after="0" w:line="240" w:lineRule="auto"/>
        <w:rPr>
          <w:rFonts w:ascii="方正仿宋_GBK" w:hAnsi="宋体" w:eastAsia="方正仿宋_GBK" w:cs="宋体"/>
          <w:b/>
          <w:bCs/>
          <w:color w:val="000000"/>
          <w:kern w:val="0"/>
          <w:sz w:val="32"/>
          <w:szCs w:val="32"/>
        </w:rPr>
      </w:pPr>
      <w:r>
        <w:rPr>
          <w:rFonts w:hint="eastAsia" w:ascii="方正仿宋_GBK" w:hAnsi="宋体" w:eastAsia="方正仿宋_GBK" w:cs="宋体"/>
          <w:b/>
          <w:bCs/>
          <w:color w:val="000000"/>
          <w:kern w:val="0"/>
          <w:sz w:val="32"/>
          <w:szCs w:val="32"/>
        </w:rPr>
        <w:t>重庆市垫江县中医院：</w:t>
      </w:r>
    </w:p>
    <w:p w14:paraId="0695CBDF">
      <w:pPr>
        <w:pStyle w:val="48"/>
        <w:spacing w:line="440" w:lineRule="exact"/>
        <w:ind w:firstLine="560"/>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符合贵院上述功能系统推荐信息如下：</w:t>
      </w:r>
    </w:p>
    <w:tbl>
      <w:tblPr>
        <w:tblStyle w:val="15"/>
        <w:tblpPr w:leftFromText="180" w:rightFromText="180" w:vertAnchor="text" w:horzAnchor="margin" w:tblpY="307"/>
        <w:tblOverlap w:val="never"/>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2386"/>
        <w:gridCol w:w="2126"/>
        <w:gridCol w:w="1134"/>
        <w:gridCol w:w="1134"/>
        <w:gridCol w:w="992"/>
      </w:tblGrid>
      <w:tr w14:paraId="4F3A8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41" w:type="dxa"/>
            <w:shd w:val="clear" w:color="auto" w:fill="auto"/>
            <w:noWrap/>
            <w:vAlign w:val="center"/>
          </w:tcPr>
          <w:p w14:paraId="432DE812">
            <w:pPr>
              <w:jc w:val="center"/>
              <w:rPr>
                <w:rFonts w:ascii="方正仿宋_GBK" w:eastAsia="方正仿宋_GBK"/>
                <w:sz w:val="24"/>
                <w:szCs w:val="24"/>
              </w:rPr>
            </w:pPr>
            <w:r>
              <w:rPr>
                <w:rFonts w:hint="eastAsia" w:ascii="方正仿宋_GBK" w:eastAsia="方正仿宋_GBK"/>
                <w:sz w:val="24"/>
                <w:szCs w:val="24"/>
              </w:rPr>
              <w:t>序号</w:t>
            </w:r>
          </w:p>
        </w:tc>
        <w:tc>
          <w:tcPr>
            <w:tcW w:w="2386" w:type="dxa"/>
            <w:shd w:val="clear" w:color="000000" w:fill="FFFFFF"/>
            <w:noWrap/>
            <w:vAlign w:val="center"/>
          </w:tcPr>
          <w:p w14:paraId="18D4B03D">
            <w:pPr>
              <w:rPr>
                <w:rFonts w:ascii="方正仿宋_GBK" w:eastAsia="方正仿宋_GBK"/>
                <w:sz w:val="24"/>
                <w:szCs w:val="24"/>
              </w:rPr>
            </w:pPr>
            <w:r>
              <w:rPr>
                <w:rFonts w:hint="eastAsia" w:ascii="方正仿宋_GBK" w:eastAsia="方正仿宋_GBK"/>
                <w:sz w:val="24"/>
                <w:szCs w:val="24"/>
              </w:rPr>
              <w:t>系统名称</w:t>
            </w:r>
          </w:p>
        </w:tc>
        <w:tc>
          <w:tcPr>
            <w:tcW w:w="2126" w:type="dxa"/>
            <w:shd w:val="clear" w:color="000000" w:fill="FFFFFF"/>
            <w:noWrap/>
            <w:vAlign w:val="center"/>
          </w:tcPr>
          <w:p w14:paraId="3327D420">
            <w:pPr>
              <w:jc w:val="center"/>
              <w:rPr>
                <w:rFonts w:ascii="方正仿宋_GBK" w:eastAsia="方正仿宋_GBK"/>
                <w:sz w:val="24"/>
                <w:szCs w:val="24"/>
              </w:rPr>
            </w:pPr>
            <w:r>
              <w:rPr>
                <w:rFonts w:hint="eastAsia" w:ascii="方正仿宋_GBK" w:eastAsia="方正仿宋_GBK"/>
                <w:sz w:val="24"/>
                <w:szCs w:val="24"/>
              </w:rPr>
              <w:t>单位</w:t>
            </w:r>
          </w:p>
        </w:tc>
        <w:tc>
          <w:tcPr>
            <w:tcW w:w="1134" w:type="dxa"/>
            <w:shd w:val="clear" w:color="000000" w:fill="FFFFFF"/>
            <w:vAlign w:val="center"/>
          </w:tcPr>
          <w:p w14:paraId="681FA4FB">
            <w:pPr>
              <w:jc w:val="center"/>
              <w:rPr>
                <w:rFonts w:ascii="方正仿宋_GBK" w:eastAsia="方正仿宋_GBK"/>
                <w:sz w:val="24"/>
                <w:szCs w:val="24"/>
              </w:rPr>
            </w:pPr>
            <w:r>
              <w:rPr>
                <w:rFonts w:hint="eastAsia" w:ascii="方正仿宋_GBK" w:eastAsia="方正仿宋_GBK"/>
                <w:sz w:val="24"/>
                <w:szCs w:val="24"/>
              </w:rPr>
              <w:t>数量</w:t>
            </w:r>
          </w:p>
        </w:tc>
        <w:tc>
          <w:tcPr>
            <w:tcW w:w="1134" w:type="dxa"/>
            <w:shd w:val="clear" w:color="000000" w:fill="FFFFFF"/>
            <w:vAlign w:val="center"/>
          </w:tcPr>
          <w:p w14:paraId="31ACF875">
            <w:pPr>
              <w:jc w:val="center"/>
              <w:rPr>
                <w:rFonts w:ascii="方正仿宋_GBK" w:eastAsia="方正仿宋_GBK"/>
                <w:sz w:val="24"/>
                <w:szCs w:val="24"/>
              </w:rPr>
            </w:pPr>
            <w:r>
              <w:rPr>
                <w:rFonts w:hint="eastAsia" w:ascii="方正仿宋_GBK" w:eastAsia="方正仿宋_GBK"/>
                <w:sz w:val="24"/>
                <w:szCs w:val="24"/>
              </w:rPr>
              <w:t>单价</w:t>
            </w:r>
          </w:p>
        </w:tc>
        <w:tc>
          <w:tcPr>
            <w:tcW w:w="992" w:type="dxa"/>
            <w:shd w:val="clear" w:color="000000" w:fill="FFFFFF"/>
            <w:noWrap/>
            <w:vAlign w:val="center"/>
          </w:tcPr>
          <w:p w14:paraId="0F45EDE3">
            <w:pPr>
              <w:jc w:val="center"/>
              <w:rPr>
                <w:rFonts w:ascii="方正仿宋_GBK" w:eastAsia="方正仿宋_GBK"/>
                <w:sz w:val="24"/>
                <w:szCs w:val="24"/>
              </w:rPr>
            </w:pPr>
            <w:r>
              <w:rPr>
                <w:rFonts w:hint="eastAsia" w:ascii="方正仿宋_GBK" w:eastAsia="方正仿宋_GBK"/>
                <w:sz w:val="24"/>
                <w:szCs w:val="24"/>
              </w:rPr>
              <w:t>小计</w:t>
            </w:r>
          </w:p>
        </w:tc>
      </w:tr>
      <w:tr w14:paraId="21B48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841" w:type="dxa"/>
            <w:shd w:val="clear" w:color="auto" w:fill="auto"/>
            <w:noWrap/>
            <w:vAlign w:val="center"/>
          </w:tcPr>
          <w:p w14:paraId="4AFE00C0">
            <w:pPr>
              <w:rPr>
                <w:rFonts w:ascii="方正仿宋_GBK" w:eastAsia="方正仿宋_GBK"/>
                <w:sz w:val="24"/>
                <w:szCs w:val="24"/>
              </w:rPr>
            </w:pPr>
            <w:r>
              <w:rPr>
                <w:rFonts w:hint="eastAsia" w:ascii="方正仿宋_GBK" w:eastAsia="方正仿宋_GBK"/>
                <w:sz w:val="24"/>
                <w:szCs w:val="24"/>
              </w:rPr>
              <w:t>1</w:t>
            </w:r>
          </w:p>
        </w:tc>
        <w:tc>
          <w:tcPr>
            <w:tcW w:w="2386" w:type="dxa"/>
            <w:shd w:val="clear" w:color="000000" w:fill="FFFFFF"/>
            <w:noWrap/>
            <w:vAlign w:val="center"/>
          </w:tcPr>
          <w:p w14:paraId="36A0A3DF">
            <w:pPr>
              <w:rPr>
                <w:rFonts w:hint="eastAsia" w:ascii="方正仿宋_GBK" w:eastAsia="方正仿宋_GBK"/>
                <w:sz w:val="24"/>
                <w:szCs w:val="24"/>
                <w:lang w:eastAsia="zh-CN"/>
              </w:rPr>
            </w:pPr>
            <w:r>
              <w:rPr>
                <w:rFonts w:hint="eastAsia" w:ascii="方正仿宋_GBK" w:eastAsia="方正仿宋_GBK"/>
                <w:sz w:val="24"/>
                <w:szCs w:val="24"/>
                <w:lang w:eastAsia="zh-CN"/>
              </w:rPr>
              <w:t>院感系统</w:t>
            </w:r>
          </w:p>
        </w:tc>
        <w:tc>
          <w:tcPr>
            <w:tcW w:w="2126" w:type="dxa"/>
            <w:shd w:val="clear" w:color="000000" w:fill="FFFFFF"/>
            <w:noWrap/>
            <w:vAlign w:val="center"/>
          </w:tcPr>
          <w:p w14:paraId="1F2EA804">
            <w:pPr>
              <w:rPr>
                <w:rFonts w:ascii="方正仿宋_GBK" w:eastAsia="方正仿宋_GBK"/>
                <w:sz w:val="24"/>
                <w:szCs w:val="24"/>
              </w:rPr>
            </w:pPr>
          </w:p>
        </w:tc>
        <w:tc>
          <w:tcPr>
            <w:tcW w:w="1134" w:type="dxa"/>
            <w:shd w:val="clear" w:color="000000" w:fill="FFFFFF"/>
          </w:tcPr>
          <w:p w14:paraId="1592364E">
            <w:pPr>
              <w:rPr>
                <w:rFonts w:ascii="方正仿宋_GBK" w:eastAsia="方正仿宋_GBK"/>
                <w:sz w:val="24"/>
                <w:szCs w:val="24"/>
              </w:rPr>
            </w:pPr>
          </w:p>
        </w:tc>
        <w:tc>
          <w:tcPr>
            <w:tcW w:w="1134" w:type="dxa"/>
            <w:shd w:val="clear" w:color="000000" w:fill="FFFFFF"/>
          </w:tcPr>
          <w:p w14:paraId="3EADF794">
            <w:pPr>
              <w:rPr>
                <w:rFonts w:ascii="方正仿宋_GBK" w:eastAsia="方正仿宋_GBK"/>
                <w:sz w:val="24"/>
                <w:szCs w:val="24"/>
              </w:rPr>
            </w:pPr>
          </w:p>
        </w:tc>
        <w:tc>
          <w:tcPr>
            <w:tcW w:w="992" w:type="dxa"/>
            <w:shd w:val="clear" w:color="000000" w:fill="FFFFFF"/>
            <w:noWrap/>
            <w:vAlign w:val="center"/>
          </w:tcPr>
          <w:p w14:paraId="59B354DD">
            <w:pPr>
              <w:rPr>
                <w:rFonts w:ascii="方正仿宋_GBK" w:eastAsia="方正仿宋_GBK"/>
                <w:sz w:val="24"/>
                <w:szCs w:val="24"/>
              </w:rPr>
            </w:pPr>
          </w:p>
        </w:tc>
      </w:tr>
      <w:tr w14:paraId="15877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7621" w:type="dxa"/>
            <w:gridSpan w:val="5"/>
            <w:shd w:val="clear" w:color="auto" w:fill="auto"/>
            <w:noWrap/>
            <w:vAlign w:val="center"/>
          </w:tcPr>
          <w:p w14:paraId="0C5FBB4A">
            <w:pPr>
              <w:jc w:val="center"/>
              <w:rPr>
                <w:rFonts w:ascii="方正仿宋_GBK" w:eastAsia="方正仿宋_GBK"/>
                <w:sz w:val="24"/>
                <w:szCs w:val="24"/>
              </w:rPr>
            </w:pPr>
            <w:r>
              <w:rPr>
                <w:rFonts w:hint="eastAsia" w:ascii="方正仿宋_GBK" w:eastAsia="方正仿宋_GBK"/>
                <w:sz w:val="24"/>
                <w:szCs w:val="24"/>
              </w:rPr>
              <w:t>合计</w:t>
            </w:r>
          </w:p>
        </w:tc>
        <w:tc>
          <w:tcPr>
            <w:tcW w:w="992" w:type="dxa"/>
            <w:shd w:val="clear" w:color="000000" w:fill="FFFFFF"/>
            <w:noWrap/>
            <w:vAlign w:val="center"/>
          </w:tcPr>
          <w:p w14:paraId="7D493FC0">
            <w:pPr>
              <w:rPr>
                <w:rFonts w:ascii="方正仿宋_GBK" w:eastAsia="方正仿宋_GBK"/>
                <w:sz w:val="24"/>
                <w:szCs w:val="24"/>
              </w:rPr>
            </w:pPr>
          </w:p>
        </w:tc>
      </w:tr>
      <w:tr w14:paraId="3811C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trPr>
        <w:tc>
          <w:tcPr>
            <w:tcW w:w="8613" w:type="dxa"/>
            <w:gridSpan w:val="6"/>
            <w:shd w:val="clear" w:color="auto" w:fill="auto"/>
            <w:noWrap/>
            <w:vAlign w:val="center"/>
          </w:tcPr>
          <w:p w14:paraId="695352F5">
            <w:pPr>
              <w:rPr>
                <w:rFonts w:ascii="方正仿宋_GBK" w:eastAsia="方正仿宋_GBK"/>
                <w:sz w:val="24"/>
                <w:szCs w:val="24"/>
              </w:rPr>
            </w:pPr>
            <w:r>
              <w:rPr>
                <w:rFonts w:hint="eastAsia" w:ascii="方正仿宋_GBK" w:eastAsia="方正仿宋_GBK"/>
                <w:sz w:val="24"/>
                <w:szCs w:val="24"/>
              </w:rPr>
              <w:t>表格可自行扩展</w:t>
            </w:r>
          </w:p>
        </w:tc>
      </w:tr>
    </w:tbl>
    <w:p w14:paraId="1245FB87">
      <w:pPr>
        <w:pStyle w:val="48"/>
        <w:numPr>
          <w:ilvl w:val="0"/>
          <w:numId w:val="1"/>
        </w:numPr>
        <w:spacing w:line="440" w:lineRule="exact"/>
        <w:ind w:firstLineChars="0"/>
        <w:rPr>
          <w:rFonts w:ascii="方正仿宋_GBK" w:hAnsi="方正仿宋_GBK" w:eastAsia="方正仿宋_GBK" w:cs="方正仿宋_GBK"/>
          <w:sz w:val="28"/>
          <w:szCs w:val="28"/>
        </w:rPr>
      </w:pPr>
      <w:r>
        <w:rPr>
          <w:rFonts w:hint="eastAsia" w:ascii="方正仿宋_GBK" w:hAnsi="方正仿宋_GBK" w:eastAsia="方正仿宋_GBK" w:cs="方正仿宋_GBK"/>
          <w:b/>
          <w:bCs/>
          <w:sz w:val="28"/>
          <w:szCs w:val="28"/>
        </w:rPr>
        <w:t>供应商资料</w:t>
      </w:r>
    </w:p>
    <w:p w14:paraId="57D2C6DF">
      <w:pPr>
        <w:pStyle w:val="48"/>
        <w:spacing w:line="440" w:lineRule="exact"/>
        <w:ind w:firstLine="560"/>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供应商名称、公司地址、联系人、联系电话、具备提供该服务的技术能力，经营范围，并提供营业执照复印件。</w:t>
      </w:r>
      <w:r>
        <w:rPr>
          <w:rFonts w:ascii="方正仿宋_GBK" w:hAnsi="方正仿宋_GBK" w:eastAsia="方正仿宋_GBK" w:cs="方正仿宋_GBK"/>
          <w:bCs/>
          <w:sz w:val="28"/>
          <w:szCs w:val="28"/>
        </w:rPr>
        <w:t>……</w:t>
      </w:r>
    </w:p>
    <w:p w14:paraId="7F9F9876">
      <w:pPr>
        <w:pStyle w:val="48"/>
        <w:numPr>
          <w:ilvl w:val="0"/>
          <w:numId w:val="1"/>
        </w:numPr>
        <w:spacing w:line="440" w:lineRule="exact"/>
        <w:ind w:firstLineChars="0"/>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系统功能参数</w:t>
      </w:r>
    </w:p>
    <w:p w14:paraId="48E4B122">
      <w:pPr>
        <w:pStyle w:val="48"/>
        <w:spacing w:line="440" w:lineRule="exact"/>
        <w:ind w:firstLine="560"/>
        <w:rPr>
          <w:rFonts w:ascii="方正仿宋_GBK" w:hAnsi="方正仿宋_GBK" w:eastAsia="方正仿宋_GBK" w:cs="方正仿宋_GBK"/>
          <w:bCs/>
          <w:sz w:val="28"/>
          <w:szCs w:val="28"/>
        </w:rPr>
      </w:pPr>
      <w:r>
        <w:rPr>
          <w:rFonts w:ascii="方正仿宋_GBK" w:hAnsi="方正仿宋_GBK" w:eastAsia="方正仿宋_GBK" w:cs="方正仿宋_GBK"/>
          <w:bCs/>
          <w:sz w:val="28"/>
          <w:szCs w:val="28"/>
        </w:rPr>
        <w:t>……</w:t>
      </w:r>
    </w:p>
    <w:p w14:paraId="732BA8F3">
      <w:pPr>
        <w:pStyle w:val="48"/>
        <w:numPr>
          <w:ilvl w:val="0"/>
          <w:numId w:val="1"/>
        </w:numPr>
        <w:spacing w:line="440" w:lineRule="exact"/>
        <w:ind w:firstLineChars="0"/>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案例信息</w:t>
      </w:r>
    </w:p>
    <w:p w14:paraId="0FC65FCD">
      <w:pPr>
        <w:pStyle w:val="48"/>
        <w:spacing w:line="440" w:lineRule="exact"/>
        <w:ind w:firstLine="562"/>
        <w:rPr>
          <w:rFonts w:ascii="方正仿宋_GBK" w:hAnsi="方正仿宋_GBK" w:eastAsia="方正仿宋_GBK" w:cs="方正仿宋_GBK"/>
          <w:bCs/>
          <w:sz w:val="28"/>
          <w:szCs w:val="28"/>
        </w:rPr>
      </w:pPr>
      <w:r>
        <w:rPr>
          <w:rFonts w:hint="eastAsia" w:ascii="方正仿宋_GBK" w:hAnsi="方正仿宋_GBK" w:eastAsia="方正仿宋_GBK" w:cs="方正仿宋_GBK"/>
          <w:b/>
          <w:bCs/>
          <w:sz w:val="28"/>
          <w:szCs w:val="28"/>
        </w:rPr>
        <w:t>提供所报系统案例（必须是类似项目的案例），且提供实际案例联系人姓名及电话</w:t>
      </w:r>
      <w:r>
        <w:rPr>
          <w:rFonts w:hint="eastAsia" w:ascii="方正仿宋_GBK" w:hAnsi="方正仿宋_GBK" w:eastAsia="方正仿宋_GBK" w:cs="方正仿宋_GBK"/>
          <w:bCs/>
          <w:sz w:val="28"/>
          <w:szCs w:val="28"/>
        </w:rPr>
        <w:t>。</w:t>
      </w:r>
      <w:r>
        <w:rPr>
          <w:rFonts w:ascii="方正仿宋_GBK" w:hAnsi="方正仿宋_GBK" w:eastAsia="方正仿宋_GBK" w:cs="方正仿宋_GBK"/>
          <w:bCs/>
          <w:sz w:val="28"/>
          <w:szCs w:val="28"/>
        </w:rPr>
        <w:t>……</w:t>
      </w:r>
    </w:p>
    <w:p w14:paraId="39598F0B">
      <w:pPr>
        <w:pStyle w:val="13"/>
        <w:spacing w:line="440" w:lineRule="exact"/>
        <w:rPr>
          <w:rFonts w:ascii="方正仿宋_GBK" w:hAnsi="宋体" w:eastAsia="方正仿宋_GBK" w:cs="宋体"/>
          <w:color w:val="000000"/>
          <w:kern w:val="0"/>
        </w:rPr>
      </w:pPr>
      <w:r>
        <w:rPr>
          <w:rFonts w:hint="eastAsia" w:ascii="方正仿宋_GBK" w:eastAsia="方正仿宋_GBK"/>
          <w:b/>
          <w:bCs/>
        </w:rPr>
        <w:t xml:space="preserve">                                             </w:t>
      </w:r>
      <w:r>
        <w:rPr>
          <w:rFonts w:hint="eastAsia" w:ascii="方正仿宋_GBK" w:hAnsi="宋体" w:eastAsia="方正仿宋_GBK" w:cs="宋体"/>
          <w:color w:val="000000"/>
          <w:kern w:val="0"/>
        </w:rPr>
        <w:t>推荐单位：</w:t>
      </w:r>
    </w:p>
    <w:p w14:paraId="19797CA9">
      <w:pPr>
        <w:pStyle w:val="13"/>
        <w:spacing w:line="440" w:lineRule="exact"/>
        <w:rPr>
          <w:rFonts w:ascii="方正仿宋_GBK" w:hAnsi="宋体" w:eastAsia="方正仿宋_GBK" w:cs="宋体"/>
          <w:color w:val="000000"/>
          <w:kern w:val="0"/>
        </w:rPr>
      </w:pPr>
      <w:r>
        <w:rPr>
          <w:rFonts w:hint="eastAsia" w:ascii="方正仿宋_GBK" w:hAnsi="宋体" w:eastAsia="方正仿宋_GBK" w:cs="宋体"/>
          <w:color w:val="000000"/>
          <w:kern w:val="0"/>
        </w:rPr>
        <w:t xml:space="preserve">                                              联 系 人：</w:t>
      </w:r>
    </w:p>
    <w:p w14:paraId="27576206">
      <w:pPr>
        <w:pStyle w:val="13"/>
        <w:spacing w:line="440" w:lineRule="exact"/>
        <w:rPr>
          <w:rFonts w:ascii="方正仿宋_GBK" w:hAnsi="宋体" w:eastAsia="方正仿宋_GBK" w:cs="宋体"/>
          <w:color w:val="000000"/>
          <w:kern w:val="0"/>
        </w:rPr>
      </w:pPr>
      <w:r>
        <w:rPr>
          <w:rFonts w:hint="eastAsia" w:ascii="方正仿宋_GBK" w:hAnsi="宋体" w:eastAsia="方正仿宋_GBK" w:cs="宋体"/>
          <w:color w:val="000000"/>
          <w:kern w:val="0"/>
        </w:rPr>
        <w:t xml:space="preserve">                                              联系方式：</w:t>
      </w:r>
    </w:p>
    <w:p w14:paraId="1241C65F">
      <w:pPr>
        <w:pStyle w:val="13"/>
        <w:spacing w:line="440" w:lineRule="exact"/>
        <w:rPr>
          <w:rFonts w:ascii="方正仿宋_GBK" w:hAnsi="宋体" w:eastAsia="方正仿宋_GBK" w:cs="宋体"/>
          <w:color w:val="000000"/>
          <w:kern w:val="0"/>
        </w:rPr>
      </w:pPr>
      <w:r>
        <w:rPr>
          <w:rFonts w:hint="eastAsia" w:ascii="方正仿宋_GBK" w:hAnsi="宋体" w:eastAsia="方正仿宋_GBK" w:cs="宋体"/>
          <w:color w:val="000000"/>
          <w:kern w:val="0"/>
        </w:rPr>
        <w:t xml:space="preserve">                                              日    期：</w:t>
      </w:r>
    </w:p>
    <w:p w14:paraId="055B4F37"/>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9863943"/>
      <w:docPartObj>
        <w:docPartGallery w:val="autotext"/>
      </w:docPartObj>
    </w:sdtPr>
    <w:sdtContent>
      <w:p w14:paraId="13242BBB">
        <w:pPr>
          <w:pStyle w:val="8"/>
          <w:jc w:val="center"/>
        </w:pPr>
        <w:r>
          <w:fldChar w:fldCharType="begin"/>
        </w:r>
        <w:r>
          <w:instrText xml:space="preserve">PAGE   \* MERGEFORMAT</w:instrText>
        </w:r>
        <w:r>
          <w:fldChar w:fldCharType="separate"/>
        </w:r>
        <w:r>
          <w:rPr>
            <w:lang w:val="zh-CN"/>
          </w:rPr>
          <w:t>1</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0316CA"/>
    <w:multiLevelType w:val="multilevel"/>
    <w:tmpl w:val="460316CA"/>
    <w:lvl w:ilvl="0" w:tentative="0">
      <w:start w:val="1"/>
      <w:numFmt w:val="chineseCountingThousand"/>
      <w:lvlText w:val="%1、"/>
      <w:lvlJc w:val="left"/>
      <w:pPr>
        <w:ind w:left="982" w:hanging="420"/>
      </w:p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zMTBmNGI2N2I3ODNmMTMyNjkzYmI0YjZjN2M2ZmUifQ=="/>
  </w:docVars>
  <w:rsids>
    <w:rsidRoot w:val="00CC5341"/>
    <w:rsid w:val="00003E04"/>
    <w:rsid w:val="000076BA"/>
    <w:rsid w:val="000334A6"/>
    <w:rsid w:val="000561BF"/>
    <w:rsid w:val="00060044"/>
    <w:rsid w:val="00061280"/>
    <w:rsid w:val="000774D4"/>
    <w:rsid w:val="000A42D4"/>
    <w:rsid w:val="000B3FF9"/>
    <w:rsid w:val="000B54D0"/>
    <w:rsid w:val="000B7856"/>
    <w:rsid w:val="000C09B1"/>
    <w:rsid w:val="000C2F7B"/>
    <w:rsid w:val="000C5310"/>
    <w:rsid w:val="000E0CE3"/>
    <w:rsid w:val="000E3059"/>
    <w:rsid w:val="000F1739"/>
    <w:rsid w:val="000F3112"/>
    <w:rsid w:val="000F7A83"/>
    <w:rsid w:val="001143C8"/>
    <w:rsid w:val="00116EA6"/>
    <w:rsid w:val="00135512"/>
    <w:rsid w:val="00135AF5"/>
    <w:rsid w:val="0013770B"/>
    <w:rsid w:val="00152223"/>
    <w:rsid w:val="00192C0F"/>
    <w:rsid w:val="001A17A2"/>
    <w:rsid w:val="001A7DA5"/>
    <w:rsid w:val="001B584E"/>
    <w:rsid w:val="001B74C2"/>
    <w:rsid w:val="001C7E30"/>
    <w:rsid w:val="001D2C75"/>
    <w:rsid w:val="00211154"/>
    <w:rsid w:val="002251C2"/>
    <w:rsid w:val="00225FCB"/>
    <w:rsid w:val="00227006"/>
    <w:rsid w:val="00243289"/>
    <w:rsid w:val="002524AB"/>
    <w:rsid w:val="00254C56"/>
    <w:rsid w:val="0026098B"/>
    <w:rsid w:val="00283335"/>
    <w:rsid w:val="00294DC9"/>
    <w:rsid w:val="002951D8"/>
    <w:rsid w:val="002C5497"/>
    <w:rsid w:val="002E1ADC"/>
    <w:rsid w:val="002F390E"/>
    <w:rsid w:val="00310722"/>
    <w:rsid w:val="003119B1"/>
    <w:rsid w:val="0031538B"/>
    <w:rsid w:val="00325352"/>
    <w:rsid w:val="00343607"/>
    <w:rsid w:val="00352533"/>
    <w:rsid w:val="003545FE"/>
    <w:rsid w:val="00364021"/>
    <w:rsid w:val="00366804"/>
    <w:rsid w:val="00370DB0"/>
    <w:rsid w:val="00380EB4"/>
    <w:rsid w:val="00391085"/>
    <w:rsid w:val="00394C71"/>
    <w:rsid w:val="003A1F57"/>
    <w:rsid w:val="003A361C"/>
    <w:rsid w:val="003B05C0"/>
    <w:rsid w:val="003C497F"/>
    <w:rsid w:val="003E1656"/>
    <w:rsid w:val="003E1AF3"/>
    <w:rsid w:val="003F4D8E"/>
    <w:rsid w:val="004033D0"/>
    <w:rsid w:val="00412B64"/>
    <w:rsid w:val="00426604"/>
    <w:rsid w:val="00427A0C"/>
    <w:rsid w:val="00430948"/>
    <w:rsid w:val="0043471A"/>
    <w:rsid w:val="00444757"/>
    <w:rsid w:val="0045318C"/>
    <w:rsid w:val="00457DD5"/>
    <w:rsid w:val="00460D06"/>
    <w:rsid w:val="00462EBC"/>
    <w:rsid w:val="00463E53"/>
    <w:rsid w:val="00465359"/>
    <w:rsid w:val="004711A0"/>
    <w:rsid w:val="00474092"/>
    <w:rsid w:val="00474E54"/>
    <w:rsid w:val="00487914"/>
    <w:rsid w:val="004A1B36"/>
    <w:rsid w:val="004B39CB"/>
    <w:rsid w:val="004B78BD"/>
    <w:rsid w:val="004D625F"/>
    <w:rsid w:val="004F168F"/>
    <w:rsid w:val="00506E4D"/>
    <w:rsid w:val="00520FB2"/>
    <w:rsid w:val="0053202D"/>
    <w:rsid w:val="005330F3"/>
    <w:rsid w:val="00553ED4"/>
    <w:rsid w:val="005571D1"/>
    <w:rsid w:val="0057239A"/>
    <w:rsid w:val="00575915"/>
    <w:rsid w:val="00594DEF"/>
    <w:rsid w:val="005B4C49"/>
    <w:rsid w:val="005B64F3"/>
    <w:rsid w:val="005B7F19"/>
    <w:rsid w:val="005F4961"/>
    <w:rsid w:val="00601F5E"/>
    <w:rsid w:val="00611E09"/>
    <w:rsid w:val="00613A58"/>
    <w:rsid w:val="0062477A"/>
    <w:rsid w:val="00631AD1"/>
    <w:rsid w:val="00652418"/>
    <w:rsid w:val="0065320E"/>
    <w:rsid w:val="0065345C"/>
    <w:rsid w:val="0065433E"/>
    <w:rsid w:val="00662DAB"/>
    <w:rsid w:val="0067445B"/>
    <w:rsid w:val="0068095D"/>
    <w:rsid w:val="006C6EB7"/>
    <w:rsid w:val="006D2DFE"/>
    <w:rsid w:val="006E186A"/>
    <w:rsid w:val="006F180B"/>
    <w:rsid w:val="007205BA"/>
    <w:rsid w:val="00725A3C"/>
    <w:rsid w:val="00727038"/>
    <w:rsid w:val="0074629F"/>
    <w:rsid w:val="0075091E"/>
    <w:rsid w:val="0075193B"/>
    <w:rsid w:val="00770C9C"/>
    <w:rsid w:val="007861F5"/>
    <w:rsid w:val="007932A3"/>
    <w:rsid w:val="007A1BC6"/>
    <w:rsid w:val="007B5ABD"/>
    <w:rsid w:val="007C1B53"/>
    <w:rsid w:val="007D1F1C"/>
    <w:rsid w:val="007D2258"/>
    <w:rsid w:val="007D65D9"/>
    <w:rsid w:val="007E4E62"/>
    <w:rsid w:val="008012A1"/>
    <w:rsid w:val="00804C5F"/>
    <w:rsid w:val="0082378E"/>
    <w:rsid w:val="00830755"/>
    <w:rsid w:val="00832610"/>
    <w:rsid w:val="00833975"/>
    <w:rsid w:val="00851104"/>
    <w:rsid w:val="008840AC"/>
    <w:rsid w:val="00895723"/>
    <w:rsid w:val="008A5D1A"/>
    <w:rsid w:val="008C38C8"/>
    <w:rsid w:val="008D6402"/>
    <w:rsid w:val="008E004C"/>
    <w:rsid w:val="008E5FEC"/>
    <w:rsid w:val="00900C3D"/>
    <w:rsid w:val="009034D3"/>
    <w:rsid w:val="00911383"/>
    <w:rsid w:val="00914E1E"/>
    <w:rsid w:val="00924386"/>
    <w:rsid w:val="00950094"/>
    <w:rsid w:val="009540B2"/>
    <w:rsid w:val="009569EC"/>
    <w:rsid w:val="00957EE1"/>
    <w:rsid w:val="00967B63"/>
    <w:rsid w:val="00967C4D"/>
    <w:rsid w:val="009804E6"/>
    <w:rsid w:val="009A243B"/>
    <w:rsid w:val="009D33D6"/>
    <w:rsid w:val="009D34E6"/>
    <w:rsid w:val="009F1531"/>
    <w:rsid w:val="00A053C1"/>
    <w:rsid w:val="00A10222"/>
    <w:rsid w:val="00A15F64"/>
    <w:rsid w:val="00A25EEC"/>
    <w:rsid w:val="00A550F7"/>
    <w:rsid w:val="00A570C1"/>
    <w:rsid w:val="00A61E41"/>
    <w:rsid w:val="00A70745"/>
    <w:rsid w:val="00A742A4"/>
    <w:rsid w:val="00A7440E"/>
    <w:rsid w:val="00A773FE"/>
    <w:rsid w:val="00A821D9"/>
    <w:rsid w:val="00A83A1B"/>
    <w:rsid w:val="00A8521F"/>
    <w:rsid w:val="00A9583D"/>
    <w:rsid w:val="00AB3222"/>
    <w:rsid w:val="00AC7252"/>
    <w:rsid w:val="00AD05A4"/>
    <w:rsid w:val="00AE089C"/>
    <w:rsid w:val="00AE20FF"/>
    <w:rsid w:val="00B2107E"/>
    <w:rsid w:val="00B21E37"/>
    <w:rsid w:val="00B24376"/>
    <w:rsid w:val="00B3753D"/>
    <w:rsid w:val="00B46FD6"/>
    <w:rsid w:val="00B663CF"/>
    <w:rsid w:val="00B80935"/>
    <w:rsid w:val="00B80A84"/>
    <w:rsid w:val="00B819E3"/>
    <w:rsid w:val="00BD1793"/>
    <w:rsid w:val="00C01335"/>
    <w:rsid w:val="00C07438"/>
    <w:rsid w:val="00C12282"/>
    <w:rsid w:val="00C316A4"/>
    <w:rsid w:val="00C4193F"/>
    <w:rsid w:val="00C4380F"/>
    <w:rsid w:val="00C50820"/>
    <w:rsid w:val="00C511A3"/>
    <w:rsid w:val="00C55357"/>
    <w:rsid w:val="00C66318"/>
    <w:rsid w:val="00C8547B"/>
    <w:rsid w:val="00C876E5"/>
    <w:rsid w:val="00C90AF7"/>
    <w:rsid w:val="00C93857"/>
    <w:rsid w:val="00C9457A"/>
    <w:rsid w:val="00CA7E03"/>
    <w:rsid w:val="00CB3DE0"/>
    <w:rsid w:val="00CC5341"/>
    <w:rsid w:val="00CE157C"/>
    <w:rsid w:val="00CE3191"/>
    <w:rsid w:val="00D004DC"/>
    <w:rsid w:val="00D122D0"/>
    <w:rsid w:val="00D1341C"/>
    <w:rsid w:val="00D20E90"/>
    <w:rsid w:val="00D67294"/>
    <w:rsid w:val="00D70153"/>
    <w:rsid w:val="00D727B3"/>
    <w:rsid w:val="00D77BBD"/>
    <w:rsid w:val="00D8260A"/>
    <w:rsid w:val="00D84E34"/>
    <w:rsid w:val="00DA2D9E"/>
    <w:rsid w:val="00DA30D3"/>
    <w:rsid w:val="00DA339F"/>
    <w:rsid w:val="00DC3496"/>
    <w:rsid w:val="00DD04A9"/>
    <w:rsid w:val="00DE4D25"/>
    <w:rsid w:val="00E01ED8"/>
    <w:rsid w:val="00E03EFF"/>
    <w:rsid w:val="00E044E6"/>
    <w:rsid w:val="00E05CCC"/>
    <w:rsid w:val="00E138C6"/>
    <w:rsid w:val="00E2272B"/>
    <w:rsid w:val="00E34C0A"/>
    <w:rsid w:val="00E50C8C"/>
    <w:rsid w:val="00E86A0E"/>
    <w:rsid w:val="00EA2E15"/>
    <w:rsid w:val="00EB247D"/>
    <w:rsid w:val="00EB43BE"/>
    <w:rsid w:val="00EC0AF9"/>
    <w:rsid w:val="00ED0692"/>
    <w:rsid w:val="00ED2049"/>
    <w:rsid w:val="00EE1F5D"/>
    <w:rsid w:val="00EF5968"/>
    <w:rsid w:val="00F23C39"/>
    <w:rsid w:val="00F27B83"/>
    <w:rsid w:val="00F30E46"/>
    <w:rsid w:val="00F505F8"/>
    <w:rsid w:val="00F704E2"/>
    <w:rsid w:val="00F772D9"/>
    <w:rsid w:val="00F85FB7"/>
    <w:rsid w:val="00F875D7"/>
    <w:rsid w:val="00F97F47"/>
    <w:rsid w:val="00FB5B6F"/>
    <w:rsid w:val="00FC6B39"/>
    <w:rsid w:val="00FC78BF"/>
    <w:rsid w:val="00FD0D9A"/>
    <w:rsid w:val="03EC7FCC"/>
    <w:rsid w:val="07462C5E"/>
    <w:rsid w:val="08F940D1"/>
    <w:rsid w:val="0B013844"/>
    <w:rsid w:val="0B9D61FB"/>
    <w:rsid w:val="0ED14BFA"/>
    <w:rsid w:val="15F110CB"/>
    <w:rsid w:val="1C70786F"/>
    <w:rsid w:val="1DBF0013"/>
    <w:rsid w:val="1DEB365A"/>
    <w:rsid w:val="1E034F42"/>
    <w:rsid w:val="1EC90D65"/>
    <w:rsid w:val="29543F45"/>
    <w:rsid w:val="2E83420B"/>
    <w:rsid w:val="334825E0"/>
    <w:rsid w:val="36165188"/>
    <w:rsid w:val="36F37C80"/>
    <w:rsid w:val="3A1B07A0"/>
    <w:rsid w:val="3B3079A7"/>
    <w:rsid w:val="40082C37"/>
    <w:rsid w:val="45165E0E"/>
    <w:rsid w:val="4A3E237C"/>
    <w:rsid w:val="4E461558"/>
    <w:rsid w:val="56E64D0B"/>
    <w:rsid w:val="590255F7"/>
    <w:rsid w:val="5E47433A"/>
    <w:rsid w:val="69D872B5"/>
    <w:rsid w:val="70327E46"/>
    <w:rsid w:val="73082C93"/>
    <w:rsid w:val="7B594C70"/>
    <w:rsid w:val="7F627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34"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semiHidden="0"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Indent"/>
    <w:basedOn w:val="1"/>
    <w:next w:val="1"/>
    <w:link w:val="27"/>
    <w:unhideWhenUsed/>
    <w:qFormat/>
    <w:uiPriority w:val="99"/>
    <w:pPr>
      <w:spacing w:after="120"/>
      <w:ind w:left="420" w:leftChars="200"/>
    </w:pPr>
  </w:style>
  <w:style w:type="paragraph" w:styleId="6">
    <w:name w:val="Date"/>
    <w:basedOn w:val="1"/>
    <w:next w:val="1"/>
    <w:link w:val="23"/>
    <w:semiHidden/>
    <w:unhideWhenUsed/>
    <w:qFormat/>
    <w:uiPriority w:val="99"/>
    <w:pPr>
      <w:ind w:left="100" w:leftChars="2500"/>
    </w:pPr>
  </w:style>
  <w:style w:type="paragraph" w:styleId="7">
    <w:name w:val="Balloon Text"/>
    <w:basedOn w:val="1"/>
    <w:link w:val="24"/>
    <w:semiHidden/>
    <w:unhideWhenUsed/>
    <w:qFormat/>
    <w:uiPriority w:val="99"/>
    <w:rPr>
      <w:sz w:val="18"/>
      <w:szCs w:val="18"/>
    </w:r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tabs>
        <w:tab w:val="left" w:pos="1260"/>
        <w:tab w:val="left" w:pos="1685"/>
        <w:tab w:val="right" w:leader="dot" w:pos="8400"/>
      </w:tabs>
      <w:spacing w:line="320" w:lineRule="exact"/>
      <w:ind w:firstLine="280" w:firstLineChars="100"/>
    </w:pPr>
    <w:rPr>
      <w:rFonts w:ascii="Times New Roman" w:hAnsi="Times New Roman" w:eastAsia="宋体" w:cs="Times New Roman"/>
      <w:sz w:val="28"/>
      <w:szCs w:val="20"/>
    </w:rPr>
  </w:style>
  <w:style w:type="paragraph" w:styleId="11">
    <w:name w:val="List"/>
    <w:basedOn w:val="1"/>
    <w:next w:val="12"/>
    <w:link w:val="51"/>
    <w:qFormat/>
    <w:uiPriority w:val="34"/>
    <w:pPr>
      <w:autoSpaceDE w:val="0"/>
      <w:autoSpaceDN w:val="0"/>
      <w:jc w:val="left"/>
    </w:pPr>
    <w:rPr>
      <w:rFonts w:ascii="Arial Unicode MS" w:hAnsi="Arial Unicode MS" w:eastAsia="Arial Unicode MS" w:cs="Arial Unicode MS"/>
      <w:kern w:val="0"/>
      <w:sz w:val="22"/>
      <w:lang w:val="zh-CN" w:bidi="zh-CN"/>
    </w:rPr>
  </w:style>
  <w:style w:type="paragraph" w:styleId="12">
    <w:name w:val="List Paragraph"/>
    <w:basedOn w:val="1"/>
    <w:qFormat/>
    <w:uiPriority w:val="34"/>
    <w:pPr>
      <w:ind w:firstLine="420" w:firstLineChars="200"/>
    </w:pPr>
  </w:style>
  <w:style w:type="paragraph" w:styleId="13">
    <w:name w:val="Body Text 2"/>
    <w:basedOn w:val="1"/>
    <w:link w:val="47"/>
    <w:semiHidden/>
    <w:unhideWhenUsed/>
    <w:qFormat/>
    <w:uiPriority w:val="99"/>
    <w:pPr>
      <w:spacing w:after="120" w:line="480" w:lineRule="auto"/>
    </w:pPr>
  </w:style>
  <w:style w:type="paragraph" w:styleId="14">
    <w:name w:val="Body Text First Indent 2"/>
    <w:basedOn w:val="5"/>
    <w:next w:val="1"/>
    <w:link w:val="28"/>
    <w:unhideWhenUsed/>
    <w:qFormat/>
    <w:uiPriority w:val="99"/>
    <w:pPr>
      <w:ind w:left="0" w:leftChars="0"/>
    </w:pPr>
    <w:rPr>
      <w:rFonts w:ascii="宋体" w:hAnsi="宋体"/>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22"/>
    <w:rPr>
      <w:b/>
    </w:rPr>
  </w:style>
  <w:style w:type="character" w:styleId="19">
    <w:name w:val="FollowedHyperlink"/>
    <w:basedOn w:val="17"/>
    <w:semiHidden/>
    <w:unhideWhenUsed/>
    <w:qFormat/>
    <w:uiPriority w:val="99"/>
    <w:rPr>
      <w:color w:val="800080"/>
      <w:u w:val="single"/>
    </w:rPr>
  </w:style>
  <w:style w:type="character" w:styleId="20">
    <w:name w:val="Hyperlink"/>
    <w:basedOn w:val="17"/>
    <w:unhideWhenUsed/>
    <w:qFormat/>
    <w:uiPriority w:val="99"/>
    <w:rPr>
      <w:color w:val="0000FF"/>
      <w:u w:val="single"/>
    </w:rPr>
  </w:style>
  <w:style w:type="character" w:customStyle="1" w:styleId="21">
    <w:name w:val="页眉 Char"/>
    <w:basedOn w:val="17"/>
    <w:link w:val="9"/>
    <w:qFormat/>
    <w:uiPriority w:val="99"/>
    <w:rPr>
      <w:sz w:val="18"/>
      <w:szCs w:val="18"/>
    </w:rPr>
  </w:style>
  <w:style w:type="character" w:customStyle="1" w:styleId="22">
    <w:name w:val="页脚 Char"/>
    <w:basedOn w:val="17"/>
    <w:link w:val="8"/>
    <w:qFormat/>
    <w:uiPriority w:val="99"/>
    <w:rPr>
      <w:sz w:val="18"/>
      <w:szCs w:val="18"/>
    </w:rPr>
  </w:style>
  <w:style w:type="character" w:customStyle="1" w:styleId="23">
    <w:name w:val="日期 Char"/>
    <w:basedOn w:val="17"/>
    <w:link w:val="6"/>
    <w:semiHidden/>
    <w:qFormat/>
    <w:uiPriority w:val="99"/>
  </w:style>
  <w:style w:type="character" w:customStyle="1" w:styleId="24">
    <w:name w:val="批注框文本 Char"/>
    <w:basedOn w:val="17"/>
    <w:link w:val="7"/>
    <w:semiHidden/>
    <w:qFormat/>
    <w:uiPriority w:val="99"/>
    <w:rPr>
      <w:sz w:val="18"/>
      <w:szCs w:val="18"/>
    </w:rPr>
  </w:style>
  <w:style w:type="paragraph" w:styleId="25">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26">
    <w:name w:val="Default"/>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27">
    <w:name w:val="正文文本缩进 Char"/>
    <w:basedOn w:val="17"/>
    <w:link w:val="5"/>
    <w:qFormat/>
    <w:uiPriority w:val="99"/>
    <w:rPr>
      <w:rFonts w:asciiTheme="minorHAnsi" w:hAnsiTheme="minorHAnsi" w:eastAsiaTheme="minorEastAsia" w:cstheme="minorBidi"/>
      <w:kern w:val="2"/>
      <w:sz w:val="21"/>
      <w:szCs w:val="22"/>
    </w:rPr>
  </w:style>
  <w:style w:type="character" w:customStyle="1" w:styleId="28">
    <w:name w:val="正文首行缩进 2 Char"/>
    <w:basedOn w:val="27"/>
    <w:link w:val="14"/>
    <w:qFormat/>
    <w:uiPriority w:val="99"/>
    <w:rPr>
      <w:rFonts w:ascii="宋体" w:hAnsi="宋体" w:eastAsiaTheme="minorEastAsia" w:cstheme="minorBidi"/>
      <w:kern w:val="2"/>
      <w:sz w:val="21"/>
      <w:szCs w:val="22"/>
    </w:rPr>
  </w:style>
  <w:style w:type="paragraph" w:customStyle="1" w:styleId="29">
    <w:name w:val="font5"/>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0">
    <w:name w:val="xl6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2">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3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FF0000"/>
      <w:kern w:val="0"/>
      <w:sz w:val="20"/>
      <w:szCs w:val="20"/>
    </w:rPr>
  </w:style>
  <w:style w:type="paragraph" w:customStyle="1" w:styleId="35">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华文仿宋" w:hAnsi="华文仿宋" w:eastAsia="华文仿宋" w:cs="宋体"/>
      <w:color w:val="000000"/>
      <w:kern w:val="0"/>
      <w:sz w:val="20"/>
      <w:szCs w:val="20"/>
    </w:rPr>
  </w:style>
  <w:style w:type="paragraph" w:customStyle="1" w:styleId="36">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color w:val="000000"/>
      <w:kern w:val="0"/>
      <w:sz w:val="20"/>
      <w:szCs w:val="20"/>
    </w:rPr>
  </w:style>
  <w:style w:type="paragraph" w:customStyle="1" w:styleId="3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color w:val="000000"/>
      <w:kern w:val="0"/>
      <w:sz w:val="20"/>
      <w:szCs w:val="20"/>
    </w:rPr>
  </w:style>
  <w:style w:type="paragraph" w:customStyle="1" w:styleId="3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3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4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eastAsia="宋体" w:cs="宋体"/>
      <w:color w:val="0D0D0D"/>
      <w:kern w:val="0"/>
      <w:sz w:val="20"/>
      <w:szCs w:val="20"/>
    </w:rPr>
  </w:style>
  <w:style w:type="paragraph" w:customStyle="1" w:styleId="41">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2">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D0D0D"/>
      <w:kern w:val="0"/>
      <w:sz w:val="20"/>
      <w:szCs w:val="20"/>
    </w:rPr>
  </w:style>
  <w:style w:type="paragraph" w:customStyle="1" w:styleId="43">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D0D0D"/>
      <w:kern w:val="0"/>
      <w:sz w:val="20"/>
      <w:szCs w:val="20"/>
    </w:rPr>
  </w:style>
  <w:style w:type="paragraph" w:customStyle="1" w:styleId="4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4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46">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character" w:customStyle="1" w:styleId="47">
    <w:name w:val="正文文本 2 Char"/>
    <w:basedOn w:val="17"/>
    <w:link w:val="13"/>
    <w:semiHidden/>
    <w:qFormat/>
    <w:uiPriority w:val="99"/>
    <w:rPr>
      <w:rFonts w:asciiTheme="minorHAnsi" w:hAnsiTheme="minorHAnsi" w:eastAsiaTheme="minorEastAsia" w:cstheme="minorBidi"/>
      <w:kern w:val="2"/>
      <w:sz w:val="21"/>
      <w:szCs w:val="22"/>
    </w:rPr>
  </w:style>
  <w:style w:type="paragraph" w:customStyle="1" w:styleId="48">
    <w:name w:val="列出段落1"/>
    <w:basedOn w:val="1"/>
    <w:qFormat/>
    <w:uiPriority w:val="34"/>
    <w:pPr>
      <w:ind w:firstLine="420" w:firstLineChars="200"/>
    </w:pPr>
    <w:rPr>
      <w:rFonts w:ascii="Calibri" w:hAnsi="Calibri" w:eastAsia="宋体" w:cs="Times New Roman"/>
      <w:szCs w:val="24"/>
    </w:rPr>
  </w:style>
  <w:style w:type="character" w:customStyle="1" w:styleId="49">
    <w:name w:val="标题 2 Char"/>
    <w:basedOn w:val="17"/>
    <w:link w:val="3"/>
    <w:semiHidden/>
    <w:qFormat/>
    <w:uiPriority w:val="9"/>
    <w:rPr>
      <w:rFonts w:asciiTheme="majorHAnsi" w:hAnsiTheme="majorHAnsi" w:eastAsiaTheme="majorEastAsia" w:cstheme="majorBidi"/>
      <w:b/>
      <w:bCs/>
      <w:kern w:val="2"/>
      <w:sz w:val="32"/>
      <w:szCs w:val="32"/>
    </w:rPr>
  </w:style>
  <w:style w:type="paragraph" w:customStyle="1" w:styleId="50">
    <w:name w:val="Table Paragraph"/>
    <w:basedOn w:val="1"/>
    <w:qFormat/>
    <w:uiPriority w:val="1"/>
    <w:pPr>
      <w:autoSpaceDE w:val="0"/>
      <w:autoSpaceDN w:val="0"/>
      <w:jc w:val="left"/>
    </w:pPr>
    <w:rPr>
      <w:rFonts w:ascii="Arial Unicode MS" w:hAnsi="Arial Unicode MS" w:eastAsia="Arial Unicode MS" w:cs="Arial Unicode MS"/>
      <w:kern w:val="0"/>
      <w:sz w:val="22"/>
      <w:lang w:val="zh-CN" w:bidi="zh-CN"/>
    </w:rPr>
  </w:style>
  <w:style w:type="character" w:customStyle="1" w:styleId="51">
    <w:name w:val="列表 Char"/>
    <w:link w:val="11"/>
    <w:qFormat/>
    <w:locked/>
    <w:uiPriority w:val="34"/>
    <w:rPr>
      <w:rFonts w:ascii="Arial Unicode MS" w:hAnsi="Arial Unicode MS" w:eastAsia="Arial Unicode MS" w:cs="Arial Unicode MS"/>
      <w:sz w:val="22"/>
      <w:szCs w:val="22"/>
      <w:lang w:val="zh-CN" w:bidi="zh-CN"/>
    </w:rPr>
  </w:style>
  <w:style w:type="paragraph" w:customStyle="1" w:styleId="52">
    <w:name w:val="null3"/>
    <w:hidden/>
    <w:qFormat/>
    <w:uiPriority w:val="0"/>
    <w:rPr>
      <w:rFonts w:hint="eastAsia" w:ascii="华文中宋" w:hAnsi="华文中宋" w:eastAsia="华文中宋"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5</Pages>
  <Words>2241</Words>
  <Characters>2325</Characters>
  <Lines>16</Lines>
  <Paragraphs>4</Paragraphs>
  <TotalTime>7</TotalTime>
  <ScaleCrop>false</ScaleCrop>
  <LinksUpToDate>false</LinksUpToDate>
  <CharactersWithSpaces>2575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2023-03-29T03:22:00Z</dcterms:created>
  <dc:creator>lenovo</dc:creator>
  <cp:lastModifiedBy>奥特慢</cp:lastModifiedBy>
  <cp:lastPrinted>2023-11-17T01:25:00Z</cp:lastPrinted>
  <dcterms:modified xsi:type="dcterms:W3CDTF">2025-04-24T07:59:10Z</dcterms:modified>
  <cp:revision>226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DCD901F645D64EA99335537647EA00E6_13</vt:lpwstr>
  </property>
  <property fmtid="{D5CDD505-2E9C-101B-9397-08002B2CF9AE}" pid="4" name="KSOTemplateDocerSaveRecord">
    <vt:lpwstr>eyJoZGlkIjoiZTNlY2I4ZTFlNjc0Yjg0OGQxMWZlY2Y2MzcyNGIzMzYiLCJ1c2VySWQiOiI2NDg5MDk2OTQifQ==</vt:lpwstr>
  </property>
</Properties>
</file>