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5F0A62">
      <w:pPr>
        <w:pStyle w:val="2"/>
        <w:keepNext/>
        <w:keepLines w:val="0"/>
        <w:pageBreakBefore w:val="0"/>
        <w:widowControl w:val="0"/>
        <w:numPr>
          <w:ilvl w:val="0"/>
          <w:numId w:val="0"/>
        </w:numPr>
        <w:kinsoku/>
        <w:wordWrap/>
        <w:overflowPunct/>
        <w:topLinePunct w:val="0"/>
        <w:autoSpaceDE/>
        <w:autoSpaceDN/>
        <w:bidi w:val="0"/>
        <w:adjustRightInd/>
        <w:snapToGrid w:val="0"/>
        <w:spacing w:before="0" w:beforeLines="0" w:after="0" w:afterLines="0" w:line="570" w:lineRule="exact"/>
        <w:jc w:val="center"/>
        <w:textAlignment w:val="auto"/>
        <w:rPr>
          <w:rFonts w:hint="eastAsia" w:ascii="方正小标宋_GBK" w:hAnsi="方正小标宋_GBK" w:eastAsia="方正小标宋_GBK" w:cs="方正小标宋_GBK"/>
          <w:color w:val="auto"/>
          <w:spacing w:val="0"/>
          <w:kern w:val="0"/>
          <w:sz w:val="44"/>
          <w:szCs w:val="44"/>
          <w:highlight w:val="none"/>
          <w:lang w:val="en-US" w:eastAsia="zh-CN"/>
        </w:rPr>
      </w:pPr>
      <w:r>
        <w:rPr>
          <w:rFonts w:hint="eastAsia" w:ascii="方正小标宋_GBK" w:hAnsi="方正小标宋_GBK" w:eastAsia="方正小标宋_GBK" w:cs="方正小标宋_GBK"/>
          <w:color w:val="auto"/>
          <w:spacing w:val="0"/>
          <w:kern w:val="0"/>
          <w:sz w:val="44"/>
          <w:szCs w:val="44"/>
          <w:highlight w:val="none"/>
          <w:lang w:val="en-US" w:eastAsia="zh-CN"/>
        </w:rPr>
        <w:t>重庆市巴南区图书馆2026年全馆信息化硬件设备运行维修维护服务项目询价参数</w:t>
      </w:r>
    </w:p>
    <w:p w14:paraId="2918B963">
      <w:pPr>
        <w:pStyle w:val="2"/>
        <w:keepNext/>
        <w:keepLines w:val="0"/>
        <w:pageBreakBefore w:val="0"/>
        <w:widowControl w:val="0"/>
        <w:numPr>
          <w:ilvl w:val="0"/>
          <w:numId w:val="0"/>
        </w:numPr>
        <w:kinsoku/>
        <w:wordWrap/>
        <w:overflowPunct/>
        <w:topLinePunct w:val="0"/>
        <w:autoSpaceDE/>
        <w:autoSpaceDN/>
        <w:bidi w:val="0"/>
        <w:adjustRightInd/>
        <w:snapToGrid w:val="0"/>
        <w:spacing w:before="0" w:beforeLines="0" w:after="0" w:afterLines="0" w:line="570" w:lineRule="exact"/>
        <w:jc w:val="center"/>
        <w:textAlignment w:val="auto"/>
        <w:rPr>
          <w:rFonts w:hint="default"/>
          <w:lang w:val="en-US" w:eastAsia="zh-CN"/>
        </w:rPr>
      </w:pPr>
    </w:p>
    <w:p w14:paraId="364F0D8F">
      <w:pPr>
        <w:spacing w:line="570" w:lineRule="exact"/>
        <w:rPr>
          <w:rFonts w:hint="eastAsia" w:ascii="方正黑体_GBK" w:hAnsi="Times New Roman" w:eastAsia="方正黑体_GBK" w:cs="Times New Roman"/>
          <w:sz w:val="32"/>
          <w:szCs w:val="32"/>
          <w:lang w:val="en-US" w:eastAsia="zh-CN"/>
        </w:rPr>
      </w:pPr>
      <w:r>
        <w:rPr>
          <w:rFonts w:hint="eastAsia" w:ascii="方正黑体_GBK" w:eastAsia="方正黑体_GBK" w:cs="Times New Roman"/>
          <w:sz w:val="32"/>
          <w:szCs w:val="32"/>
          <w:lang w:val="en-US" w:eastAsia="zh-CN"/>
        </w:rPr>
        <w:t>一</w:t>
      </w:r>
      <w:r>
        <w:rPr>
          <w:rFonts w:hint="eastAsia" w:ascii="方正黑体_GBK" w:hAnsi="Times New Roman" w:eastAsia="方正黑体_GBK" w:cs="Times New Roman"/>
          <w:sz w:val="32"/>
          <w:szCs w:val="32"/>
          <w:lang w:val="en-US" w:eastAsia="zh-CN"/>
        </w:rPr>
        <w:t>、项目名称</w:t>
      </w:r>
    </w:p>
    <w:p w14:paraId="2D3B07C0">
      <w:pPr>
        <w:pStyle w:val="2"/>
        <w:keepNext/>
        <w:keepLines w:val="0"/>
        <w:pageBreakBefore w:val="0"/>
        <w:widowControl w:val="0"/>
        <w:numPr>
          <w:ilvl w:val="0"/>
          <w:numId w:val="0"/>
        </w:numPr>
        <w:kinsoku/>
        <w:wordWrap/>
        <w:overflowPunct/>
        <w:topLinePunct w:val="0"/>
        <w:autoSpaceDE/>
        <w:autoSpaceDN/>
        <w:bidi w:val="0"/>
        <w:adjustRightInd/>
        <w:snapToGrid w:val="0"/>
        <w:spacing w:before="0" w:beforeLines="0" w:after="0" w:afterLines="0" w:line="570"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重庆市巴南区图书馆2026年全馆信息化硬件设备运行维修维护服务</w:t>
      </w:r>
    </w:p>
    <w:p w14:paraId="63BA314B">
      <w:pPr>
        <w:spacing w:line="570" w:lineRule="exact"/>
        <w:rPr>
          <w:rFonts w:ascii="方正仿宋_GBK" w:hAnsi="方正仿宋_GBK" w:eastAsia="方正黑体_GBK" w:cs="方正仿宋_GBK"/>
          <w:sz w:val="32"/>
          <w:szCs w:val="32"/>
        </w:rPr>
      </w:pPr>
      <w:r>
        <w:rPr>
          <w:rFonts w:hint="eastAsia" w:ascii="方正黑体_GBK" w:hAnsi="Times New Roman" w:eastAsia="方正黑体_GBK" w:cs="Times New Roman"/>
          <w:sz w:val="32"/>
          <w:szCs w:val="32"/>
        </w:rPr>
        <w:t>二、</w:t>
      </w:r>
      <w:r>
        <w:rPr>
          <w:rFonts w:ascii="方正黑体_GBK" w:hAnsi="Times New Roman" w:eastAsia="方正黑体_GBK" w:cs="Times New Roman"/>
          <w:sz w:val="32"/>
          <w:szCs w:val="32"/>
        </w:rPr>
        <w:t>商务参数</w:t>
      </w:r>
      <w:r>
        <w:rPr>
          <w:rFonts w:hint="eastAsia" w:ascii="方正黑体_GBK" w:hAnsi="Times New Roman" w:eastAsia="方正黑体_GBK" w:cs="Times New Roman"/>
          <w:sz w:val="32"/>
          <w:szCs w:val="32"/>
        </w:rPr>
        <w:t>和资格条件</w:t>
      </w:r>
    </w:p>
    <w:p w14:paraId="29C56692">
      <w:pPr>
        <w:snapToGrid w:val="0"/>
        <w:spacing w:line="570" w:lineRule="exact"/>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1.具有独立承担民事责任的能力；</w:t>
      </w:r>
    </w:p>
    <w:p w14:paraId="1A73C495">
      <w:pPr>
        <w:snapToGrid w:val="0"/>
        <w:spacing w:line="570" w:lineRule="exact"/>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2.具有良好的商业信誉和健全的财务会计制度；</w:t>
      </w:r>
    </w:p>
    <w:p w14:paraId="7C654FE1">
      <w:pPr>
        <w:snapToGrid w:val="0"/>
        <w:spacing w:line="570" w:lineRule="exact"/>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3.具有履行合同所必需的设备和专业技术能力；</w:t>
      </w:r>
    </w:p>
    <w:p w14:paraId="2E56A032">
      <w:pPr>
        <w:snapToGrid w:val="0"/>
        <w:spacing w:line="570" w:lineRule="exact"/>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4.有依法缴纳税收和社会保障资金的良好记录；</w:t>
      </w:r>
    </w:p>
    <w:p w14:paraId="6BC417FF">
      <w:pPr>
        <w:snapToGrid w:val="0"/>
        <w:spacing w:line="570" w:lineRule="exact"/>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5.参加政府采购活动前三年内，在经营活动中没有重大违法记录；</w:t>
      </w:r>
    </w:p>
    <w:p w14:paraId="3F41EB54">
      <w:pPr>
        <w:snapToGrid w:val="0"/>
        <w:spacing w:line="570" w:lineRule="exact"/>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6.法律、行政法规规定的其他条件。</w:t>
      </w:r>
    </w:p>
    <w:p w14:paraId="22D8F0AC">
      <w:pPr>
        <w:spacing w:line="570" w:lineRule="exact"/>
        <w:rPr>
          <w:rFonts w:ascii="方正黑体_GBK" w:hAnsi="Times New Roman" w:eastAsia="方正黑体_GBK" w:cs="Times New Roman"/>
          <w:sz w:val="32"/>
          <w:szCs w:val="32"/>
        </w:rPr>
      </w:pPr>
      <w:r>
        <w:rPr>
          <w:rFonts w:hint="eastAsia" w:ascii="方正黑体_GBK" w:hAnsi="Times New Roman" w:eastAsia="方正黑体_GBK" w:cs="Times New Roman"/>
          <w:sz w:val="32"/>
          <w:szCs w:val="32"/>
        </w:rPr>
        <w:t>三、</w:t>
      </w:r>
      <w:r>
        <w:rPr>
          <w:rFonts w:ascii="方正黑体_GBK" w:hAnsi="Times New Roman" w:eastAsia="方正黑体_GBK" w:cs="Times New Roman"/>
          <w:sz w:val="32"/>
          <w:szCs w:val="32"/>
        </w:rPr>
        <w:t>技术参数</w:t>
      </w:r>
      <w:r>
        <w:rPr>
          <w:rFonts w:hint="eastAsia" w:ascii="方正黑体_GBK" w:hAnsi="Times New Roman" w:eastAsia="方正黑体_GBK" w:cs="Times New Roman"/>
          <w:sz w:val="32"/>
          <w:szCs w:val="32"/>
        </w:rPr>
        <w:t>和服务要求</w:t>
      </w:r>
    </w:p>
    <w:p w14:paraId="776AC98E">
      <w:pPr>
        <w:snapToGrid w:val="0"/>
        <w:spacing w:line="570" w:lineRule="exact"/>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（一）实施地点：重庆市巴南区图书馆</w:t>
      </w:r>
    </w:p>
    <w:p w14:paraId="78A3A994">
      <w:pPr>
        <w:snapToGrid w:val="0"/>
        <w:spacing w:line="570" w:lineRule="exact"/>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重庆市巴南区图书馆，包括龙洲湾巴南文化艺术中心总馆（以下简称总馆）、李家沱直属分馆、鱼洞直属分馆以及总馆下设的7个24小时自助图书馆室内自动化、信息化设备（清单附后）的日常运行维护和故障处置。</w:t>
      </w:r>
    </w:p>
    <w:p w14:paraId="5035ABE4">
      <w:pPr>
        <w:snapToGrid w:val="0"/>
        <w:spacing w:line="570" w:lineRule="exact"/>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（二）维保人员要求</w:t>
      </w:r>
    </w:p>
    <w:p w14:paraId="63CA6B6B">
      <w:pPr>
        <w:snapToGrid w:val="0"/>
        <w:spacing w:line="570" w:lineRule="exact"/>
        <w:ind w:firstLine="640" w:firstLineChars="200"/>
        <w:rPr>
          <w:rFonts w:hint="default" w:ascii="方正仿宋_GBK" w:hAnsi="方正仿宋_GBK" w:eastAsia="方正仿宋_GBK" w:cs="方正仿宋_GBK"/>
          <w:sz w:val="32"/>
          <w:szCs w:val="32"/>
          <w:lang w:val="en-US" w:eastAsia="zh-CN"/>
        </w:rPr>
      </w:pPr>
      <w:r>
        <w:rPr>
          <w:rFonts w:hint="default" w:ascii="方正仿宋_GBK" w:hAnsi="方正仿宋_GBK" w:eastAsia="方正仿宋_GBK" w:cs="方正仿宋_GBK"/>
          <w:sz w:val="32"/>
          <w:szCs w:val="32"/>
          <w:lang w:val="en-US" w:eastAsia="zh-CN"/>
        </w:rPr>
        <w:t>1</w:t>
      </w:r>
      <w:r>
        <w:rPr>
          <w:rFonts w:hint="eastAsia" w:ascii="方正仿宋_GBK" w:hAnsi="方正仿宋_GBK" w:eastAsia="方正仿宋_GBK" w:cs="方正仿宋_GBK"/>
          <w:sz w:val="32"/>
          <w:szCs w:val="32"/>
          <w:lang w:val="en-US" w:eastAsia="zh-CN"/>
        </w:rPr>
        <w:t>.</w:t>
      </w:r>
      <w:r>
        <w:rPr>
          <w:rFonts w:hint="default" w:ascii="方正仿宋_GBK" w:hAnsi="方正仿宋_GBK" w:eastAsia="方正仿宋_GBK" w:cs="方正仿宋_GBK"/>
          <w:sz w:val="32"/>
          <w:szCs w:val="32"/>
          <w:lang w:val="en-US" w:eastAsia="zh-CN"/>
        </w:rPr>
        <w:t>中标供应商需派驻3名驻巴南区图书馆</w:t>
      </w:r>
      <w:r>
        <w:rPr>
          <w:rFonts w:hint="eastAsia" w:ascii="方正仿宋_GBK" w:hAnsi="方正仿宋_GBK" w:eastAsia="方正仿宋_GBK" w:cs="方正仿宋_GBK"/>
          <w:sz w:val="32"/>
          <w:szCs w:val="32"/>
          <w:lang w:val="en-US" w:eastAsia="zh-CN"/>
        </w:rPr>
        <w:t>总馆</w:t>
      </w:r>
      <w:r>
        <w:rPr>
          <w:rFonts w:hint="default" w:ascii="方正仿宋_GBK" w:hAnsi="方正仿宋_GBK" w:eastAsia="方正仿宋_GBK" w:cs="方正仿宋_GBK"/>
          <w:sz w:val="32"/>
          <w:szCs w:val="32"/>
          <w:lang w:val="en-US" w:eastAsia="zh-CN"/>
        </w:rPr>
        <w:t>现场技术服务人员（简称“驻场人员”），驻场技术服务人员需具有计算机、网络、图书自助借还等设备维护5年以上经验。驻场人员工作时间、考勤纪律与本馆行政上班人员要求一致。（签订合同之前，中标供应商应出具</w:t>
      </w:r>
      <w:r>
        <w:rPr>
          <w:rFonts w:hint="eastAsia" w:ascii="方正仿宋_GBK" w:hAnsi="方正仿宋_GBK" w:eastAsia="方正仿宋_GBK" w:cs="方正仿宋_GBK"/>
          <w:sz w:val="32"/>
          <w:szCs w:val="32"/>
          <w:lang w:val="en-US" w:eastAsia="zh-CN"/>
        </w:rPr>
        <w:t>驻场人员</w:t>
      </w:r>
      <w:r>
        <w:rPr>
          <w:rFonts w:hint="default" w:ascii="方正仿宋_GBK" w:hAnsi="方正仿宋_GBK" w:eastAsia="方正仿宋_GBK" w:cs="方正仿宋_GBK"/>
          <w:sz w:val="32"/>
          <w:szCs w:val="32"/>
          <w:lang w:val="en-US" w:eastAsia="zh-CN"/>
        </w:rPr>
        <w:t>名单，</w:t>
      </w:r>
      <w:r>
        <w:rPr>
          <w:rFonts w:hint="eastAsia" w:ascii="方正仿宋_GBK" w:hAnsi="方正仿宋_GBK" w:eastAsia="方正仿宋_GBK" w:cs="方正仿宋_GBK"/>
          <w:sz w:val="32"/>
          <w:szCs w:val="32"/>
          <w:lang w:val="en-US" w:eastAsia="zh-CN"/>
        </w:rPr>
        <w:t>其在中标供应商的</w:t>
      </w:r>
      <w:r>
        <w:rPr>
          <w:rFonts w:hint="default" w:ascii="方正仿宋_GBK" w:hAnsi="方正仿宋_GBK" w:eastAsia="方正仿宋_GBK" w:cs="方正仿宋_GBK"/>
          <w:sz w:val="32"/>
          <w:szCs w:val="32"/>
          <w:lang w:val="en-US" w:eastAsia="zh-CN"/>
        </w:rPr>
        <w:t>社保</w:t>
      </w:r>
      <w:r>
        <w:rPr>
          <w:rFonts w:hint="eastAsia" w:ascii="方正仿宋_GBK" w:hAnsi="方正仿宋_GBK" w:eastAsia="方正仿宋_GBK" w:cs="方正仿宋_GBK"/>
          <w:sz w:val="32"/>
          <w:szCs w:val="32"/>
          <w:lang w:val="en-US" w:eastAsia="zh-CN"/>
        </w:rPr>
        <w:t>资质、专业技术资质</w:t>
      </w:r>
      <w:r>
        <w:rPr>
          <w:rFonts w:hint="default" w:ascii="方正仿宋_GBK" w:hAnsi="方正仿宋_GBK" w:eastAsia="方正仿宋_GBK" w:cs="方正仿宋_GBK"/>
          <w:sz w:val="32"/>
          <w:szCs w:val="32"/>
          <w:lang w:val="en-US" w:eastAsia="zh-CN"/>
        </w:rPr>
        <w:t>，否则采购方有权单方面拒绝签订合同）。</w:t>
      </w:r>
    </w:p>
    <w:p w14:paraId="7053A5CB">
      <w:pPr>
        <w:snapToGrid w:val="0"/>
        <w:spacing w:line="570" w:lineRule="exact"/>
        <w:ind w:firstLine="640" w:firstLineChars="200"/>
        <w:rPr>
          <w:rFonts w:hint="default" w:ascii="方正仿宋_GBK" w:hAnsi="方正仿宋_GBK" w:eastAsia="方正仿宋_GBK" w:cs="方正仿宋_GBK"/>
          <w:sz w:val="32"/>
          <w:szCs w:val="32"/>
          <w:lang w:val="en-US" w:eastAsia="zh-CN"/>
        </w:rPr>
      </w:pPr>
      <w:r>
        <w:rPr>
          <w:rFonts w:hint="default"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lang w:val="en-US" w:eastAsia="zh-CN"/>
        </w:rPr>
        <w:t>.驻场人员</w:t>
      </w:r>
      <w:r>
        <w:rPr>
          <w:rFonts w:hint="default" w:ascii="方正仿宋_GBK" w:hAnsi="方正仿宋_GBK" w:eastAsia="方正仿宋_GBK" w:cs="方正仿宋_GBK"/>
          <w:sz w:val="32"/>
          <w:szCs w:val="32"/>
          <w:lang w:val="en-US" w:eastAsia="zh-CN"/>
        </w:rPr>
        <w:t>须具备相应的技术能力和应急处置能力，处理和协调各种PC、多媒体平台、常用操作系统及软硬件基本故障及突发的系统事件，熟悉Windows操作系统及常用办公软件、熟悉计算机硬件安装调试，具有较强的沟通能力和保密意识。在协议期内将与用户方签订保密协议</w:t>
      </w:r>
      <w:r>
        <w:rPr>
          <w:rFonts w:hint="eastAsia" w:ascii="方正仿宋_GBK" w:hAnsi="方正仿宋_GBK" w:eastAsia="方正仿宋_GBK" w:cs="方正仿宋_GBK"/>
          <w:sz w:val="32"/>
          <w:szCs w:val="32"/>
          <w:lang w:val="en-US" w:eastAsia="zh-CN"/>
        </w:rPr>
        <w:t>；</w:t>
      </w:r>
    </w:p>
    <w:p w14:paraId="2D2A6299">
      <w:pPr>
        <w:snapToGrid w:val="0"/>
        <w:spacing w:line="570" w:lineRule="exact"/>
        <w:ind w:firstLine="640" w:firstLineChars="200"/>
        <w:rPr>
          <w:rFonts w:hint="default" w:ascii="方正仿宋_GBK" w:hAnsi="方正仿宋_GBK" w:eastAsia="方正仿宋_GBK" w:cs="方正仿宋_GBK"/>
          <w:sz w:val="32"/>
          <w:szCs w:val="32"/>
          <w:lang w:val="en-US" w:eastAsia="zh-CN"/>
        </w:rPr>
      </w:pPr>
      <w:r>
        <w:rPr>
          <w:rFonts w:hint="default" w:ascii="方正仿宋_GBK" w:hAnsi="方正仿宋_GBK" w:eastAsia="方正仿宋_GBK" w:cs="方正仿宋_GBK"/>
          <w:sz w:val="32"/>
          <w:szCs w:val="32"/>
          <w:lang w:val="en-US" w:eastAsia="zh-CN"/>
        </w:rPr>
        <w:t>3</w:t>
      </w:r>
      <w:r>
        <w:rPr>
          <w:rFonts w:hint="eastAsia" w:ascii="方正仿宋_GBK" w:hAnsi="方正仿宋_GBK" w:eastAsia="方正仿宋_GBK" w:cs="方正仿宋_GBK"/>
          <w:sz w:val="32"/>
          <w:szCs w:val="32"/>
          <w:lang w:val="en-US" w:eastAsia="zh-CN"/>
        </w:rPr>
        <w:t>.驻场人员</w:t>
      </w:r>
      <w:r>
        <w:rPr>
          <w:rFonts w:hint="default" w:ascii="方正仿宋_GBK" w:hAnsi="方正仿宋_GBK" w:eastAsia="方正仿宋_GBK" w:cs="方正仿宋_GBK"/>
          <w:sz w:val="32"/>
          <w:szCs w:val="32"/>
          <w:lang w:val="en-US" w:eastAsia="zh-CN"/>
        </w:rPr>
        <w:t>在没有提前告知的情况下，不得无故缺勤；</w:t>
      </w:r>
    </w:p>
    <w:p w14:paraId="4DF6A067">
      <w:pPr>
        <w:snapToGrid w:val="0"/>
        <w:spacing w:line="570" w:lineRule="exact"/>
        <w:ind w:firstLine="640" w:firstLineChars="200"/>
        <w:rPr>
          <w:rFonts w:hint="default" w:ascii="方正仿宋_GBK" w:hAnsi="方正仿宋_GBK" w:eastAsia="方正仿宋_GBK" w:cs="方正仿宋_GBK"/>
          <w:sz w:val="32"/>
          <w:szCs w:val="32"/>
          <w:lang w:val="en-US" w:eastAsia="zh-CN"/>
        </w:rPr>
      </w:pPr>
      <w:r>
        <w:rPr>
          <w:rFonts w:hint="default"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lang w:val="en-US" w:eastAsia="zh-CN"/>
        </w:rPr>
        <w:t>.驻场人员</w:t>
      </w:r>
      <w:r>
        <w:rPr>
          <w:rFonts w:hint="default" w:ascii="方正仿宋_GBK" w:hAnsi="方正仿宋_GBK" w:eastAsia="方正仿宋_GBK" w:cs="方正仿宋_GBK"/>
          <w:sz w:val="32"/>
          <w:szCs w:val="32"/>
          <w:lang w:val="en-US" w:eastAsia="zh-CN"/>
        </w:rPr>
        <w:t>必须对机房及设备进行必要的巡查，做好巡查日志记录；</w:t>
      </w:r>
    </w:p>
    <w:p w14:paraId="25FFB4EB">
      <w:pPr>
        <w:snapToGrid w:val="0"/>
        <w:spacing w:line="570" w:lineRule="exact"/>
        <w:ind w:firstLine="640" w:firstLineChars="200"/>
        <w:rPr>
          <w:rFonts w:hint="default" w:ascii="方正仿宋_GBK" w:hAnsi="方正仿宋_GBK" w:eastAsia="方正仿宋_GBK" w:cs="方正仿宋_GBK"/>
          <w:sz w:val="32"/>
          <w:szCs w:val="32"/>
          <w:lang w:val="en-US" w:eastAsia="zh-CN"/>
        </w:rPr>
      </w:pPr>
      <w:r>
        <w:rPr>
          <w:rFonts w:hint="default" w:ascii="方正仿宋_GBK" w:hAnsi="方正仿宋_GBK" w:eastAsia="方正仿宋_GBK" w:cs="方正仿宋_GBK"/>
          <w:sz w:val="32"/>
          <w:szCs w:val="32"/>
          <w:lang w:val="en-US" w:eastAsia="zh-CN"/>
        </w:rPr>
        <w:t>5</w:t>
      </w:r>
      <w:r>
        <w:rPr>
          <w:rFonts w:hint="eastAsia" w:ascii="方正仿宋_GBK" w:hAnsi="方正仿宋_GBK" w:eastAsia="方正仿宋_GBK" w:cs="方正仿宋_GBK"/>
          <w:sz w:val="32"/>
          <w:szCs w:val="32"/>
          <w:lang w:val="en-US" w:eastAsia="zh-CN"/>
        </w:rPr>
        <w:t>.驻场人员</w:t>
      </w:r>
      <w:r>
        <w:rPr>
          <w:rFonts w:hint="default" w:ascii="方正仿宋_GBK" w:hAnsi="方正仿宋_GBK" w:eastAsia="方正仿宋_GBK" w:cs="方正仿宋_GBK"/>
          <w:sz w:val="32"/>
          <w:szCs w:val="32"/>
          <w:lang w:val="en-US" w:eastAsia="zh-CN"/>
        </w:rPr>
        <w:t>严禁将电脑病毒带入监管电脑；</w:t>
      </w:r>
    </w:p>
    <w:p w14:paraId="02EAFAD3">
      <w:pPr>
        <w:snapToGrid w:val="0"/>
        <w:spacing w:line="570" w:lineRule="exact"/>
        <w:ind w:firstLine="640" w:firstLineChars="200"/>
        <w:rPr>
          <w:rFonts w:hint="default" w:ascii="方正仿宋_GBK" w:hAnsi="方正仿宋_GBK" w:eastAsia="方正仿宋_GBK" w:cs="方正仿宋_GBK"/>
          <w:sz w:val="32"/>
          <w:szCs w:val="32"/>
          <w:lang w:val="en-US" w:eastAsia="zh-CN"/>
        </w:rPr>
      </w:pPr>
      <w:r>
        <w:rPr>
          <w:rFonts w:hint="default" w:ascii="方正仿宋_GBK" w:hAnsi="方正仿宋_GBK" w:eastAsia="方正仿宋_GBK" w:cs="方正仿宋_GBK"/>
          <w:sz w:val="32"/>
          <w:szCs w:val="32"/>
          <w:lang w:val="en-US" w:eastAsia="zh-CN"/>
        </w:rPr>
        <w:t>6</w:t>
      </w:r>
      <w:r>
        <w:rPr>
          <w:rFonts w:hint="eastAsia" w:ascii="方正仿宋_GBK" w:hAnsi="方正仿宋_GBK" w:eastAsia="方正仿宋_GBK" w:cs="方正仿宋_GBK"/>
          <w:sz w:val="32"/>
          <w:szCs w:val="32"/>
          <w:lang w:val="en-US" w:eastAsia="zh-CN"/>
        </w:rPr>
        <w:t>.驻场人员</w:t>
      </w:r>
      <w:r>
        <w:rPr>
          <w:rFonts w:hint="default" w:ascii="方正仿宋_GBK" w:hAnsi="方正仿宋_GBK" w:eastAsia="方正仿宋_GBK" w:cs="方正仿宋_GBK"/>
          <w:sz w:val="32"/>
          <w:szCs w:val="32"/>
          <w:lang w:val="en-US" w:eastAsia="zh-CN"/>
        </w:rPr>
        <w:t>在检查到或接到故障报警时，根据故障实际情况，通知对应的专业人员即时进行处理</w:t>
      </w:r>
      <w:r>
        <w:rPr>
          <w:rFonts w:hint="eastAsia" w:ascii="方正仿宋_GBK" w:hAnsi="方正仿宋_GBK" w:eastAsia="方正仿宋_GBK" w:cs="方正仿宋_GBK"/>
          <w:sz w:val="32"/>
          <w:szCs w:val="32"/>
          <w:lang w:val="en-US" w:eastAsia="zh-CN"/>
        </w:rPr>
        <w:t>。</w:t>
      </w:r>
    </w:p>
    <w:p w14:paraId="26F2EE88">
      <w:pPr>
        <w:snapToGrid w:val="0"/>
        <w:spacing w:line="570" w:lineRule="exact"/>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（三）维保服务要求</w:t>
      </w:r>
    </w:p>
    <w:p w14:paraId="2FEABE05">
      <w:pPr>
        <w:snapToGrid w:val="0"/>
        <w:spacing w:line="570" w:lineRule="exact"/>
        <w:ind w:firstLine="640" w:firstLineChars="200"/>
        <w:rPr>
          <w:rFonts w:hint="default" w:ascii="方正仿宋_GBK" w:hAnsi="方正仿宋_GBK" w:eastAsia="方正仿宋_GBK" w:cs="方正仿宋_GBK"/>
          <w:sz w:val="32"/>
          <w:szCs w:val="32"/>
          <w:lang w:val="en-US" w:eastAsia="zh-CN"/>
        </w:rPr>
      </w:pPr>
      <w:r>
        <w:rPr>
          <w:rFonts w:hint="default" w:ascii="方正仿宋_GBK" w:hAnsi="方正仿宋_GBK" w:eastAsia="方正仿宋_GBK" w:cs="方正仿宋_GBK"/>
          <w:sz w:val="32"/>
          <w:szCs w:val="32"/>
          <w:lang w:val="en-US" w:eastAsia="zh-CN"/>
        </w:rPr>
        <w:t>1</w:t>
      </w:r>
      <w:r>
        <w:rPr>
          <w:rFonts w:hint="eastAsia" w:ascii="方正仿宋_GBK" w:hAnsi="方正仿宋_GBK" w:eastAsia="方正仿宋_GBK" w:cs="方正仿宋_GBK"/>
          <w:sz w:val="32"/>
          <w:szCs w:val="32"/>
          <w:lang w:val="en-US" w:eastAsia="zh-CN"/>
        </w:rPr>
        <w:t>.</w:t>
      </w:r>
      <w:r>
        <w:rPr>
          <w:rFonts w:hint="default" w:ascii="方正仿宋_GBK" w:hAnsi="方正仿宋_GBK" w:eastAsia="方正仿宋_GBK" w:cs="方正仿宋_GBK"/>
          <w:sz w:val="32"/>
          <w:szCs w:val="32"/>
          <w:lang w:val="en-US" w:eastAsia="zh-CN"/>
        </w:rPr>
        <w:t>运维流程</w:t>
      </w:r>
    </w:p>
    <w:p w14:paraId="3AD39FD3">
      <w:pPr>
        <w:snapToGrid w:val="0"/>
        <w:spacing w:line="570" w:lineRule="exact"/>
        <w:ind w:firstLine="640" w:firstLineChars="200"/>
        <w:rPr>
          <w:rFonts w:hint="default" w:ascii="方正仿宋_GBK" w:hAnsi="方正仿宋_GBK" w:eastAsia="方正仿宋_GBK" w:cs="方正仿宋_GBK"/>
          <w:sz w:val="32"/>
          <w:szCs w:val="32"/>
          <w:lang w:val="en-US" w:eastAsia="zh-CN"/>
        </w:rPr>
      </w:pPr>
      <w:r>
        <w:rPr>
          <w:rFonts w:hint="default" w:ascii="方正仿宋_GBK" w:hAnsi="方正仿宋_GBK" w:eastAsia="方正仿宋_GBK" w:cs="方正仿宋_GBK"/>
          <w:sz w:val="32"/>
          <w:szCs w:val="32"/>
          <w:lang w:val="en-US" w:eastAsia="zh-CN"/>
        </w:rPr>
        <w:t>（1）指导进行常规检查，处理一般故障</w:t>
      </w:r>
    </w:p>
    <w:p w14:paraId="09063513">
      <w:pPr>
        <w:snapToGrid w:val="0"/>
        <w:spacing w:line="570" w:lineRule="exact"/>
        <w:ind w:firstLine="640" w:firstLineChars="200"/>
        <w:rPr>
          <w:rFonts w:hint="default" w:ascii="方正仿宋_GBK" w:hAnsi="方正仿宋_GBK" w:eastAsia="方正仿宋_GBK" w:cs="方正仿宋_GBK"/>
          <w:sz w:val="32"/>
          <w:szCs w:val="32"/>
          <w:lang w:val="en-US" w:eastAsia="zh-CN"/>
        </w:rPr>
      </w:pPr>
      <w:r>
        <w:rPr>
          <w:rFonts w:hint="default" w:ascii="方正仿宋_GBK" w:hAnsi="方正仿宋_GBK" w:eastAsia="方正仿宋_GBK" w:cs="方正仿宋_GBK"/>
          <w:sz w:val="32"/>
          <w:szCs w:val="32"/>
          <w:lang w:val="en-US" w:eastAsia="zh-CN"/>
        </w:rPr>
        <w:t>（2）判断故障范围，根据故障难度调度维护人员现场服务</w:t>
      </w:r>
    </w:p>
    <w:p w14:paraId="4D1E6A5A">
      <w:pPr>
        <w:snapToGrid w:val="0"/>
        <w:spacing w:line="570" w:lineRule="exact"/>
        <w:ind w:firstLine="640" w:firstLineChars="200"/>
        <w:rPr>
          <w:rFonts w:hint="default" w:ascii="方正仿宋_GBK" w:hAnsi="方正仿宋_GBK" w:eastAsia="方正仿宋_GBK" w:cs="方正仿宋_GBK"/>
          <w:sz w:val="32"/>
          <w:szCs w:val="32"/>
          <w:lang w:val="en-US" w:eastAsia="zh-CN"/>
        </w:rPr>
      </w:pPr>
      <w:r>
        <w:rPr>
          <w:rFonts w:hint="default" w:ascii="方正仿宋_GBK" w:hAnsi="方正仿宋_GBK" w:eastAsia="方正仿宋_GBK" w:cs="方正仿宋_GBK"/>
          <w:sz w:val="32"/>
          <w:szCs w:val="32"/>
          <w:lang w:val="en-US" w:eastAsia="zh-CN"/>
        </w:rPr>
        <w:t>（3）查看现场，判断类别，报告相关技术问题</w:t>
      </w:r>
    </w:p>
    <w:p w14:paraId="225B8546">
      <w:pPr>
        <w:snapToGrid w:val="0"/>
        <w:spacing w:line="570" w:lineRule="exact"/>
        <w:ind w:firstLine="640" w:firstLineChars="200"/>
        <w:rPr>
          <w:rFonts w:hint="default" w:ascii="方正仿宋_GBK" w:hAnsi="方正仿宋_GBK" w:eastAsia="方正仿宋_GBK" w:cs="方正仿宋_GBK"/>
          <w:sz w:val="32"/>
          <w:szCs w:val="32"/>
          <w:lang w:val="en-US" w:eastAsia="zh-CN"/>
        </w:rPr>
      </w:pPr>
      <w:r>
        <w:rPr>
          <w:rFonts w:hint="default" w:ascii="方正仿宋_GBK" w:hAnsi="方正仿宋_GBK" w:eastAsia="方正仿宋_GBK" w:cs="方正仿宋_GBK"/>
          <w:sz w:val="32"/>
          <w:szCs w:val="32"/>
          <w:lang w:val="en-US" w:eastAsia="zh-CN"/>
        </w:rPr>
        <w:t>（4）解决故障，完毕后清理现场，有始有终</w:t>
      </w:r>
    </w:p>
    <w:p w14:paraId="56EA59D9">
      <w:pPr>
        <w:snapToGrid w:val="0"/>
        <w:spacing w:line="570" w:lineRule="exact"/>
        <w:ind w:firstLine="640" w:firstLineChars="200"/>
        <w:rPr>
          <w:rFonts w:hint="default" w:ascii="方正仿宋_GBK" w:hAnsi="方正仿宋_GBK" w:eastAsia="方正仿宋_GBK" w:cs="方正仿宋_GBK"/>
          <w:sz w:val="32"/>
          <w:szCs w:val="32"/>
          <w:lang w:val="en-US" w:eastAsia="zh-CN"/>
        </w:rPr>
      </w:pPr>
      <w:r>
        <w:rPr>
          <w:rFonts w:hint="default" w:ascii="方正仿宋_GBK" w:hAnsi="方正仿宋_GBK" w:eastAsia="方正仿宋_GBK" w:cs="方正仿宋_GBK"/>
          <w:sz w:val="32"/>
          <w:szCs w:val="32"/>
          <w:lang w:val="en-US" w:eastAsia="zh-CN"/>
        </w:rPr>
        <w:t>（5）合同生效后，公司将根据工作内容安排专业的维护人员为图书馆进行全面的服务，并且为图书馆提供体统升级、扩展、设备选型方面的咨询服务。</w:t>
      </w:r>
    </w:p>
    <w:p w14:paraId="2C1C87CE">
      <w:pPr>
        <w:snapToGrid w:val="0"/>
        <w:spacing w:line="570" w:lineRule="exact"/>
        <w:ind w:firstLine="640" w:firstLineChars="200"/>
        <w:rPr>
          <w:rFonts w:hint="default" w:ascii="方正仿宋_GBK" w:hAnsi="方正仿宋_GBK" w:eastAsia="方正仿宋_GBK" w:cs="方正仿宋_GBK"/>
          <w:sz w:val="32"/>
          <w:szCs w:val="32"/>
          <w:lang w:val="en-US" w:eastAsia="zh-CN"/>
        </w:rPr>
      </w:pPr>
      <w:r>
        <w:rPr>
          <w:rFonts w:hint="default" w:ascii="方正仿宋_GBK" w:hAnsi="方正仿宋_GBK" w:eastAsia="方正仿宋_GBK" w:cs="方正仿宋_GBK"/>
          <w:sz w:val="32"/>
          <w:szCs w:val="32"/>
          <w:lang w:val="en-US" w:eastAsia="zh-CN"/>
        </w:rPr>
        <w:t>（6）图书馆设备出现问题或故障，通过电话及邮件方式申报故障；</w:t>
      </w:r>
    </w:p>
    <w:p w14:paraId="36B60583">
      <w:pPr>
        <w:snapToGrid w:val="0"/>
        <w:spacing w:line="570" w:lineRule="exact"/>
        <w:ind w:firstLine="640" w:firstLineChars="200"/>
        <w:rPr>
          <w:rFonts w:hint="default" w:ascii="方正仿宋_GBK" w:hAnsi="方正仿宋_GBK" w:eastAsia="方正仿宋_GBK" w:cs="方正仿宋_GBK"/>
          <w:sz w:val="32"/>
          <w:szCs w:val="32"/>
          <w:lang w:val="en-US" w:eastAsia="zh-CN"/>
        </w:rPr>
      </w:pPr>
      <w:r>
        <w:rPr>
          <w:rFonts w:hint="default" w:ascii="方正仿宋_GBK" w:hAnsi="方正仿宋_GBK" w:eastAsia="方正仿宋_GBK" w:cs="方正仿宋_GBK"/>
          <w:sz w:val="32"/>
          <w:szCs w:val="32"/>
          <w:lang w:val="en-US" w:eastAsia="zh-CN"/>
        </w:rPr>
        <w:t>（7）故障受理后维护人员在规定时间内做出响应；</w:t>
      </w:r>
    </w:p>
    <w:p w14:paraId="53A6BFB8">
      <w:pPr>
        <w:snapToGrid w:val="0"/>
        <w:spacing w:line="570" w:lineRule="exact"/>
        <w:ind w:firstLine="640" w:firstLineChars="200"/>
        <w:rPr>
          <w:rFonts w:hint="default" w:ascii="方正仿宋_GBK" w:hAnsi="方正仿宋_GBK" w:eastAsia="方正仿宋_GBK" w:cs="方正仿宋_GBK"/>
          <w:sz w:val="32"/>
          <w:szCs w:val="32"/>
          <w:lang w:val="en-US" w:eastAsia="zh-CN"/>
        </w:rPr>
      </w:pPr>
      <w:r>
        <w:rPr>
          <w:rFonts w:hint="default" w:ascii="方正仿宋_GBK" w:hAnsi="方正仿宋_GBK" w:eastAsia="方正仿宋_GBK" w:cs="方正仿宋_GBK"/>
          <w:sz w:val="32"/>
          <w:szCs w:val="32"/>
          <w:lang w:val="en-US" w:eastAsia="zh-CN"/>
        </w:rPr>
        <w:t>（8）先通过电话指导进行常规检查，处理一般故障；</w:t>
      </w:r>
    </w:p>
    <w:p w14:paraId="243D6693">
      <w:pPr>
        <w:snapToGrid w:val="0"/>
        <w:spacing w:line="570" w:lineRule="exact"/>
        <w:ind w:firstLine="640" w:firstLineChars="200"/>
        <w:rPr>
          <w:rFonts w:hint="default" w:ascii="方正仿宋_GBK" w:hAnsi="方正仿宋_GBK" w:eastAsia="方正仿宋_GBK" w:cs="方正仿宋_GBK"/>
          <w:sz w:val="32"/>
          <w:szCs w:val="32"/>
          <w:lang w:val="en-US" w:eastAsia="zh-CN"/>
        </w:rPr>
      </w:pPr>
      <w:r>
        <w:rPr>
          <w:rFonts w:hint="default" w:ascii="方正仿宋_GBK" w:hAnsi="方正仿宋_GBK" w:eastAsia="方正仿宋_GBK" w:cs="方正仿宋_GBK"/>
          <w:sz w:val="32"/>
          <w:szCs w:val="32"/>
          <w:lang w:val="en-US" w:eastAsia="zh-CN"/>
        </w:rPr>
        <w:t>（9）判断故障范围，根据故障难度调度维护人员现场服务；</w:t>
      </w:r>
    </w:p>
    <w:p w14:paraId="62D91C58">
      <w:pPr>
        <w:snapToGrid w:val="0"/>
        <w:spacing w:line="570" w:lineRule="exact"/>
        <w:ind w:firstLine="640" w:firstLineChars="200"/>
        <w:rPr>
          <w:rFonts w:hint="default" w:ascii="方正仿宋_GBK" w:hAnsi="方正仿宋_GBK" w:eastAsia="方正仿宋_GBK" w:cs="方正仿宋_GBK"/>
          <w:sz w:val="32"/>
          <w:szCs w:val="32"/>
          <w:lang w:val="en-US" w:eastAsia="zh-CN"/>
        </w:rPr>
      </w:pPr>
      <w:r>
        <w:rPr>
          <w:rFonts w:hint="default" w:ascii="方正仿宋_GBK" w:hAnsi="方正仿宋_GBK" w:eastAsia="方正仿宋_GBK" w:cs="方正仿宋_GBK"/>
          <w:sz w:val="32"/>
          <w:szCs w:val="32"/>
          <w:lang w:val="en-US" w:eastAsia="zh-CN"/>
        </w:rPr>
        <w:t>（10）查看现场，判断类别，报告相关技术问题；</w:t>
      </w:r>
    </w:p>
    <w:p w14:paraId="13579A20">
      <w:pPr>
        <w:snapToGrid w:val="0"/>
        <w:spacing w:line="570" w:lineRule="exact"/>
        <w:ind w:firstLine="640" w:firstLineChars="200"/>
        <w:rPr>
          <w:rFonts w:hint="default" w:ascii="方正仿宋_GBK" w:hAnsi="方正仿宋_GBK" w:eastAsia="方正仿宋_GBK" w:cs="方正仿宋_GBK"/>
          <w:sz w:val="32"/>
          <w:szCs w:val="32"/>
          <w:lang w:val="en-US" w:eastAsia="zh-CN"/>
        </w:rPr>
      </w:pPr>
      <w:r>
        <w:rPr>
          <w:rFonts w:hint="default" w:ascii="方正仿宋_GBK" w:hAnsi="方正仿宋_GBK" w:eastAsia="方正仿宋_GBK" w:cs="方正仿宋_GBK"/>
          <w:sz w:val="32"/>
          <w:szCs w:val="32"/>
          <w:lang w:val="en-US" w:eastAsia="zh-CN"/>
        </w:rPr>
        <w:t>（11）解决故障，完毕后清理现场，有始有终。</w:t>
      </w:r>
    </w:p>
    <w:p w14:paraId="39C55C97">
      <w:pPr>
        <w:snapToGrid w:val="0"/>
        <w:spacing w:line="570" w:lineRule="exact"/>
        <w:ind w:firstLine="640" w:firstLineChars="200"/>
        <w:rPr>
          <w:rFonts w:hint="default" w:ascii="方正仿宋_GBK" w:hAnsi="方正仿宋_GBK" w:eastAsia="方正仿宋_GBK" w:cs="方正仿宋_GBK"/>
          <w:sz w:val="32"/>
          <w:szCs w:val="32"/>
          <w:lang w:val="en-US" w:eastAsia="zh-CN"/>
        </w:rPr>
      </w:pPr>
      <w:r>
        <w:rPr>
          <w:rFonts w:hint="default"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lang w:val="en-US" w:eastAsia="zh-CN"/>
        </w:rPr>
        <w:t>.</w:t>
      </w:r>
      <w:r>
        <w:rPr>
          <w:rFonts w:hint="default" w:ascii="方正仿宋_GBK" w:hAnsi="方正仿宋_GBK" w:eastAsia="方正仿宋_GBK" w:cs="方正仿宋_GBK"/>
          <w:sz w:val="32"/>
          <w:szCs w:val="32"/>
          <w:lang w:val="en-US" w:eastAsia="zh-CN"/>
        </w:rPr>
        <w:t>维护内容</w:t>
      </w:r>
    </w:p>
    <w:p w14:paraId="7096EBA1">
      <w:pPr>
        <w:snapToGrid w:val="0"/>
        <w:spacing w:line="570" w:lineRule="exact"/>
        <w:ind w:firstLine="640" w:firstLineChars="200"/>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（1）对本馆信息机房内服务器和存储设备提供原厂硬件质量延保服务（清单附后）。</w:t>
      </w:r>
    </w:p>
    <w:p w14:paraId="4F9B0CE2">
      <w:pPr>
        <w:snapToGrid w:val="0"/>
        <w:spacing w:line="570" w:lineRule="exact"/>
        <w:ind w:firstLine="640" w:firstLineChars="200"/>
        <w:rPr>
          <w:rFonts w:hint="default" w:ascii="方正仿宋_GBK" w:hAnsi="方正仿宋_GBK" w:eastAsia="方正仿宋_GBK" w:cs="方正仿宋_GBK"/>
          <w:sz w:val="32"/>
          <w:szCs w:val="32"/>
          <w:lang w:val="en-US" w:eastAsia="zh-CN"/>
        </w:rPr>
      </w:pPr>
      <w:r>
        <w:rPr>
          <w:rFonts w:hint="default" w:ascii="方正仿宋_GBK" w:hAnsi="方正仿宋_GBK" w:eastAsia="方正仿宋_GBK" w:cs="方正仿宋_GBK"/>
          <w:sz w:val="32"/>
          <w:szCs w:val="32"/>
          <w:lang w:val="en-US" w:eastAsia="zh-CN"/>
        </w:rPr>
        <w:t>（</w:t>
      </w:r>
      <w:r>
        <w:rPr>
          <w:rFonts w:hint="eastAsia" w:ascii="方正仿宋_GBK" w:hAnsi="方正仿宋_GBK" w:eastAsia="方正仿宋_GBK" w:cs="方正仿宋_GBK"/>
          <w:sz w:val="32"/>
          <w:szCs w:val="32"/>
          <w:lang w:val="en-US" w:eastAsia="zh-CN"/>
        </w:rPr>
        <w:t>2</w:t>
      </w:r>
      <w:r>
        <w:rPr>
          <w:rFonts w:hint="default" w:ascii="方正仿宋_GBK" w:hAnsi="方正仿宋_GBK" w:eastAsia="方正仿宋_GBK" w:cs="方正仿宋_GBK"/>
          <w:sz w:val="32"/>
          <w:szCs w:val="32"/>
          <w:lang w:val="en-US" w:eastAsia="zh-CN"/>
        </w:rPr>
        <w:t>）有线网络、电话以及路由器、交换机、电话交换机等相关设备运维。</w:t>
      </w:r>
    </w:p>
    <w:p w14:paraId="54D11FF1">
      <w:pPr>
        <w:snapToGrid w:val="0"/>
        <w:spacing w:line="570" w:lineRule="exact"/>
        <w:ind w:firstLine="640" w:firstLineChars="200"/>
        <w:rPr>
          <w:rFonts w:hint="default" w:ascii="方正仿宋_GBK" w:hAnsi="方正仿宋_GBK" w:eastAsia="方正仿宋_GBK" w:cs="方正仿宋_GBK"/>
          <w:sz w:val="32"/>
          <w:szCs w:val="32"/>
          <w:lang w:val="en-US" w:eastAsia="zh-CN"/>
        </w:rPr>
      </w:pPr>
      <w:r>
        <w:rPr>
          <w:rFonts w:hint="default" w:ascii="方正仿宋_GBK" w:hAnsi="方正仿宋_GBK" w:eastAsia="方正仿宋_GBK" w:cs="方正仿宋_GBK"/>
          <w:sz w:val="32"/>
          <w:szCs w:val="32"/>
          <w:lang w:val="en-US" w:eastAsia="zh-CN"/>
        </w:rPr>
        <w:t>对有线网的线路进行维护，定期检查路由器、交换机是否正常运行，若发生故障，质保期类的设备应立即联系质保单位派人前来解决故障，保证图书馆正常办公、使用。负责对图书馆大楼内所有强电、弱电线路、ODF架、电话配线架等设备和线路按要求进行维护，确保线路走线规范、标识清晰。负责对图书馆大楼所有办公室内的面板、网络模块等设施进行运维管理。对所有网线按要求分类贴标签，确保线路和标签规范整洁。</w:t>
      </w:r>
    </w:p>
    <w:p w14:paraId="7377D9C4">
      <w:pPr>
        <w:snapToGrid w:val="0"/>
        <w:spacing w:line="570" w:lineRule="exact"/>
        <w:ind w:firstLine="640" w:firstLineChars="200"/>
        <w:rPr>
          <w:rFonts w:hint="default" w:ascii="方正仿宋_GBK" w:hAnsi="方正仿宋_GBK" w:eastAsia="方正仿宋_GBK" w:cs="方正仿宋_GBK"/>
          <w:sz w:val="32"/>
          <w:szCs w:val="32"/>
          <w:lang w:val="en-US" w:eastAsia="zh-CN"/>
        </w:rPr>
      </w:pPr>
      <w:r>
        <w:rPr>
          <w:rFonts w:hint="default" w:ascii="方正仿宋_GBK" w:hAnsi="方正仿宋_GBK" w:eastAsia="方正仿宋_GBK" w:cs="方正仿宋_GBK"/>
          <w:sz w:val="32"/>
          <w:szCs w:val="32"/>
          <w:lang w:val="en-US" w:eastAsia="zh-CN"/>
        </w:rPr>
        <w:t>对核心路由器、交换机故障，立即响应并在1个小时内修复；对于楼层交换机鱼洞、李家沱分馆交换机故障，立即响应并在2个小时内修复。图书馆大楼内部线路故障，在1个小时内恢复；鱼洞、李家沱分馆线路故障，在2小时内恢复(注:运营商线路部分由运营商负责)。</w:t>
      </w:r>
    </w:p>
    <w:p w14:paraId="06E2D34D">
      <w:pPr>
        <w:snapToGrid w:val="0"/>
        <w:spacing w:line="570" w:lineRule="exact"/>
        <w:ind w:firstLine="640" w:firstLineChars="200"/>
        <w:rPr>
          <w:rFonts w:hint="default" w:ascii="方正仿宋_GBK" w:hAnsi="方正仿宋_GBK" w:eastAsia="方正仿宋_GBK" w:cs="方正仿宋_GBK"/>
          <w:sz w:val="32"/>
          <w:szCs w:val="32"/>
          <w:lang w:val="en-US" w:eastAsia="zh-CN"/>
        </w:rPr>
      </w:pPr>
      <w:r>
        <w:rPr>
          <w:rFonts w:hint="default" w:ascii="方正仿宋_GBK" w:hAnsi="方正仿宋_GBK" w:eastAsia="方正仿宋_GBK" w:cs="方正仿宋_GBK"/>
          <w:sz w:val="32"/>
          <w:szCs w:val="32"/>
          <w:lang w:val="en-US" w:eastAsia="zh-CN"/>
        </w:rPr>
        <w:t>（</w:t>
      </w:r>
      <w:r>
        <w:rPr>
          <w:rFonts w:hint="eastAsia" w:ascii="方正仿宋_GBK" w:hAnsi="方正仿宋_GBK" w:eastAsia="方正仿宋_GBK" w:cs="方正仿宋_GBK"/>
          <w:sz w:val="32"/>
          <w:szCs w:val="32"/>
          <w:lang w:val="en-US" w:eastAsia="zh-CN"/>
        </w:rPr>
        <w:t>3</w:t>
      </w:r>
      <w:r>
        <w:rPr>
          <w:rFonts w:hint="default" w:ascii="方正仿宋_GBK" w:hAnsi="方正仿宋_GBK" w:eastAsia="方正仿宋_GBK" w:cs="方正仿宋_GBK"/>
          <w:sz w:val="32"/>
          <w:szCs w:val="32"/>
          <w:lang w:val="en-US" w:eastAsia="zh-CN"/>
        </w:rPr>
        <w:t>）电话及相关设备维护</w:t>
      </w:r>
    </w:p>
    <w:p w14:paraId="432E444F">
      <w:pPr>
        <w:snapToGrid w:val="0"/>
        <w:spacing w:line="570" w:lineRule="exact"/>
        <w:ind w:firstLine="640" w:firstLineChars="200"/>
        <w:rPr>
          <w:rFonts w:hint="default" w:ascii="方正仿宋_GBK" w:hAnsi="方正仿宋_GBK" w:eastAsia="方正仿宋_GBK" w:cs="方正仿宋_GBK"/>
          <w:sz w:val="32"/>
          <w:szCs w:val="32"/>
          <w:lang w:val="en-US" w:eastAsia="zh-CN"/>
        </w:rPr>
      </w:pPr>
      <w:r>
        <w:rPr>
          <w:rFonts w:hint="default" w:ascii="方正仿宋_GBK" w:hAnsi="方正仿宋_GBK" w:eastAsia="方正仿宋_GBK" w:cs="方正仿宋_GBK"/>
          <w:sz w:val="32"/>
          <w:szCs w:val="32"/>
          <w:lang w:val="en-US" w:eastAsia="zh-CN"/>
        </w:rPr>
        <w:t>负责对图书馆所有号码进行分配管理，确保各单位号码分配合理。负责对图书馆大楼电话、线路等与电话相关的信息设备进行维护，并按要求完成各部门电话的新装、调试、改造、迁移及管理等工作。</w:t>
      </w:r>
    </w:p>
    <w:p w14:paraId="08DF0415">
      <w:pPr>
        <w:snapToGrid w:val="0"/>
        <w:spacing w:line="570" w:lineRule="exact"/>
        <w:ind w:firstLine="640" w:firstLineChars="200"/>
        <w:rPr>
          <w:rFonts w:hint="default" w:ascii="方正仿宋_GBK" w:hAnsi="方正仿宋_GBK" w:eastAsia="方正仿宋_GBK" w:cs="方正仿宋_GBK"/>
          <w:sz w:val="32"/>
          <w:szCs w:val="32"/>
          <w:lang w:val="en-US" w:eastAsia="zh-CN"/>
        </w:rPr>
      </w:pPr>
      <w:r>
        <w:rPr>
          <w:rFonts w:hint="default" w:ascii="方正仿宋_GBK" w:hAnsi="方正仿宋_GBK" w:eastAsia="方正仿宋_GBK" w:cs="方正仿宋_GBK"/>
          <w:sz w:val="32"/>
          <w:szCs w:val="32"/>
          <w:lang w:val="en-US" w:eastAsia="zh-CN"/>
        </w:rPr>
        <w:t>对于图书馆大楼，电话设备发生故障承诺在0.5个小时内响应，对于鱼洞分馆、李家沱分馆电话设备发生故障，承诺在1小时内响应。</w:t>
      </w:r>
    </w:p>
    <w:p w14:paraId="2A605703">
      <w:pPr>
        <w:snapToGrid w:val="0"/>
        <w:spacing w:line="570" w:lineRule="exact"/>
        <w:ind w:firstLine="640" w:firstLineChars="200"/>
        <w:rPr>
          <w:rFonts w:hint="default" w:ascii="方正仿宋_GBK" w:hAnsi="方正仿宋_GBK" w:eastAsia="方正仿宋_GBK" w:cs="方正仿宋_GBK"/>
          <w:sz w:val="32"/>
          <w:szCs w:val="32"/>
          <w:lang w:val="en-US" w:eastAsia="zh-CN"/>
        </w:rPr>
      </w:pPr>
      <w:r>
        <w:rPr>
          <w:rFonts w:hint="default" w:ascii="方正仿宋_GBK" w:hAnsi="方正仿宋_GBK" w:eastAsia="方正仿宋_GBK" w:cs="方正仿宋_GBK"/>
          <w:sz w:val="32"/>
          <w:szCs w:val="32"/>
          <w:lang w:val="en-US" w:eastAsia="zh-CN"/>
        </w:rPr>
        <w:t>（</w:t>
      </w:r>
      <w:r>
        <w:rPr>
          <w:rFonts w:hint="eastAsia" w:ascii="方正仿宋_GBK" w:hAnsi="方正仿宋_GBK" w:eastAsia="方正仿宋_GBK" w:cs="方正仿宋_GBK"/>
          <w:sz w:val="32"/>
          <w:szCs w:val="32"/>
          <w:lang w:val="en-US" w:eastAsia="zh-CN"/>
        </w:rPr>
        <w:t>4</w:t>
      </w:r>
      <w:r>
        <w:rPr>
          <w:rFonts w:hint="default" w:ascii="方正仿宋_GBK" w:hAnsi="方正仿宋_GBK" w:eastAsia="方正仿宋_GBK" w:cs="方正仿宋_GBK"/>
          <w:sz w:val="32"/>
          <w:szCs w:val="32"/>
          <w:lang w:val="en-US" w:eastAsia="zh-CN"/>
        </w:rPr>
        <w:t>）电脑、打印机、扫描仪等办公设备终端运维</w:t>
      </w:r>
    </w:p>
    <w:p w14:paraId="5DC1CAFE">
      <w:pPr>
        <w:snapToGrid w:val="0"/>
        <w:spacing w:line="570" w:lineRule="exact"/>
        <w:ind w:firstLine="640" w:firstLineChars="200"/>
        <w:rPr>
          <w:rFonts w:hint="default" w:ascii="方正仿宋_GBK" w:hAnsi="方正仿宋_GBK" w:eastAsia="方正仿宋_GBK" w:cs="方正仿宋_GBK"/>
          <w:sz w:val="32"/>
          <w:szCs w:val="32"/>
          <w:lang w:val="en-US" w:eastAsia="zh-CN"/>
        </w:rPr>
      </w:pPr>
      <w:r>
        <w:rPr>
          <w:rFonts w:hint="default" w:ascii="方正仿宋_GBK" w:hAnsi="方正仿宋_GBK" w:eastAsia="方正仿宋_GBK" w:cs="方正仿宋_GBK"/>
          <w:sz w:val="32"/>
          <w:szCs w:val="32"/>
          <w:lang w:val="en-US" w:eastAsia="zh-CN"/>
        </w:rPr>
        <w:t>负责图书馆大楼内计算机、打印机、扫描仪、电视机、等设备的安装调试、故障处理、工位迁移及设备配置调整、使用技术支持、设备维修等服务。计算机操作系统及常用办公软件维护：包含图书馆所有已有或新增计算机的操作系统、办公软件、浏览器、输入法及字体安装、杀毒软件安装、配置、故障诊断和处理、程序升级等服务。办公设备资产辅助管理：协助图书馆相关部门开展计算机及外设等设备设施清点、贴标、报废检查等工作，并定期更新相关设备台账。</w:t>
      </w:r>
    </w:p>
    <w:p w14:paraId="0438E5CF">
      <w:pPr>
        <w:snapToGrid w:val="0"/>
        <w:spacing w:line="570" w:lineRule="exact"/>
        <w:ind w:firstLine="640" w:firstLineChars="200"/>
        <w:rPr>
          <w:rFonts w:hint="default" w:ascii="方正仿宋_GBK" w:hAnsi="方正仿宋_GBK" w:eastAsia="方正仿宋_GBK" w:cs="方正仿宋_GBK"/>
          <w:sz w:val="32"/>
          <w:szCs w:val="32"/>
          <w:lang w:val="en-US" w:eastAsia="zh-CN"/>
        </w:rPr>
      </w:pPr>
      <w:r>
        <w:rPr>
          <w:rFonts w:hint="default" w:ascii="方正仿宋_GBK" w:hAnsi="方正仿宋_GBK" w:eastAsia="方正仿宋_GBK" w:cs="方正仿宋_GBK"/>
          <w:sz w:val="32"/>
          <w:szCs w:val="32"/>
          <w:lang w:val="en-US" w:eastAsia="zh-CN"/>
        </w:rPr>
        <w:t>（</w:t>
      </w:r>
      <w:r>
        <w:rPr>
          <w:rFonts w:hint="eastAsia" w:ascii="方正仿宋_GBK" w:hAnsi="方正仿宋_GBK" w:eastAsia="方正仿宋_GBK" w:cs="方正仿宋_GBK"/>
          <w:sz w:val="32"/>
          <w:szCs w:val="32"/>
          <w:lang w:val="en-US" w:eastAsia="zh-CN"/>
        </w:rPr>
        <w:t>5</w:t>
      </w:r>
      <w:r>
        <w:rPr>
          <w:rFonts w:hint="default" w:ascii="方正仿宋_GBK" w:hAnsi="方正仿宋_GBK" w:eastAsia="方正仿宋_GBK" w:cs="方正仿宋_GBK"/>
          <w:sz w:val="32"/>
          <w:szCs w:val="32"/>
          <w:lang w:val="en-US" w:eastAsia="zh-CN"/>
        </w:rPr>
        <w:t>）其他运维工作</w:t>
      </w:r>
    </w:p>
    <w:p w14:paraId="637222B6">
      <w:pPr>
        <w:snapToGrid w:val="0"/>
        <w:spacing w:line="570" w:lineRule="exact"/>
        <w:ind w:firstLine="640" w:firstLineChars="200"/>
        <w:rPr>
          <w:rFonts w:hint="default" w:ascii="方正仿宋_GBK" w:hAnsi="方正仿宋_GBK" w:eastAsia="方正仿宋_GBK" w:cs="方正仿宋_GBK"/>
          <w:sz w:val="32"/>
          <w:szCs w:val="32"/>
          <w:lang w:val="en-US" w:eastAsia="zh-CN"/>
        </w:rPr>
      </w:pPr>
      <w:r>
        <w:rPr>
          <w:rFonts w:hint="default" w:ascii="方正仿宋_GBK" w:hAnsi="方正仿宋_GBK" w:eastAsia="方正仿宋_GBK" w:cs="方正仿宋_GBK"/>
          <w:sz w:val="32"/>
          <w:szCs w:val="32"/>
          <w:lang w:val="en-US" w:eastAsia="zh-CN"/>
        </w:rPr>
        <w:t>根据</w:t>
      </w:r>
      <w:r>
        <w:rPr>
          <w:rFonts w:hint="eastAsia" w:ascii="方正仿宋_GBK" w:hAnsi="方正仿宋_GBK" w:eastAsia="方正仿宋_GBK" w:cs="方正仿宋_GBK"/>
          <w:sz w:val="32"/>
          <w:szCs w:val="32"/>
          <w:lang w:val="en-US" w:eastAsia="zh-CN"/>
        </w:rPr>
        <w:t>巴南区</w:t>
      </w:r>
      <w:r>
        <w:rPr>
          <w:rFonts w:hint="default" w:ascii="方正仿宋_GBK" w:hAnsi="方正仿宋_GBK" w:eastAsia="方正仿宋_GBK" w:cs="方正仿宋_GBK"/>
          <w:sz w:val="32"/>
          <w:szCs w:val="32"/>
          <w:lang w:val="en-US" w:eastAsia="zh-CN"/>
        </w:rPr>
        <w:t>图书馆提出的终端维护要求，中标供应商应作出如下响应：</w:t>
      </w:r>
    </w:p>
    <w:p w14:paraId="03B1790C">
      <w:pPr>
        <w:snapToGrid w:val="0"/>
        <w:spacing w:line="570" w:lineRule="exact"/>
        <w:ind w:firstLine="640" w:firstLineChars="200"/>
        <w:rPr>
          <w:rFonts w:hint="default" w:ascii="方正仿宋_GBK" w:hAnsi="方正仿宋_GBK" w:eastAsia="方正仿宋_GBK" w:cs="方正仿宋_GBK"/>
          <w:sz w:val="32"/>
          <w:szCs w:val="32"/>
          <w:lang w:val="en-US" w:eastAsia="zh-CN"/>
        </w:rPr>
      </w:pPr>
      <w:r>
        <w:rPr>
          <w:rFonts w:hint="default" w:ascii="方正仿宋_GBK" w:hAnsi="方正仿宋_GBK" w:eastAsia="方正仿宋_GBK" w:cs="方正仿宋_GBK"/>
          <w:sz w:val="32"/>
          <w:szCs w:val="32"/>
          <w:lang w:val="en-US" w:eastAsia="zh-CN"/>
        </w:rPr>
        <w:t>图书馆总馆、鱼洞</w:t>
      </w:r>
      <w:r>
        <w:rPr>
          <w:rFonts w:hint="eastAsia" w:ascii="方正仿宋_GBK" w:hAnsi="方正仿宋_GBK" w:eastAsia="方正仿宋_GBK" w:cs="方正仿宋_GBK"/>
          <w:sz w:val="32"/>
          <w:szCs w:val="32"/>
          <w:lang w:val="en-US" w:eastAsia="zh-CN"/>
        </w:rPr>
        <w:t>直属</w:t>
      </w:r>
      <w:r>
        <w:rPr>
          <w:rFonts w:hint="default" w:ascii="方正仿宋_GBK" w:hAnsi="方正仿宋_GBK" w:eastAsia="方正仿宋_GBK" w:cs="方正仿宋_GBK"/>
          <w:sz w:val="32"/>
          <w:szCs w:val="32"/>
          <w:lang w:val="en-US" w:eastAsia="zh-CN"/>
        </w:rPr>
        <w:t>分馆、李家沱</w:t>
      </w:r>
      <w:r>
        <w:rPr>
          <w:rFonts w:hint="eastAsia" w:ascii="方正仿宋_GBK" w:hAnsi="方正仿宋_GBK" w:eastAsia="方正仿宋_GBK" w:cs="方正仿宋_GBK"/>
          <w:sz w:val="32"/>
          <w:szCs w:val="32"/>
          <w:lang w:val="en-US" w:eastAsia="zh-CN"/>
        </w:rPr>
        <w:t>直属</w:t>
      </w:r>
      <w:r>
        <w:rPr>
          <w:rFonts w:hint="default" w:ascii="方正仿宋_GBK" w:hAnsi="方正仿宋_GBK" w:eastAsia="方正仿宋_GBK" w:cs="方正仿宋_GBK"/>
          <w:sz w:val="32"/>
          <w:szCs w:val="32"/>
          <w:lang w:val="en-US" w:eastAsia="zh-CN"/>
        </w:rPr>
        <w:t>分馆各类办公设备和网络维修、安装及时上门服务。</w:t>
      </w:r>
    </w:p>
    <w:p w14:paraId="7288D2E1">
      <w:pPr>
        <w:snapToGrid w:val="0"/>
        <w:spacing w:line="570" w:lineRule="exact"/>
        <w:ind w:firstLine="640" w:firstLineChars="200"/>
        <w:rPr>
          <w:rFonts w:hint="default" w:ascii="方正仿宋_GBK" w:hAnsi="方正仿宋_GBK" w:eastAsia="方正仿宋_GBK" w:cs="方正仿宋_GBK"/>
          <w:sz w:val="32"/>
          <w:szCs w:val="32"/>
          <w:lang w:val="en-US" w:eastAsia="zh-CN"/>
        </w:rPr>
      </w:pPr>
      <w:r>
        <w:rPr>
          <w:rFonts w:hint="default" w:ascii="方正仿宋_GBK" w:hAnsi="方正仿宋_GBK" w:eastAsia="方正仿宋_GBK" w:cs="方正仿宋_GBK"/>
          <w:sz w:val="32"/>
          <w:szCs w:val="32"/>
          <w:lang w:val="en-US" w:eastAsia="zh-CN"/>
        </w:rPr>
        <w:t>图书馆总馆内的各类办公设备和网络在1个小时内解决故障，保证正常办公；鱼洞直属分馆、李家沱直属分馆的电脑等设备故障导致不能正常办公和上网的的情况，1个小时内赶到现场维修，2个小时之内解决故障，保证正常办公。</w:t>
      </w:r>
    </w:p>
    <w:p w14:paraId="5261CA96">
      <w:pPr>
        <w:snapToGrid w:val="0"/>
        <w:spacing w:line="570" w:lineRule="exact"/>
        <w:ind w:firstLine="640" w:firstLineChars="200"/>
        <w:rPr>
          <w:rFonts w:hint="default" w:ascii="方正仿宋_GBK" w:hAnsi="方正仿宋_GBK" w:eastAsia="方正仿宋_GBK" w:cs="方正仿宋_GBK"/>
          <w:sz w:val="32"/>
          <w:szCs w:val="32"/>
          <w:lang w:val="en-US" w:eastAsia="zh-CN"/>
        </w:rPr>
      </w:pPr>
      <w:r>
        <w:rPr>
          <w:rFonts w:hint="default" w:ascii="方正仿宋_GBK" w:hAnsi="方正仿宋_GBK" w:eastAsia="方正仿宋_GBK" w:cs="方正仿宋_GBK"/>
          <w:sz w:val="32"/>
          <w:szCs w:val="32"/>
          <w:lang w:val="en-US" w:eastAsia="zh-CN"/>
        </w:rPr>
        <w:t>对于无法修复，经过图书馆报废的设备不予更换硬件设备。</w:t>
      </w:r>
    </w:p>
    <w:p w14:paraId="67DCCC55">
      <w:pPr>
        <w:snapToGrid w:val="0"/>
        <w:spacing w:line="570" w:lineRule="exact"/>
        <w:ind w:firstLine="640" w:firstLineChars="200"/>
        <w:rPr>
          <w:rFonts w:hint="default" w:ascii="方正仿宋_GBK" w:hAnsi="方正仿宋_GBK" w:eastAsia="方正仿宋_GBK" w:cs="方正仿宋_GBK"/>
          <w:sz w:val="32"/>
          <w:szCs w:val="32"/>
          <w:lang w:val="en-US" w:eastAsia="zh-CN"/>
        </w:rPr>
      </w:pPr>
      <w:r>
        <w:rPr>
          <w:rFonts w:hint="default" w:ascii="方正仿宋_GBK" w:hAnsi="方正仿宋_GBK" w:eastAsia="方正仿宋_GBK" w:cs="方正仿宋_GBK"/>
          <w:sz w:val="32"/>
          <w:szCs w:val="32"/>
          <w:lang w:val="en-US" w:eastAsia="zh-CN"/>
        </w:rPr>
        <w:t>说明：对上述故障处理，软件故障予以免费维修，硬件故障需要更换硬件解决的经中标供应商和图书馆同意后进行，更换费用由图书馆支付。</w:t>
      </w:r>
    </w:p>
    <w:p w14:paraId="2AEF049E">
      <w:pPr>
        <w:keepNext w:val="0"/>
        <w:keepLines w:val="0"/>
        <w:pageBreakBefore w:val="0"/>
        <w:widowControl w:val="0"/>
        <w:kinsoku/>
        <w:wordWrap/>
        <w:overflowPunct/>
        <w:topLinePunct w:val="0"/>
        <w:autoSpaceDE/>
        <w:autoSpaceDN/>
        <w:bidi w:val="0"/>
        <w:adjustRightInd/>
        <w:spacing w:line="570" w:lineRule="exact"/>
        <w:ind w:firstLine="640" w:firstLineChars="200"/>
        <w:textAlignment w:val="auto"/>
        <w:rPr>
          <w:rFonts w:hint="eastAsia" w:ascii="方正黑体_GBK" w:hAnsi="Times New Roman" w:eastAsia="方正黑体_GBK" w:cs="Times New Roman"/>
          <w:sz w:val="32"/>
          <w:szCs w:val="32"/>
        </w:rPr>
      </w:pPr>
      <w:r>
        <w:rPr>
          <w:rFonts w:hint="eastAsia" w:ascii="方正黑体_GBK" w:hAnsi="Times New Roman" w:eastAsia="方正黑体_GBK" w:cs="Times New Roman"/>
          <w:sz w:val="32"/>
          <w:szCs w:val="32"/>
        </w:rPr>
        <w:t>四、</w:t>
      </w:r>
      <w:r>
        <w:rPr>
          <w:rFonts w:ascii="方正黑体_GBK" w:hAnsi="Times New Roman" w:eastAsia="方正黑体_GBK" w:cs="Times New Roman"/>
          <w:sz w:val="32"/>
          <w:szCs w:val="32"/>
        </w:rPr>
        <w:t>采购</w:t>
      </w:r>
      <w:r>
        <w:rPr>
          <w:rFonts w:hint="eastAsia" w:ascii="方正黑体_GBK" w:hAnsi="Times New Roman" w:eastAsia="方正黑体_GBK" w:cs="Times New Roman"/>
          <w:sz w:val="32"/>
          <w:szCs w:val="32"/>
        </w:rPr>
        <w:t>清单</w:t>
      </w:r>
    </w:p>
    <w:p w14:paraId="58D7E0B1">
      <w:pPr>
        <w:snapToGrid w:val="0"/>
        <w:spacing w:line="570" w:lineRule="exact"/>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1.常规硬件设备维护清单</w:t>
      </w:r>
    </w:p>
    <w:tbl>
      <w:tblPr>
        <w:tblStyle w:val="10"/>
        <w:tblW w:w="887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04"/>
        <w:gridCol w:w="1828"/>
        <w:gridCol w:w="6439"/>
      </w:tblGrid>
      <w:tr w14:paraId="0EBCC5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3" w:hRule="atLeast"/>
          <w:jc w:val="center"/>
        </w:trPr>
        <w:tc>
          <w:tcPr>
            <w:tcW w:w="604" w:type="dxa"/>
            <w:tcBorders>
              <w:top w:val="single" w:color="000000" w:sz="4" w:space="0"/>
              <w:left w:val="single" w:color="000000" w:sz="4" w:space="0"/>
              <w:bottom w:val="single" w:color="000000" w:sz="4" w:space="0"/>
              <w:right w:val="single" w:color="000000" w:sz="4" w:space="0"/>
            </w:tcBorders>
            <w:vAlign w:val="center"/>
          </w:tcPr>
          <w:p w14:paraId="53B69090">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序号</w:t>
            </w:r>
          </w:p>
        </w:tc>
        <w:tc>
          <w:tcPr>
            <w:tcW w:w="1828" w:type="dxa"/>
            <w:tcBorders>
              <w:top w:val="single" w:color="000000" w:sz="4" w:space="0"/>
              <w:left w:val="single" w:color="000000" w:sz="4" w:space="0"/>
              <w:bottom w:val="single" w:color="000000" w:sz="4" w:space="0"/>
              <w:right w:val="single" w:color="000000" w:sz="4" w:space="0"/>
            </w:tcBorders>
            <w:vAlign w:val="center"/>
          </w:tcPr>
          <w:p w14:paraId="355567C3">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品名</w:t>
            </w:r>
          </w:p>
        </w:tc>
        <w:tc>
          <w:tcPr>
            <w:tcW w:w="6439" w:type="dxa"/>
            <w:tcBorders>
              <w:top w:val="single" w:color="000000" w:sz="4" w:space="0"/>
              <w:left w:val="single" w:color="000000" w:sz="4" w:space="0"/>
              <w:bottom w:val="single" w:color="000000" w:sz="4" w:space="0"/>
              <w:right w:val="single" w:color="000000" w:sz="4" w:space="0"/>
            </w:tcBorders>
            <w:vAlign w:val="center"/>
          </w:tcPr>
          <w:p w14:paraId="748B7873">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服务内容项目</w:t>
            </w:r>
          </w:p>
        </w:tc>
      </w:tr>
      <w:tr w14:paraId="634DDD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5" w:hRule="atLeast"/>
          <w:jc w:val="center"/>
        </w:trPr>
        <w:tc>
          <w:tcPr>
            <w:tcW w:w="604" w:type="dxa"/>
            <w:tcBorders>
              <w:top w:val="single" w:color="000000" w:sz="4" w:space="0"/>
              <w:left w:val="single" w:color="000000" w:sz="4" w:space="0"/>
              <w:bottom w:val="single" w:color="000000" w:sz="4" w:space="0"/>
              <w:right w:val="single" w:color="000000" w:sz="4" w:space="0"/>
            </w:tcBorders>
            <w:vAlign w:val="center"/>
          </w:tcPr>
          <w:p w14:paraId="21C72A41">
            <w:pPr>
              <w:keepNext w:val="0"/>
              <w:keepLines w:val="0"/>
              <w:pageBreakBefore w:val="0"/>
              <w:widowControl w:val="0"/>
              <w:kinsoku/>
              <w:wordWrap/>
              <w:overflowPunct/>
              <w:topLinePunct w:val="0"/>
              <w:autoSpaceDE/>
              <w:autoSpaceDN/>
              <w:bidi w:val="0"/>
              <w:adjustRightInd/>
              <w:snapToGrid w:val="0"/>
              <w:spacing w:line="320" w:lineRule="exact"/>
              <w:ind w:firstLine="0" w:firstLineChars="0"/>
              <w:jc w:val="center"/>
              <w:textAlignment w:val="auto"/>
              <w:rPr>
                <w:rFonts w:hint="default"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1</w:t>
            </w:r>
          </w:p>
        </w:tc>
        <w:tc>
          <w:tcPr>
            <w:tcW w:w="1828" w:type="dxa"/>
            <w:tcBorders>
              <w:top w:val="single" w:color="000000" w:sz="4" w:space="0"/>
              <w:left w:val="single" w:color="000000" w:sz="4" w:space="0"/>
              <w:bottom w:val="single" w:color="000000" w:sz="4" w:space="0"/>
              <w:right w:val="single" w:color="000000" w:sz="4" w:space="0"/>
            </w:tcBorders>
            <w:vAlign w:val="center"/>
          </w:tcPr>
          <w:p w14:paraId="2B29BC1E">
            <w:pPr>
              <w:keepNext w:val="0"/>
              <w:keepLines w:val="0"/>
              <w:pageBreakBefore w:val="0"/>
              <w:widowControl w:val="0"/>
              <w:kinsoku/>
              <w:wordWrap/>
              <w:overflowPunct/>
              <w:topLinePunct w:val="0"/>
              <w:autoSpaceDE/>
              <w:autoSpaceDN/>
              <w:bidi w:val="0"/>
              <w:adjustRightInd/>
              <w:snapToGrid w:val="0"/>
              <w:spacing w:line="320" w:lineRule="exact"/>
              <w:ind w:firstLine="0" w:firstLineChars="0"/>
              <w:jc w:val="center"/>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计算机通用类维护内容</w:t>
            </w:r>
          </w:p>
        </w:tc>
        <w:tc>
          <w:tcPr>
            <w:tcW w:w="6439" w:type="dxa"/>
            <w:tcBorders>
              <w:top w:val="single" w:color="000000" w:sz="4" w:space="0"/>
              <w:left w:val="single" w:color="000000" w:sz="4" w:space="0"/>
              <w:bottom w:val="single" w:color="000000" w:sz="4" w:space="0"/>
              <w:right w:val="single" w:color="000000" w:sz="4" w:space="0"/>
            </w:tcBorders>
            <w:vAlign w:val="center"/>
          </w:tcPr>
          <w:p w14:paraId="581285F7">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1.全馆所有办公用电脑软硬故障、提供给读者使用的电脑等硬件设备故障处理；</w:t>
            </w:r>
          </w:p>
          <w:p w14:paraId="15997F7D">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2.windows,linux操作系统的安装与优化；</w:t>
            </w:r>
          </w:p>
          <w:p w14:paraId="2E365B7A">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3.全馆打印机（激光、针式、条码）网络共享打印、打印机硬件故障处理等维护；</w:t>
            </w:r>
          </w:p>
          <w:p w14:paraId="0BB7D394">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4.windows操作系统工作组与域的维护；</w:t>
            </w:r>
          </w:p>
          <w:p w14:paraId="42499611">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5.杀毒软件的安装与病毒查杀防护；</w:t>
            </w:r>
          </w:p>
          <w:p w14:paraId="415869BB">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6.内部局域网的布线和维护；</w:t>
            </w:r>
          </w:p>
          <w:p w14:paraId="4C348AF8">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7.有线网络、电话以及路由器、交换机、电话交换机等相关设备；</w:t>
            </w:r>
          </w:p>
          <w:p w14:paraId="4E9138DC">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8.业务数据服务器、机房交换机、无线网设备；</w:t>
            </w:r>
          </w:p>
          <w:p w14:paraId="44B15FE5">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9.国产正版化软件安装、维护；</w:t>
            </w:r>
          </w:p>
          <w:p w14:paraId="007C36C6">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default"/>
                <w:sz w:val="21"/>
                <w:szCs w:val="21"/>
                <w:lang w:val="en-US" w:eastAsia="zh-CN"/>
              </w:rPr>
            </w:pPr>
            <w:r>
              <w:rPr>
                <w:rFonts w:hint="eastAsia" w:ascii="方正仿宋_GBK" w:hAnsi="方正仿宋_GBK" w:eastAsia="方正仿宋_GBK" w:cs="方正仿宋_GBK"/>
                <w:color w:val="auto"/>
                <w:sz w:val="21"/>
                <w:szCs w:val="21"/>
                <w:highlight w:val="none"/>
                <w:lang w:val="en-US" w:eastAsia="zh-CN"/>
              </w:rPr>
              <w:t>10.采购人管理的其他涉信息化、计算机类相关设备设施维护。</w:t>
            </w:r>
          </w:p>
        </w:tc>
      </w:tr>
      <w:tr w14:paraId="260B2E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5" w:hRule="atLeast"/>
          <w:jc w:val="center"/>
        </w:trPr>
        <w:tc>
          <w:tcPr>
            <w:tcW w:w="604" w:type="dxa"/>
            <w:tcBorders>
              <w:top w:val="single" w:color="000000" w:sz="4" w:space="0"/>
              <w:left w:val="single" w:color="000000" w:sz="4" w:space="0"/>
              <w:bottom w:val="single" w:color="000000" w:sz="4" w:space="0"/>
              <w:right w:val="single" w:color="000000" w:sz="4" w:space="0"/>
            </w:tcBorders>
            <w:vAlign w:val="center"/>
          </w:tcPr>
          <w:p w14:paraId="10A0DB6F">
            <w:pPr>
              <w:keepNext w:val="0"/>
              <w:keepLines w:val="0"/>
              <w:pageBreakBefore w:val="0"/>
              <w:widowControl w:val="0"/>
              <w:kinsoku/>
              <w:wordWrap/>
              <w:overflowPunct/>
              <w:topLinePunct w:val="0"/>
              <w:autoSpaceDE/>
              <w:autoSpaceDN/>
              <w:bidi w:val="0"/>
              <w:adjustRightInd/>
              <w:snapToGrid w:val="0"/>
              <w:spacing w:line="320" w:lineRule="exact"/>
              <w:ind w:firstLine="0" w:firstLineChars="0"/>
              <w:jc w:val="center"/>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2</w:t>
            </w:r>
          </w:p>
        </w:tc>
        <w:tc>
          <w:tcPr>
            <w:tcW w:w="1828" w:type="dxa"/>
            <w:tcBorders>
              <w:top w:val="single" w:color="000000" w:sz="4" w:space="0"/>
              <w:left w:val="single" w:color="000000" w:sz="4" w:space="0"/>
              <w:bottom w:val="single" w:color="000000" w:sz="4" w:space="0"/>
              <w:right w:val="single" w:color="000000" w:sz="4" w:space="0"/>
            </w:tcBorders>
            <w:vAlign w:val="center"/>
          </w:tcPr>
          <w:p w14:paraId="2B6F8782">
            <w:pPr>
              <w:keepNext w:val="0"/>
              <w:keepLines w:val="0"/>
              <w:pageBreakBefore w:val="0"/>
              <w:widowControl w:val="0"/>
              <w:kinsoku/>
              <w:wordWrap/>
              <w:overflowPunct/>
              <w:topLinePunct w:val="0"/>
              <w:autoSpaceDE/>
              <w:autoSpaceDN/>
              <w:bidi w:val="0"/>
              <w:adjustRightInd/>
              <w:snapToGrid w:val="0"/>
              <w:spacing w:line="320" w:lineRule="exact"/>
              <w:ind w:firstLine="0" w:firstLineChars="0"/>
              <w:jc w:val="center"/>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图书馆信息系统维护内容</w:t>
            </w:r>
          </w:p>
        </w:tc>
        <w:tc>
          <w:tcPr>
            <w:tcW w:w="6439" w:type="dxa"/>
            <w:tcBorders>
              <w:top w:val="single" w:color="000000" w:sz="4" w:space="0"/>
              <w:left w:val="single" w:color="000000" w:sz="4" w:space="0"/>
              <w:bottom w:val="single" w:color="000000" w:sz="4" w:space="0"/>
              <w:right w:val="single" w:color="000000" w:sz="4" w:space="0"/>
            </w:tcBorders>
            <w:vAlign w:val="center"/>
          </w:tcPr>
          <w:p w14:paraId="3A6C0A72">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1.LED屏、电子触摸屏、数据大屏等；</w:t>
            </w:r>
          </w:p>
          <w:p w14:paraId="581021EE">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2.自助借还书机、自助办证机等读者自助使用设备；</w:t>
            </w:r>
          </w:p>
          <w:p w14:paraId="11C73FBC">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3.电子白板；</w:t>
            </w:r>
          </w:p>
          <w:p w14:paraId="311C795D">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4.二维码借阅机；</w:t>
            </w:r>
          </w:p>
          <w:p w14:paraId="718381A3">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5.广播系统设备；</w:t>
            </w:r>
          </w:p>
          <w:p w14:paraId="7FC07F72">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6.视听设备；</w:t>
            </w:r>
          </w:p>
          <w:p w14:paraId="1989D080">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7.放大仪；</w:t>
            </w:r>
          </w:p>
          <w:p w14:paraId="16540F2E">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8.盲人阅读机；</w:t>
            </w:r>
          </w:p>
          <w:p w14:paraId="6DB380C4">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9.门禁和闸机设备、自动门、刷卡立柱；</w:t>
            </w:r>
          </w:p>
          <w:p w14:paraId="3ED4043A">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10.互动体验桌；</w:t>
            </w:r>
          </w:p>
          <w:p w14:paraId="2129E9DA">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11.VR体验设备；</w:t>
            </w:r>
          </w:p>
          <w:p w14:paraId="54E5A262">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12.会议音响投影设备；</w:t>
            </w:r>
          </w:p>
          <w:p w14:paraId="37F5DAC0">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13.采购人管理和维护的其它信息系统。</w:t>
            </w:r>
          </w:p>
        </w:tc>
      </w:tr>
      <w:tr w14:paraId="61084C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5" w:hRule="atLeast"/>
          <w:jc w:val="center"/>
        </w:trPr>
        <w:tc>
          <w:tcPr>
            <w:tcW w:w="604" w:type="dxa"/>
            <w:tcBorders>
              <w:top w:val="single" w:color="000000" w:sz="4" w:space="0"/>
              <w:left w:val="single" w:color="000000" w:sz="4" w:space="0"/>
              <w:bottom w:val="single" w:color="000000" w:sz="4" w:space="0"/>
              <w:right w:val="single" w:color="000000" w:sz="4" w:space="0"/>
            </w:tcBorders>
            <w:vAlign w:val="center"/>
          </w:tcPr>
          <w:p w14:paraId="34C347AD">
            <w:pPr>
              <w:keepNext w:val="0"/>
              <w:keepLines w:val="0"/>
              <w:pageBreakBefore w:val="0"/>
              <w:widowControl w:val="0"/>
              <w:kinsoku/>
              <w:wordWrap/>
              <w:overflowPunct/>
              <w:topLinePunct w:val="0"/>
              <w:autoSpaceDE/>
              <w:autoSpaceDN/>
              <w:bidi w:val="0"/>
              <w:adjustRightInd/>
              <w:snapToGrid w:val="0"/>
              <w:spacing w:line="320" w:lineRule="exact"/>
              <w:ind w:firstLine="0" w:firstLineChars="0"/>
              <w:jc w:val="center"/>
              <w:textAlignment w:val="auto"/>
              <w:rPr>
                <w:rFonts w:hint="default"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3</w:t>
            </w:r>
          </w:p>
        </w:tc>
        <w:tc>
          <w:tcPr>
            <w:tcW w:w="1828" w:type="dxa"/>
            <w:tcBorders>
              <w:top w:val="single" w:color="000000" w:sz="4" w:space="0"/>
              <w:left w:val="single" w:color="000000" w:sz="4" w:space="0"/>
              <w:bottom w:val="single" w:color="000000" w:sz="4" w:space="0"/>
              <w:right w:val="single" w:color="000000" w:sz="4" w:space="0"/>
            </w:tcBorders>
            <w:vAlign w:val="center"/>
          </w:tcPr>
          <w:p w14:paraId="71462F04">
            <w:pPr>
              <w:keepNext w:val="0"/>
              <w:keepLines w:val="0"/>
              <w:pageBreakBefore w:val="0"/>
              <w:widowControl w:val="0"/>
              <w:kinsoku/>
              <w:wordWrap/>
              <w:overflowPunct/>
              <w:topLinePunct w:val="0"/>
              <w:autoSpaceDE/>
              <w:autoSpaceDN/>
              <w:bidi w:val="0"/>
              <w:adjustRightInd/>
              <w:snapToGrid w:val="0"/>
              <w:spacing w:line="320" w:lineRule="exact"/>
              <w:ind w:firstLine="0" w:firstLineChars="0"/>
              <w:jc w:val="center"/>
              <w:textAlignment w:val="auto"/>
              <w:rPr>
                <w:rFonts w:hint="default"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办公和读者用计算机终端安全管理系统</w:t>
            </w:r>
          </w:p>
        </w:tc>
        <w:tc>
          <w:tcPr>
            <w:tcW w:w="6439" w:type="dxa"/>
            <w:tcBorders>
              <w:top w:val="single" w:color="000000" w:sz="4" w:space="0"/>
              <w:left w:val="single" w:color="000000" w:sz="4" w:space="0"/>
              <w:bottom w:val="single" w:color="000000" w:sz="4" w:space="0"/>
              <w:right w:val="single" w:color="000000" w:sz="4" w:space="0"/>
            </w:tcBorders>
            <w:vAlign w:val="center"/>
          </w:tcPr>
          <w:p w14:paraId="4EFE2266">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1.产品采用控制端+客户端架构，通过统一控制中心实现对各客户端统一策略下发、运行管理、全网健康状态监测、统一杀毒等、统一补丁功能。</w:t>
            </w:r>
          </w:p>
          <w:p w14:paraId="6987E6D9">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2.全功能支持中英文自由切换。</w:t>
            </w:r>
          </w:p>
          <w:p w14:paraId="2FFCC714">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3.支持对终端当扫描到感染型病毒、顽固木马时，自动进入深度查模式，可设置禁止终端用户管理路径或文件白名单、禁止终端用户管理扩展名白名单、扫描时不允许终端用户暂停或停止扫描任务。</w:t>
            </w:r>
          </w:p>
          <w:p w14:paraId="1808DB6A">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4.支持僵尸网络攻击防护，对流出本机的网络包数据和行为进行检测，根据策略在网络层拦截后门攻击、C2连接等威胁。</w:t>
            </w:r>
          </w:p>
          <w:p w14:paraId="2637DB00">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5.支持终端用户和管理员是一套账号管理系统，简化账号管理复杂度，一个账号解决所有身份认证，既可以用于终端登录，也可以用于管理管理中心。</w:t>
            </w:r>
          </w:p>
          <w:p w14:paraId="41B61593">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6.支持对Windows操作系统、IE、.NET Framework、Office、Adobe Flash Player、Adobe Acrobat和Adobe Acrobat Reader DC、硬件驱动更新等软件进行补丁修复.</w:t>
            </w:r>
          </w:p>
          <w:p w14:paraId="5CA2A59A">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7.支持开启自动修复漏洞，包括开机时修复，并支持随机延迟执行、间隔修复和按时间段修复，可设置延迟时间、间隔修复时间和修复时间段。</w:t>
            </w:r>
          </w:p>
          <w:p w14:paraId="1AEF4473">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8.支持软件分发功能，支持一次分发多款有依赖的软件。支持多个管理员同时对一台终端分发软件，终端可以并发安装。</w:t>
            </w:r>
          </w:p>
          <w:p w14:paraId="7B80287D">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9.支持终端进程红名单、黑名单、白名单功能。可设置核心进程必须运行，也可保护核心进程不被结束，违规并告警。</w:t>
            </w:r>
          </w:p>
          <w:p w14:paraId="6F624AA4">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10.支持多策略规则组合中，提高敏感数据识别效果，降低误报率（如姓名、银行卡、身份证、手机号、住址等数据分别命中的次数）。</w:t>
            </w:r>
          </w:p>
          <w:p w14:paraId="312ED670">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11.支持主机防火墙功能，通过添加IP、域名规则、支持允许/拒绝规则、支持任意流向拦截和允许，支持TCP、UDP、TCP+UDP、ICMP、多播和组播，支持自定义端口范围、支持自定义目标IP，支持输入IP范围。</w:t>
            </w:r>
          </w:p>
          <w:p w14:paraId="653CC8E0">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12.支持跟威胁感知系统类设备进行处置联动，联动接口处置接口包含：终端隔离、取消隔离、全盘扫描。</w:t>
            </w:r>
          </w:p>
          <w:p w14:paraId="6534065C">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13.支持对压缩包内的病毒扫描，支持多层压缩包的扫描，可自定义配置压缩包的扫描层数，至少大约10层模式下的扫描。</w:t>
            </w:r>
          </w:p>
          <w:p w14:paraId="397AD6C4">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14.为确保产品的数据安全防护能力，以及证明厂商的安全服务能力，要求厂商具备数据安全服务能力评定资格证书-数据安全建设（二级）；具备CCRC信息安全服务资质-软件安全开发（一级)（提供以上2项资质证明材料件并加盖制造厂商公章）。</w:t>
            </w:r>
          </w:p>
          <w:p w14:paraId="412B034F">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15.为体现软件制造商具备漏洞挖掘与安全防护的能力，要求产品生产厂商具有独立运营的漏洞响应平台，同时2024年期间向国家漏洞信息共享平台（CNVD）提交的原创漏洞数量应不少于20000条（提供网站URL链接、计算机软件著作权登记证书等证明材料并加盖制造厂商公章）。</w:t>
            </w:r>
          </w:p>
          <w:p w14:paraId="7ABAACD7">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default" w:ascii="方正仿宋_GBK" w:hAnsi="方正仿宋_GBK" w:eastAsia="方正仿宋_GBK" w:cs="方正仿宋_GBK"/>
                <w:color w:val="auto"/>
                <w:sz w:val="21"/>
                <w:szCs w:val="21"/>
                <w:highlight w:val="none"/>
                <w:lang w:val="en-US" w:eastAsia="zh-CN"/>
              </w:rPr>
            </w:pPr>
            <w:bookmarkStart w:id="1" w:name="_GoBack"/>
            <w:bookmarkEnd w:id="1"/>
            <w:r>
              <w:rPr>
                <w:rFonts w:hint="eastAsia" w:ascii="方正仿宋_GBK" w:hAnsi="方正仿宋_GBK" w:eastAsia="方正仿宋_GBK" w:cs="方正仿宋_GBK"/>
                <w:color w:val="auto"/>
                <w:sz w:val="21"/>
                <w:szCs w:val="21"/>
                <w:highlight w:val="none"/>
                <w:lang w:val="en-US" w:eastAsia="zh-CN"/>
              </w:rPr>
              <w:t>16.产品须具备中国网络安全审查技术与认证中心颁发的IT产品信息安全认证证书（提供证书扫描件并加盖制造厂商公章）。</w:t>
            </w:r>
          </w:p>
        </w:tc>
      </w:tr>
    </w:tbl>
    <w:p w14:paraId="47521554">
      <w:pPr>
        <w:snapToGrid w:val="0"/>
        <w:spacing w:line="570" w:lineRule="exact"/>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2.信息机房硬件设备质量延保服务清单</w:t>
      </w:r>
    </w:p>
    <w:tbl>
      <w:tblPr>
        <w:tblStyle w:val="10"/>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89"/>
        <w:gridCol w:w="1914"/>
        <w:gridCol w:w="5286"/>
        <w:gridCol w:w="955"/>
      </w:tblGrid>
      <w:tr w14:paraId="06FF8C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3" w:hRule="atLeast"/>
          <w:jc w:val="center"/>
        </w:trPr>
        <w:tc>
          <w:tcPr>
            <w:tcW w:w="689" w:type="dxa"/>
            <w:tcBorders>
              <w:top w:val="single" w:color="000000" w:sz="4" w:space="0"/>
              <w:left w:val="single" w:color="000000" w:sz="4" w:space="0"/>
              <w:bottom w:val="single" w:color="000000" w:sz="4" w:space="0"/>
              <w:right w:val="single" w:color="000000" w:sz="4" w:space="0"/>
            </w:tcBorders>
            <w:noWrap w:val="0"/>
            <w:vAlign w:val="center"/>
          </w:tcPr>
          <w:p w14:paraId="213F1440">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序号</w:t>
            </w:r>
          </w:p>
        </w:tc>
        <w:tc>
          <w:tcPr>
            <w:tcW w:w="1914" w:type="dxa"/>
            <w:tcBorders>
              <w:top w:val="single" w:color="000000" w:sz="4" w:space="0"/>
              <w:left w:val="single" w:color="000000" w:sz="4" w:space="0"/>
              <w:bottom w:val="single" w:color="000000" w:sz="4" w:space="0"/>
              <w:right w:val="single" w:color="000000" w:sz="4" w:space="0"/>
            </w:tcBorders>
            <w:noWrap w:val="0"/>
            <w:vAlign w:val="center"/>
          </w:tcPr>
          <w:p w14:paraId="5C739502">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品名</w:t>
            </w:r>
          </w:p>
        </w:tc>
        <w:tc>
          <w:tcPr>
            <w:tcW w:w="5286" w:type="dxa"/>
            <w:tcBorders>
              <w:top w:val="single" w:color="000000" w:sz="4" w:space="0"/>
              <w:left w:val="single" w:color="000000" w:sz="4" w:space="0"/>
              <w:bottom w:val="single" w:color="000000" w:sz="4" w:space="0"/>
              <w:right w:val="single" w:color="000000" w:sz="4" w:space="0"/>
            </w:tcBorders>
            <w:noWrap w:val="0"/>
            <w:vAlign w:val="center"/>
          </w:tcPr>
          <w:p w14:paraId="72344DCF">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硬件设备参数</w:t>
            </w:r>
          </w:p>
        </w:tc>
        <w:tc>
          <w:tcPr>
            <w:tcW w:w="955" w:type="dxa"/>
            <w:tcBorders>
              <w:top w:val="single" w:color="000000" w:sz="4" w:space="0"/>
              <w:left w:val="single" w:color="000000" w:sz="4" w:space="0"/>
              <w:bottom w:val="single" w:color="000000" w:sz="4" w:space="0"/>
              <w:right w:val="single" w:color="000000" w:sz="4" w:space="0"/>
            </w:tcBorders>
            <w:noWrap w:val="0"/>
            <w:vAlign w:val="center"/>
          </w:tcPr>
          <w:p w14:paraId="7EFB701C">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数量</w:t>
            </w:r>
          </w:p>
        </w:tc>
      </w:tr>
      <w:tr w14:paraId="538B41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5" w:hRule="atLeast"/>
          <w:jc w:val="center"/>
        </w:trPr>
        <w:tc>
          <w:tcPr>
            <w:tcW w:w="689" w:type="dxa"/>
            <w:tcBorders>
              <w:top w:val="single" w:color="000000" w:sz="4" w:space="0"/>
              <w:left w:val="single" w:color="000000" w:sz="4" w:space="0"/>
              <w:bottom w:val="single" w:color="000000" w:sz="4" w:space="0"/>
              <w:right w:val="single" w:color="000000" w:sz="4" w:space="0"/>
            </w:tcBorders>
            <w:noWrap w:val="0"/>
            <w:vAlign w:val="center"/>
          </w:tcPr>
          <w:p w14:paraId="40108FDE">
            <w:pPr>
              <w:keepNext w:val="0"/>
              <w:keepLines w:val="0"/>
              <w:pageBreakBefore w:val="0"/>
              <w:widowControl w:val="0"/>
              <w:kinsoku/>
              <w:wordWrap/>
              <w:overflowPunct/>
              <w:topLinePunct w:val="0"/>
              <w:autoSpaceDE/>
              <w:autoSpaceDN/>
              <w:bidi w:val="0"/>
              <w:adjustRightInd/>
              <w:snapToGrid w:val="0"/>
              <w:spacing w:line="320" w:lineRule="exact"/>
              <w:ind w:firstLine="0" w:firstLineChars="0"/>
              <w:jc w:val="center"/>
              <w:textAlignment w:val="auto"/>
              <w:rPr>
                <w:rFonts w:hint="default"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1</w:t>
            </w:r>
          </w:p>
        </w:tc>
        <w:tc>
          <w:tcPr>
            <w:tcW w:w="1914" w:type="dxa"/>
            <w:tcBorders>
              <w:top w:val="single" w:color="000000" w:sz="4" w:space="0"/>
              <w:left w:val="single" w:color="000000" w:sz="4" w:space="0"/>
              <w:bottom w:val="single" w:color="000000" w:sz="4" w:space="0"/>
              <w:right w:val="single" w:color="000000" w:sz="4" w:space="0"/>
            </w:tcBorders>
            <w:noWrap w:val="0"/>
            <w:vAlign w:val="center"/>
          </w:tcPr>
          <w:p w14:paraId="59D10B37">
            <w:pPr>
              <w:keepNext w:val="0"/>
              <w:keepLines w:val="0"/>
              <w:pageBreakBefore w:val="0"/>
              <w:widowControl w:val="0"/>
              <w:kinsoku/>
              <w:wordWrap/>
              <w:overflowPunct/>
              <w:topLinePunct w:val="0"/>
              <w:autoSpaceDE/>
              <w:autoSpaceDN/>
              <w:bidi w:val="0"/>
              <w:adjustRightInd/>
              <w:snapToGrid w:val="0"/>
              <w:spacing w:line="320" w:lineRule="exact"/>
              <w:ind w:firstLine="0" w:firstLineChars="0"/>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IBM System x3650M3</w:t>
            </w:r>
          </w:p>
        </w:tc>
        <w:tc>
          <w:tcPr>
            <w:tcW w:w="5286" w:type="dxa"/>
            <w:tcBorders>
              <w:top w:val="single" w:color="000000" w:sz="4" w:space="0"/>
              <w:left w:val="single" w:color="000000" w:sz="4" w:space="0"/>
              <w:bottom w:val="single" w:color="000000" w:sz="4" w:space="0"/>
              <w:right w:val="single" w:color="000000" w:sz="4" w:space="0"/>
            </w:tcBorders>
            <w:noWrap w:val="0"/>
            <w:vAlign w:val="center"/>
          </w:tcPr>
          <w:p w14:paraId="756217E3">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CPU：1 Intel 至强5500，CPU型号 Xeon E5506</w:t>
            </w:r>
          </w:p>
          <w:p w14:paraId="62345637">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内存：4GB DDR3</w:t>
            </w:r>
          </w:p>
          <w:p w14:paraId="34146E03">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硬盘：146GB</w:t>
            </w:r>
          </w:p>
        </w:tc>
        <w:tc>
          <w:tcPr>
            <w:tcW w:w="955" w:type="dxa"/>
            <w:tcBorders>
              <w:top w:val="single" w:color="000000" w:sz="4" w:space="0"/>
              <w:left w:val="single" w:color="000000" w:sz="4" w:space="0"/>
              <w:bottom w:val="single" w:color="000000" w:sz="4" w:space="0"/>
              <w:right w:val="single" w:color="000000" w:sz="4" w:space="0"/>
            </w:tcBorders>
            <w:noWrap w:val="0"/>
            <w:vAlign w:val="center"/>
          </w:tcPr>
          <w:p w14:paraId="2ABE3AD6">
            <w:pPr>
              <w:keepNext w:val="0"/>
              <w:keepLines w:val="0"/>
              <w:pageBreakBefore w:val="0"/>
              <w:widowControl w:val="0"/>
              <w:kinsoku/>
              <w:wordWrap/>
              <w:overflowPunct/>
              <w:topLinePunct w:val="0"/>
              <w:autoSpaceDE/>
              <w:autoSpaceDN/>
              <w:bidi w:val="0"/>
              <w:adjustRightInd/>
              <w:snapToGrid w:val="0"/>
              <w:spacing w:line="320" w:lineRule="exact"/>
              <w:ind w:firstLine="0" w:firstLineChars="0"/>
              <w:jc w:val="center"/>
              <w:textAlignment w:val="auto"/>
              <w:rPr>
                <w:rFonts w:hint="default"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2台</w:t>
            </w:r>
          </w:p>
        </w:tc>
      </w:tr>
      <w:tr w14:paraId="070D3D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5" w:hRule="atLeast"/>
          <w:jc w:val="center"/>
        </w:trPr>
        <w:tc>
          <w:tcPr>
            <w:tcW w:w="689" w:type="dxa"/>
            <w:tcBorders>
              <w:top w:val="single" w:color="000000" w:sz="4" w:space="0"/>
              <w:left w:val="single" w:color="000000" w:sz="4" w:space="0"/>
              <w:bottom w:val="single" w:color="000000" w:sz="4" w:space="0"/>
              <w:right w:val="single" w:color="000000" w:sz="4" w:space="0"/>
            </w:tcBorders>
            <w:noWrap w:val="0"/>
            <w:vAlign w:val="center"/>
          </w:tcPr>
          <w:p w14:paraId="2E85A3B1">
            <w:pPr>
              <w:keepNext w:val="0"/>
              <w:keepLines w:val="0"/>
              <w:pageBreakBefore w:val="0"/>
              <w:widowControl w:val="0"/>
              <w:kinsoku/>
              <w:wordWrap/>
              <w:overflowPunct/>
              <w:topLinePunct w:val="0"/>
              <w:autoSpaceDE/>
              <w:autoSpaceDN/>
              <w:bidi w:val="0"/>
              <w:adjustRightInd/>
              <w:snapToGrid w:val="0"/>
              <w:spacing w:line="320" w:lineRule="exact"/>
              <w:ind w:firstLine="0" w:firstLineChars="0"/>
              <w:jc w:val="center"/>
              <w:textAlignment w:val="auto"/>
              <w:rPr>
                <w:rFonts w:hint="default"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2</w:t>
            </w:r>
          </w:p>
        </w:tc>
        <w:tc>
          <w:tcPr>
            <w:tcW w:w="1914" w:type="dxa"/>
            <w:tcBorders>
              <w:top w:val="single" w:color="000000" w:sz="4" w:space="0"/>
              <w:left w:val="single" w:color="000000" w:sz="4" w:space="0"/>
              <w:bottom w:val="single" w:color="000000" w:sz="4" w:space="0"/>
              <w:right w:val="single" w:color="000000" w:sz="4" w:space="0"/>
            </w:tcBorders>
            <w:noWrap w:val="0"/>
            <w:vAlign w:val="center"/>
          </w:tcPr>
          <w:p w14:paraId="0E2535F1">
            <w:pPr>
              <w:keepNext w:val="0"/>
              <w:keepLines w:val="0"/>
              <w:pageBreakBefore w:val="0"/>
              <w:widowControl w:val="0"/>
              <w:kinsoku/>
              <w:wordWrap/>
              <w:overflowPunct/>
              <w:topLinePunct w:val="0"/>
              <w:autoSpaceDE/>
              <w:autoSpaceDN/>
              <w:bidi w:val="0"/>
              <w:adjustRightInd/>
              <w:snapToGrid w:val="0"/>
              <w:spacing w:line="320" w:lineRule="exact"/>
              <w:ind w:firstLine="0" w:firstLineChars="0"/>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Lenovo RD630</w:t>
            </w:r>
          </w:p>
        </w:tc>
        <w:tc>
          <w:tcPr>
            <w:tcW w:w="5286" w:type="dxa"/>
            <w:tcBorders>
              <w:top w:val="single" w:color="000000" w:sz="4" w:space="0"/>
              <w:left w:val="single" w:color="000000" w:sz="4" w:space="0"/>
              <w:bottom w:val="single" w:color="000000" w:sz="4" w:space="0"/>
              <w:right w:val="single" w:color="000000" w:sz="4" w:space="0"/>
            </w:tcBorders>
            <w:noWrap w:val="0"/>
            <w:vAlign w:val="center"/>
          </w:tcPr>
          <w:p w14:paraId="569F8C5D">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CPU：1 Intel(R) Xeon E5-2600</w:t>
            </w:r>
          </w:p>
          <w:p w14:paraId="704431DF">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内存：4GB DDR3</w:t>
            </w:r>
          </w:p>
          <w:p w14:paraId="336E99EF">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硬盘：SATAⅢ2T</w:t>
            </w:r>
          </w:p>
        </w:tc>
        <w:tc>
          <w:tcPr>
            <w:tcW w:w="955" w:type="dxa"/>
            <w:tcBorders>
              <w:top w:val="single" w:color="000000" w:sz="4" w:space="0"/>
              <w:left w:val="single" w:color="000000" w:sz="4" w:space="0"/>
              <w:bottom w:val="single" w:color="000000" w:sz="4" w:space="0"/>
              <w:right w:val="single" w:color="000000" w:sz="4" w:space="0"/>
            </w:tcBorders>
            <w:noWrap w:val="0"/>
            <w:vAlign w:val="center"/>
          </w:tcPr>
          <w:p w14:paraId="62D27144">
            <w:pPr>
              <w:keepNext w:val="0"/>
              <w:keepLines w:val="0"/>
              <w:pageBreakBefore w:val="0"/>
              <w:widowControl w:val="0"/>
              <w:kinsoku/>
              <w:wordWrap/>
              <w:overflowPunct/>
              <w:topLinePunct w:val="0"/>
              <w:autoSpaceDE/>
              <w:autoSpaceDN/>
              <w:bidi w:val="0"/>
              <w:adjustRightInd/>
              <w:snapToGrid w:val="0"/>
              <w:spacing w:line="320" w:lineRule="exact"/>
              <w:ind w:firstLine="0" w:firstLineChars="0"/>
              <w:jc w:val="center"/>
              <w:textAlignment w:val="auto"/>
              <w:rPr>
                <w:rFonts w:hint="default"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2台</w:t>
            </w:r>
          </w:p>
        </w:tc>
      </w:tr>
      <w:tr w14:paraId="3A37F6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5" w:hRule="atLeast"/>
          <w:jc w:val="center"/>
        </w:trPr>
        <w:tc>
          <w:tcPr>
            <w:tcW w:w="689" w:type="dxa"/>
            <w:tcBorders>
              <w:top w:val="single" w:color="000000" w:sz="4" w:space="0"/>
              <w:left w:val="single" w:color="000000" w:sz="4" w:space="0"/>
              <w:bottom w:val="single" w:color="000000" w:sz="4" w:space="0"/>
              <w:right w:val="single" w:color="000000" w:sz="4" w:space="0"/>
            </w:tcBorders>
            <w:noWrap w:val="0"/>
            <w:vAlign w:val="center"/>
          </w:tcPr>
          <w:p w14:paraId="368B688C">
            <w:pPr>
              <w:keepNext w:val="0"/>
              <w:keepLines w:val="0"/>
              <w:pageBreakBefore w:val="0"/>
              <w:widowControl w:val="0"/>
              <w:kinsoku/>
              <w:wordWrap/>
              <w:overflowPunct/>
              <w:topLinePunct w:val="0"/>
              <w:autoSpaceDE/>
              <w:autoSpaceDN/>
              <w:bidi w:val="0"/>
              <w:adjustRightInd/>
              <w:snapToGrid w:val="0"/>
              <w:spacing w:line="320" w:lineRule="exact"/>
              <w:ind w:firstLine="0" w:firstLineChars="0"/>
              <w:jc w:val="center"/>
              <w:textAlignment w:val="auto"/>
              <w:rPr>
                <w:rFonts w:hint="default"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3</w:t>
            </w:r>
          </w:p>
        </w:tc>
        <w:tc>
          <w:tcPr>
            <w:tcW w:w="1914" w:type="dxa"/>
            <w:tcBorders>
              <w:top w:val="single" w:color="000000" w:sz="4" w:space="0"/>
              <w:left w:val="single" w:color="000000" w:sz="4" w:space="0"/>
              <w:bottom w:val="single" w:color="000000" w:sz="4" w:space="0"/>
              <w:right w:val="single" w:color="000000" w:sz="4" w:space="0"/>
            </w:tcBorders>
            <w:noWrap w:val="0"/>
            <w:vAlign w:val="center"/>
          </w:tcPr>
          <w:p w14:paraId="555962C4">
            <w:pPr>
              <w:keepNext w:val="0"/>
              <w:keepLines w:val="0"/>
              <w:pageBreakBefore w:val="0"/>
              <w:widowControl w:val="0"/>
              <w:kinsoku/>
              <w:wordWrap/>
              <w:overflowPunct/>
              <w:topLinePunct w:val="0"/>
              <w:autoSpaceDE/>
              <w:autoSpaceDN/>
              <w:bidi w:val="0"/>
              <w:adjustRightInd/>
              <w:snapToGrid w:val="0"/>
              <w:spacing w:line="320" w:lineRule="exact"/>
              <w:ind w:firstLine="0" w:firstLineChars="0"/>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HP Proliant DL580 G7</w:t>
            </w:r>
          </w:p>
        </w:tc>
        <w:tc>
          <w:tcPr>
            <w:tcW w:w="5286" w:type="dxa"/>
            <w:tcBorders>
              <w:top w:val="single" w:color="000000" w:sz="4" w:space="0"/>
              <w:left w:val="single" w:color="000000" w:sz="4" w:space="0"/>
              <w:bottom w:val="single" w:color="000000" w:sz="4" w:space="0"/>
              <w:right w:val="single" w:color="000000" w:sz="4" w:space="0"/>
            </w:tcBorders>
            <w:noWrap w:val="0"/>
            <w:vAlign w:val="center"/>
          </w:tcPr>
          <w:p w14:paraId="07467857">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CPU：4 Inter(R) Xeon(R)E7-4820@2.00GHz</w:t>
            </w:r>
          </w:p>
          <w:p w14:paraId="50969463">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内存：96GB DDR3</w:t>
            </w:r>
          </w:p>
          <w:p w14:paraId="18BB331D">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硬盘：SATAⅢ 180G</w:t>
            </w:r>
          </w:p>
        </w:tc>
        <w:tc>
          <w:tcPr>
            <w:tcW w:w="955" w:type="dxa"/>
            <w:tcBorders>
              <w:top w:val="single" w:color="000000" w:sz="4" w:space="0"/>
              <w:left w:val="single" w:color="000000" w:sz="4" w:space="0"/>
              <w:bottom w:val="single" w:color="000000" w:sz="4" w:space="0"/>
              <w:right w:val="single" w:color="000000" w:sz="4" w:space="0"/>
            </w:tcBorders>
            <w:noWrap w:val="0"/>
            <w:vAlign w:val="center"/>
          </w:tcPr>
          <w:p w14:paraId="008CA7D6">
            <w:pPr>
              <w:keepNext w:val="0"/>
              <w:keepLines w:val="0"/>
              <w:pageBreakBefore w:val="0"/>
              <w:widowControl w:val="0"/>
              <w:kinsoku/>
              <w:wordWrap/>
              <w:overflowPunct/>
              <w:topLinePunct w:val="0"/>
              <w:autoSpaceDE/>
              <w:autoSpaceDN/>
              <w:bidi w:val="0"/>
              <w:adjustRightInd/>
              <w:snapToGrid w:val="0"/>
              <w:spacing w:line="320" w:lineRule="exact"/>
              <w:ind w:firstLine="0" w:firstLineChars="0"/>
              <w:jc w:val="center"/>
              <w:textAlignment w:val="auto"/>
              <w:rPr>
                <w:rFonts w:hint="default"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3台</w:t>
            </w:r>
          </w:p>
        </w:tc>
      </w:tr>
      <w:tr w14:paraId="65BBDE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60" w:hRule="atLeast"/>
          <w:jc w:val="center"/>
        </w:trPr>
        <w:tc>
          <w:tcPr>
            <w:tcW w:w="689" w:type="dxa"/>
            <w:tcBorders>
              <w:top w:val="single" w:color="000000" w:sz="4" w:space="0"/>
              <w:left w:val="single" w:color="000000" w:sz="4" w:space="0"/>
              <w:bottom w:val="single" w:color="000000" w:sz="4" w:space="0"/>
              <w:right w:val="single" w:color="000000" w:sz="4" w:space="0"/>
            </w:tcBorders>
            <w:noWrap w:val="0"/>
            <w:vAlign w:val="center"/>
          </w:tcPr>
          <w:p w14:paraId="70D6792C">
            <w:pPr>
              <w:keepNext w:val="0"/>
              <w:keepLines w:val="0"/>
              <w:pageBreakBefore w:val="0"/>
              <w:widowControl w:val="0"/>
              <w:kinsoku/>
              <w:wordWrap/>
              <w:overflowPunct/>
              <w:topLinePunct w:val="0"/>
              <w:autoSpaceDE/>
              <w:autoSpaceDN/>
              <w:bidi w:val="0"/>
              <w:adjustRightInd/>
              <w:snapToGrid w:val="0"/>
              <w:spacing w:line="320" w:lineRule="exact"/>
              <w:ind w:firstLine="0" w:firstLineChars="0"/>
              <w:jc w:val="center"/>
              <w:textAlignment w:val="auto"/>
              <w:rPr>
                <w:rFonts w:hint="default"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4</w:t>
            </w:r>
          </w:p>
        </w:tc>
        <w:tc>
          <w:tcPr>
            <w:tcW w:w="1914" w:type="dxa"/>
            <w:tcBorders>
              <w:top w:val="single" w:color="000000" w:sz="4" w:space="0"/>
              <w:left w:val="single" w:color="000000" w:sz="4" w:space="0"/>
              <w:bottom w:val="single" w:color="000000" w:sz="4" w:space="0"/>
              <w:right w:val="single" w:color="000000" w:sz="4" w:space="0"/>
            </w:tcBorders>
            <w:noWrap w:val="0"/>
            <w:vAlign w:val="center"/>
          </w:tcPr>
          <w:p w14:paraId="0ADC9342">
            <w:pPr>
              <w:keepNext w:val="0"/>
              <w:keepLines w:val="0"/>
              <w:pageBreakBefore w:val="0"/>
              <w:widowControl w:val="0"/>
              <w:kinsoku/>
              <w:wordWrap/>
              <w:overflowPunct/>
              <w:topLinePunct w:val="0"/>
              <w:autoSpaceDE/>
              <w:autoSpaceDN/>
              <w:bidi w:val="0"/>
              <w:adjustRightInd/>
              <w:snapToGrid w:val="0"/>
              <w:spacing w:line="320" w:lineRule="exact"/>
              <w:ind w:firstLine="0" w:firstLineChars="0"/>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HP Proliant DL388 Gen8</w:t>
            </w:r>
          </w:p>
        </w:tc>
        <w:tc>
          <w:tcPr>
            <w:tcW w:w="5286" w:type="dxa"/>
            <w:tcBorders>
              <w:top w:val="single" w:color="000000" w:sz="4" w:space="0"/>
              <w:left w:val="single" w:color="000000" w:sz="4" w:space="0"/>
              <w:bottom w:val="single" w:color="000000" w:sz="4" w:space="0"/>
              <w:right w:val="single" w:color="000000" w:sz="4" w:space="0"/>
            </w:tcBorders>
            <w:noWrap w:val="0"/>
            <w:vAlign w:val="center"/>
          </w:tcPr>
          <w:p w14:paraId="7842953C">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CPU：2 Inter(R) Xeon(R)E5-2609@2.40GHz</w:t>
            </w:r>
          </w:p>
          <w:p w14:paraId="5AAF2B50">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内存：32GB DDR3</w:t>
            </w:r>
          </w:p>
          <w:p w14:paraId="7DDA097D">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硬盘：SATAⅢ 180G</w:t>
            </w:r>
          </w:p>
        </w:tc>
        <w:tc>
          <w:tcPr>
            <w:tcW w:w="955" w:type="dxa"/>
            <w:tcBorders>
              <w:top w:val="single" w:color="000000" w:sz="4" w:space="0"/>
              <w:left w:val="single" w:color="000000" w:sz="4" w:space="0"/>
              <w:bottom w:val="single" w:color="000000" w:sz="4" w:space="0"/>
              <w:right w:val="single" w:color="000000" w:sz="4" w:space="0"/>
            </w:tcBorders>
            <w:noWrap w:val="0"/>
            <w:vAlign w:val="center"/>
          </w:tcPr>
          <w:p w14:paraId="680BA07B">
            <w:pPr>
              <w:keepNext w:val="0"/>
              <w:keepLines w:val="0"/>
              <w:pageBreakBefore w:val="0"/>
              <w:widowControl w:val="0"/>
              <w:kinsoku/>
              <w:wordWrap/>
              <w:overflowPunct/>
              <w:topLinePunct w:val="0"/>
              <w:autoSpaceDE/>
              <w:autoSpaceDN/>
              <w:bidi w:val="0"/>
              <w:adjustRightInd/>
              <w:snapToGrid w:val="0"/>
              <w:spacing w:line="320" w:lineRule="exact"/>
              <w:ind w:firstLine="0" w:firstLineChars="0"/>
              <w:jc w:val="center"/>
              <w:textAlignment w:val="auto"/>
              <w:rPr>
                <w:rFonts w:hint="default"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6台</w:t>
            </w:r>
          </w:p>
        </w:tc>
      </w:tr>
      <w:tr w14:paraId="700616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05" w:hRule="atLeast"/>
          <w:jc w:val="center"/>
        </w:trPr>
        <w:tc>
          <w:tcPr>
            <w:tcW w:w="689" w:type="dxa"/>
            <w:tcBorders>
              <w:top w:val="single" w:color="000000" w:sz="4" w:space="0"/>
              <w:left w:val="single" w:color="000000" w:sz="4" w:space="0"/>
              <w:bottom w:val="single" w:color="000000" w:sz="4" w:space="0"/>
              <w:right w:val="single" w:color="000000" w:sz="4" w:space="0"/>
            </w:tcBorders>
            <w:noWrap w:val="0"/>
            <w:vAlign w:val="center"/>
          </w:tcPr>
          <w:p w14:paraId="47141215">
            <w:pPr>
              <w:keepNext w:val="0"/>
              <w:keepLines w:val="0"/>
              <w:pageBreakBefore w:val="0"/>
              <w:widowControl w:val="0"/>
              <w:kinsoku/>
              <w:wordWrap/>
              <w:overflowPunct/>
              <w:topLinePunct w:val="0"/>
              <w:autoSpaceDE/>
              <w:autoSpaceDN/>
              <w:bidi w:val="0"/>
              <w:adjustRightInd/>
              <w:snapToGrid w:val="0"/>
              <w:spacing w:line="320" w:lineRule="exact"/>
              <w:ind w:firstLine="0" w:firstLineChars="0"/>
              <w:jc w:val="center"/>
              <w:textAlignment w:val="auto"/>
              <w:rPr>
                <w:rFonts w:hint="default"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5</w:t>
            </w:r>
          </w:p>
        </w:tc>
        <w:tc>
          <w:tcPr>
            <w:tcW w:w="1914" w:type="dxa"/>
            <w:tcBorders>
              <w:top w:val="single" w:color="000000" w:sz="4" w:space="0"/>
              <w:left w:val="single" w:color="000000" w:sz="4" w:space="0"/>
              <w:bottom w:val="single" w:color="000000" w:sz="4" w:space="0"/>
              <w:right w:val="single" w:color="000000" w:sz="4" w:space="0"/>
            </w:tcBorders>
            <w:noWrap w:val="0"/>
            <w:vAlign w:val="center"/>
          </w:tcPr>
          <w:p w14:paraId="46091DF0">
            <w:pPr>
              <w:keepNext w:val="0"/>
              <w:keepLines w:val="0"/>
              <w:pageBreakBefore w:val="0"/>
              <w:widowControl w:val="0"/>
              <w:kinsoku/>
              <w:wordWrap/>
              <w:overflowPunct/>
              <w:topLinePunct w:val="0"/>
              <w:autoSpaceDE/>
              <w:autoSpaceDN/>
              <w:bidi w:val="0"/>
              <w:adjustRightInd/>
              <w:snapToGrid w:val="0"/>
              <w:spacing w:line="320" w:lineRule="exact"/>
              <w:ind w:firstLine="0" w:firstLineChars="0"/>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HP Proliant DL388 Gen8</w:t>
            </w:r>
          </w:p>
        </w:tc>
        <w:tc>
          <w:tcPr>
            <w:tcW w:w="5286" w:type="dxa"/>
            <w:tcBorders>
              <w:top w:val="single" w:color="000000" w:sz="4" w:space="0"/>
              <w:left w:val="single" w:color="000000" w:sz="4" w:space="0"/>
              <w:bottom w:val="single" w:color="000000" w:sz="4" w:space="0"/>
              <w:right w:val="single" w:color="000000" w:sz="4" w:space="0"/>
            </w:tcBorders>
            <w:noWrap w:val="0"/>
            <w:vAlign w:val="center"/>
          </w:tcPr>
          <w:p w14:paraId="611D49C2">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CPU：2 Inter(R) Xeon(R)E5-2609@2.40GHz</w:t>
            </w:r>
          </w:p>
          <w:p w14:paraId="6E6AA46E">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内存：64GB DDR3</w:t>
            </w:r>
          </w:p>
          <w:p w14:paraId="691B78E0">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硬盘：SATAⅢ 180G</w:t>
            </w:r>
          </w:p>
        </w:tc>
        <w:tc>
          <w:tcPr>
            <w:tcW w:w="955" w:type="dxa"/>
            <w:tcBorders>
              <w:top w:val="single" w:color="000000" w:sz="4" w:space="0"/>
              <w:left w:val="single" w:color="000000" w:sz="4" w:space="0"/>
              <w:bottom w:val="single" w:color="000000" w:sz="4" w:space="0"/>
              <w:right w:val="single" w:color="000000" w:sz="4" w:space="0"/>
            </w:tcBorders>
            <w:noWrap w:val="0"/>
            <w:vAlign w:val="center"/>
          </w:tcPr>
          <w:p w14:paraId="38200C20">
            <w:pPr>
              <w:keepNext w:val="0"/>
              <w:keepLines w:val="0"/>
              <w:pageBreakBefore w:val="0"/>
              <w:widowControl w:val="0"/>
              <w:kinsoku/>
              <w:wordWrap/>
              <w:overflowPunct/>
              <w:topLinePunct w:val="0"/>
              <w:autoSpaceDE/>
              <w:autoSpaceDN/>
              <w:bidi w:val="0"/>
              <w:adjustRightInd/>
              <w:snapToGrid w:val="0"/>
              <w:spacing w:line="320" w:lineRule="exact"/>
              <w:ind w:firstLine="0" w:firstLineChars="0"/>
              <w:jc w:val="center"/>
              <w:textAlignment w:val="auto"/>
              <w:rPr>
                <w:rFonts w:hint="default"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3台</w:t>
            </w:r>
          </w:p>
        </w:tc>
      </w:tr>
      <w:tr w14:paraId="151D05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05" w:hRule="atLeast"/>
          <w:jc w:val="center"/>
        </w:trPr>
        <w:tc>
          <w:tcPr>
            <w:tcW w:w="689" w:type="dxa"/>
            <w:tcBorders>
              <w:top w:val="single" w:color="000000" w:sz="4" w:space="0"/>
              <w:left w:val="single" w:color="000000" w:sz="4" w:space="0"/>
              <w:bottom w:val="single" w:color="000000" w:sz="4" w:space="0"/>
              <w:right w:val="single" w:color="000000" w:sz="4" w:space="0"/>
            </w:tcBorders>
            <w:noWrap w:val="0"/>
            <w:vAlign w:val="center"/>
          </w:tcPr>
          <w:p w14:paraId="16C878B8">
            <w:pPr>
              <w:keepNext w:val="0"/>
              <w:keepLines w:val="0"/>
              <w:pageBreakBefore w:val="0"/>
              <w:widowControl w:val="0"/>
              <w:kinsoku/>
              <w:wordWrap/>
              <w:overflowPunct/>
              <w:topLinePunct w:val="0"/>
              <w:autoSpaceDE/>
              <w:autoSpaceDN/>
              <w:bidi w:val="0"/>
              <w:adjustRightInd/>
              <w:snapToGrid w:val="0"/>
              <w:spacing w:line="320" w:lineRule="exact"/>
              <w:ind w:firstLine="0" w:firstLineChars="0"/>
              <w:jc w:val="center"/>
              <w:textAlignment w:val="auto"/>
              <w:rPr>
                <w:rFonts w:hint="default"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6</w:t>
            </w:r>
          </w:p>
        </w:tc>
        <w:tc>
          <w:tcPr>
            <w:tcW w:w="1914" w:type="dxa"/>
            <w:tcBorders>
              <w:top w:val="single" w:color="000000" w:sz="4" w:space="0"/>
              <w:left w:val="single" w:color="000000" w:sz="4" w:space="0"/>
              <w:bottom w:val="single" w:color="000000" w:sz="4" w:space="0"/>
              <w:right w:val="single" w:color="000000" w:sz="4" w:space="0"/>
            </w:tcBorders>
            <w:noWrap w:val="0"/>
            <w:vAlign w:val="center"/>
          </w:tcPr>
          <w:p w14:paraId="501D2CAE">
            <w:pPr>
              <w:keepNext w:val="0"/>
              <w:keepLines w:val="0"/>
              <w:pageBreakBefore w:val="0"/>
              <w:widowControl w:val="0"/>
              <w:kinsoku/>
              <w:wordWrap/>
              <w:overflowPunct/>
              <w:topLinePunct w:val="0"/>
              <w:autoSpaceDE/>
              <w:autoSpaceDN/>
              <w:bidi w:val="0"/>
              <w:adjustRightInd/>
              <w:snapToGrid w:val="0"/>
              <w:spacing w:line="320" w:lineRule="exact"/>
              <w:ind w:firstLine="0" w:firstLineChars="0"/>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EMC NX5400</w:t>
            </w:r>
          </w:p>
        </w:tc>
        <w:tc>
          <w:tcPr>
            <w:tcW w:w="5286" w:type="dxa"/>
            <w:tcBorders>
              <w:top w:val="single" w:color="000000" w:sz="4" w:space="0"/>
              <w:left w:val="single" w:color="000000" w:sz="4" w:space="0"/>
              <w:bottom w:val="single" w:color="000000" w:sz="4" w:space="0"/>
              <w:right w:val="single" w:color="000000" w:sz="4" w:space="0"/>
            </w:tcBorders>
            <w:noWrap w:val="0"/>
            <w:vAlign w:val="center"/>
          </w:tcPr>
          <w:p w14:paraId="463F8322">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Active-Active双控制器，2颗4核Intel控制器CPU,具备MCx多核优化功能；</w:t>
            </w:r>
          </w:p>
          <w:p w14:paraId="7352EE40">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32GB Cache容量；</w:t>
            </w:r>
          </w:p>
          <w:p w14:paraId="0F2963BB">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最大总端口数36，支持光纤端口，1Gb/s iSCSI端口、10Gb/s iSCSI端口、10Gb/s iSCSI端口和FCoE端口；</w:t>
            </w:r>
          </w:p>
          <w:p w14:paraId="50ECD971">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主机光纤通道数8，速率8Gb/s，可以升级扩展至32端口；</w:t>
            </w:r>
          </w:p>
          <w:p w14:paraId="2462B6AF">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8块600GB 15k转 SAS2.0硬盘；</w:t>
            </w:r>
          </w:p>
          <w:p w14:paraId="5923BBD3">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15块3TB 7200转SATA磁盘；支持3.5英寸和2.5英寸SAS驱动器，支持SSD/SAS/SATA硬盘混插，主机机头带15块300G 15K的SAS硬盘；</w:t>
            </w:r>
          </w:p>
          <w:p w14:paraId="7AD59B43">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同时支持IBM AIXHP-UX、Linux、Windows系统。</w:t>
            </w:r>
          </w:p>
        </w:tc>
        <w:tc>
          <w:tcPr>
            <w:tcW w:w="955" w:type="dxa"/>
            <w:tcBorders>
              <w:top w:val="single" w:color="000000" w:sz="4" w:space="0"/>
              <w:left w:val="single" w:color="000000" w:sz="4" w:space="0"/>
              <w:bottom w:val="single" w:color="000000" w:sz="4" w:space="0"/>
              <w:right w:val="single" w:color="000000" w:sz="4" w:space="0"/>
            </w:tcBorders>
            <w:noWrap w:val="0"/>
            <w:vAlign w:val="center"/>
          </w:tcPr>
          <w:p w14:paraId="227C10E9">
            <w:pPr>
              <w:keepNext w:val="0"/>
              <w:keepLines w:val="0"/>
              <w:pageBreakBefore w:val="0"/>
              <w:widowControl w:val="0"/>
              <w:kinsoku/>
              <w:wordWrap/>
              <w:overflowPunct/>
              <w:topLinePunct w:val="0"/>
              <w:autoSpaceDE/>
              <w:autoSpaceDN/>
              <w:bidi w:val="0"/>
              <w:adjustRightInd/>
              <w:snapToGrid w:val="0"/>
              <w:spacing w:line="320" w:lineRule="exact"/>
              <w:ind w:firstLine="0" w:firstLineChars="0"/>
              <w:jc w:val="center"/>
              <w:textAlignment w:val="auto"/>
              <w:rPr>
                <w:rFonts w:hint="default"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1台</w:t>
            </w:r>
          </w:p>
        </w:tc>
      </w:tr>
      <w:tr w14:paraId="3C2C58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05" w:hRule="atLeast"/>
          <w:jc w:val="center"/>
        </w:trPr>
        <w:tc>
          <w:tcPr>
            <w:tcW w:w="689" w:type="dxa"/>
            <w:tcBorders>
              <w:top w:val="single" w:color="000000" w:sz="4" w:space="0"/>
              <w:left w:val="single" w:color="000000" w:sz="4" w:space="0"/>
              <w:bottom w:val="single" w:color="000000" w:sz="4" w:space="0"/>
              <w:right w:val="single" w:color="000000" w:sz="4" w:space="0"/>
            </w:tcBorders>
            <w:noWrap w:val="0"/>
            <w:vAlign w:val="center"/>
          </w:tcPr>
          <w:p w14:paraId="61AA815D">
            <w:pPr>
              <w:keepNext w:val="0"/>
              <w:keepLines w:val="0"/>
              <w:pageBreakBefore w:val="0"/>
              <w:widowControl w:val="0"/>
              <w:kinsoku/>
              <w:wordWrap/>
              <w:overflowPunct/>
              <w:topLinePunct w:val="0"/>
              <w:autoSpaceDE/>
              <w:autoSpaceDN/>
              <w:bidi w:val="0"/>
              <w:adjustRightInd/>
              <w:snapToGrid w:val="0"/>
              <w:spacing w:line="320" w:lineRule="exact"/>
              <w:ind w:firstLine="0" w:firstLineChars="0"/>
              <w:jc w:val="center"/>
              <w:textAlignment w:val="auto"/>
              <w:rPr>
                <w:rFonts w:hint="default"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7</w:t>
            </w:r>
          </w:p>
        </w:tc>
        <w:tc>
          <w:tcPr>
            <w:tcW w:w="1914" w:type="dxa"/>
            <w:tcBorders>
              <w:top w:val="single" w:color="000000" w:sz="4" w:space="0"/>
              <w:left w:val="single" w:color="000000" w:sz="4" w:space="0"/>
              <w:bottom w:val="single" w:color="000000" w:sz="4" w:space="0"/>
              <w:right w:val="single" w:color="000000" w:sz="4" w:space="0"/>
            </w:tcBorders>
            <w:noWrap w:val="0"/>
            <w:vAlign w:val="center"/>
          </w:tcPr>
          <w:p w14:paraId="0D81661D">
            <w:pPr>
              <w:keepNext w:val="0"/>
              <w:keepLines w:val="0"/>
              <w:pageBreakBefore w:val="0"/>
              <w:widowControl w:val="0"/>
              <w:kinsoku/>
              <w:wordWrap/>
              <w:overflowPunct/>
              <w:topLinePunct w:val="0"/>
              <w:autoSpaceDE/>
              <w:autoSpaceDN/>
              <w:bidi w:val="0"/>
              <w:adjustRightInd/>
              <w:snapToGrid w:val="0"/>
              <w:spacing w:line="320" w:lineRule="exact"/>
              <w:ind w:firstLine="0" w:firstLineChars="0"/>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力登KVM</w:t>
            </w:r>
          </w:p>
        </w:tc>
        <w:tc>
          <w:tcPr>
            <w:tcW w:w="5286" w:type="dxa"/>
            <w:tcBorders>
              <w:top w:val="single" w:color="000000" w:sz="4" w:space="0"/>
              <w:left w:val="single" w:color="000000" w:sz="4" w:space="0"/>
              <w:bottom w:val="single" w:color="000000" w:sz="4" w:space="0"/>
              <w:right w:val="single" w:color="000000" w:sz="4" w:space="0"/>
            </w:tcBorders>
            <w:noWrap w:val="0"/>
            <w:vAlign w:val="center"/>
          </w:tcPr>
          <w:p w14:paraId="5F72D29D">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Dpominion KX2-416 数字式切换器，单台支持多大5用户通道和16个IT设备通道，支持双电源，双千兆以太网口，支持管理多平台KVM设备，支持电源控制整合。</w:t>
            </w:r>
          </w:p>
        </w:tc>
        <w:tc>
          <w:tcPr>
            <w:tcW w:w="955" w:type="dxa"/>
            <w:tcBorders>
              <w:top w:val="single" w:color="000000" w:sz="4" w:space="0"/>
              <w:left w:val="single" w:color="000000" w:sz="4" w:space="0"/>
              <w:bottom w:val="single" w:color="000000" w:sz="4" w:space="0"/>
              <w:right w:val="single" w:color="000000" w:sz="4" w:space="0"/>
            </w:tcBorders>
            <w:noWrap w:val="0"/>
            <w:vAlign w:val="center"/>
          </w:tcPr>
          <w:p w14:paraId="10AFB418">
            <w:pPr>
              <w:keepNext w:val="0"/>
              <w:keepLines w:val="0"/>
              <w:pageBreakBefore w:val="0"/>
              <w:widowControl w:val="0"/>
              <w:kinsoku/>
              <w:wordWrap/>
              <w:overflowPunct/>
              <w:topLinePunct w:val="0"/>
              <w:autoSpaceDE/>
              <w:autoSpaceDN/>
              <w:bidi w:val="0"/>
              <w:adjustRightInd/>
              <w:snapToGrid w:val="0"/>
              <w:spacing w:line="320" w:lineRule="exact"/>
              <w:ind w:firstLine="0" w:firstLineChars="0"/>
              <w:jc w:val="center"/>
              <w:textAlignment w:val="auto"/>
              <w:rPr>
                <w:rFonts w:hint="default"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1台</w:t>
            </w:r>
          </w:p>
        </w:tc>
      </w:tr>
      <w:tr w14:paraId="5EF518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05" w:hRule="atLeast"/>
          <w:jc w:val="center"/>
        </w:trPr>
        <w:tc>
          <w:tcPr>
            <w:tcW w:w="689" w:type="dxa"/>
            <w:tcBorders>
              <w:top w:val="single" w:color="000000" w:sz="4" w:space="0"/>
              <w:left w:val="single" w:color="000000" w:sz="4" w:space="0"/>
              <w:bottom w:val="single" w:color="000000" w:sz="4" w:space="0"/>
              <w:right w:val="single" w:color="000000" w:sz="4" w:space="0"/>
            </w:tcBorders>
            <w:noWrap w:val="0"/>
            <w:vAlign w:val="center"/>
          </w:tcPr>
          <w:p w14:paraId="428C7DC5">
            <w:pPr>
              <w:keepNext w:val="0"/>
              <w:keepLines w:val="0"/>
              <w:pageBreakBefore w:val="0"/>
              <w:widowControl w:val="0"/>
              <w:kinsoku/>
              <w:wordWrap/>
              <w:overflowPunct/>
              <w:topLinePunct w:val="0"/>
              <w:autoSpaceDE/>
              <w:autoSpaceDN/>
              <w:bidi w:val="0"/>
              <w:adjustRightInd/>
              <w:snapToGrid w:val="0"/>
              <w:spacing w:line="320" w:lineRule="exact"/>
              <w:ind w:firstLine="0" w:firstLineChars="0"/>
              <w:jc w:val="center"/>
              <w:textAlignment w:val="auto"/>
              <w:rPr>
                <w:rFonts w:hint="default"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8</w:t>
            </w:r>
          </w:p>
        </w:tc>
        <w:tc>
          <w:tcPr>
            <w:tcW w:w="1914" w:type="dxa"/>
            <w:tcBorders>
              <w:top w:val="single" w:color="000000" w:sz="4" w:space="0"/>
              <w:left w:val="single" w:color="000000" w:sz="4" w:space="0"/>
              <w:bottom w:val="single" w:color="000000" w:sz="4" w:space="0"/>
              <w:right w:val="single" w:color="000000" w:sz="4" w:space="0"/>
            </w:tcBorders>
            <w:noWrap w:val="0"/>
            <w:vAlign w:val="center"/>
          </w:tcPr>
          <w:p w14:paraId="752A3176">
            <w:pPr>
              <w:keepNext w:val="0"/>
              <w:keepLines w:val="0"/>
              <w:pageBreakBefore w:val="0"/>
              <w:widowControl w:val="0"/>
              <w:kinsoku/>
              <w:wordWrap/>
              <w:overflowPunct/>
              <w:topLinePunct w:val="0"/>
              <w:autoSpaceDE/>
              <w:autoSpaceDN/>
              <w:bidi w:val="0"/>
              <w:adjustRightInd/>
              <w:snapToGrid w:val="0"/>
              <w:spacing w:line="320" w:lineRule="exact"/>
              <w:ind w:firstLine="0" w:firstLineChars="0"/>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力登KVM</w:t>
            </w:r>
          </w:p>
        </w:tc>
        <w:tc>
          <w:tcPr>
            <w:tcW w:w="5286" w:type="dxa"/>
            <w:tcBorders>
              <w:top w:val="single" w:color="000000" w:sz="4" w:space="0"/>
              <w:left w:val="single" w:color="000000" w:sz="4" w:space="0"/>
              <w:bottom w:val="single" w:color="000000" w:sz="4" w:space="0"/>
              <w:right w:val="single" w:color="000000" w:sz="4" w:space="0"/>
            </w:tcBorders>
            <w:noWrap w:val="0"/>
            <w:vAlign w:val="center"/>
          </w:tcPr>
          <w:p w14:paraId="14C0F78E">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D2CIM-VUSB 计算机接口模块，服务器接口类型VGA显示器，支持鼠标绝对同步和虚拟媒体功能。</w:t>
            </w:r>
          </w:p>
        </w:tc>
        <w:tc>
          <w:tcPr>
            <w:tcW w:w="955" w:type="dxa"/>
            <w:tcBorders>
              <w:top w:val="single" w:color="000000" w:sz="4" w:space="0"/>
              <w:left w:val="single" w:color="000000" w:sz="4" w:space="0"/>
              <w:bottom w:val="single" w:color="000000" w:sz="4" w:space="0"/>
              <w:right w:val="single" w:color="000000" w:sz="4" w:space="0"/>
            </w:tcBorders>
            <w:noWrap w:val="0"/>
            <w:vAlign w:val="center"/>
          </w:tcPr>
          <w:p w14:paraId="48DE10FB">
            <w:pPr>
              <w:keepNext w:val="0"/>
              <w:keepLines w:val="0"/>
              <w:pageBreakBefore w:val="0"/>
              <w:widowControl w:val="0"/>
              <w:kinsoku/>
              <w:wordWrap/>
              <w:overflowPunct/>
              <w:topLinePunct w:val="0"/>
              <w:autoSpaceDE/>
              <w:autoSpaceDN/>
              <w:bidi w:val="0"/>
              <w:adjustRightInd/>
              <w:snapToGrid w:val="0"/>
              <w:spacing w:line="320" w:lineRule="exact"/>
              <w:ind w:firstLine="0" w:firstLineChars="0"/>
              <w:jc w:val="center"/>
              <w:textAlignment w:val="auto"/>
              <w:rPr>
                <w:rFonts w:hint="default"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1台</w:t>
            </w:r>
          </w:p>
        </w:tc>
      </w:tr>
      <w:tr w14:paraId="51D9DB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05" w:hRule="atLeast"/>
          <w:jc w:val="center"/>
        </w:trPr>
        <w:tc>
          <w:tcPr>
            <w:tcW w:w="689" w:type="dxa"/>
            <w:tcBorders>
              <w:top w:val="single" w:color="000000" w:sz="4" w:space="0"/>
              <w:left w:val="single" w:color="000000" w:sz="4" w:space="0"/>
              <w:bottom w:val="single" w:color="000000" w:sz="4" w:space="0"/>
              <w:right w:val="single" w:color="000000" w:sz="4" w:space="0"/>
            </w:tcBorders>
            <w:noWrap w:val="0"/>
            <w:vAlign w:val="center"/>
          </w:tcPr>
          <w:p w14:paraId="1B646FFF">
            <w:pPr>
              <w:keepNext w:val="0"/>
              <w:keepLines w:val="0"/>
              <w:pageBreakBefore w:val="0"/>
              <w:widowControl w:val="0"/>
              <w:kinsoku/>
              <w:wordWrap/>
              <w:overflowPunct/>
              <w:topLinePunct w:val="0"/>
              <w:autoSpaceDE/>
              <w:autoSpaceDN/>
              <w:bidi w:val="0"/>
              <w:adjustRightInd/>
              <w:snapToGrid w:val="0"/>
              <w:spacing w:line="320" w:lineRule="exact"/>
              <w:ind w:firstLine="0" w:firstLineChars="0"/>
              <w:jc w:val="center"/>
              <w:textAlignment w:val="auto"/>
              <w:rPr>
                <w:rFonts w:hint="default"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9</w:t>
            </w:r>
          </w:p>
        </w:tc>
        <w:tc>
          <w:tcPr>
            <w:tcW w:w="1914" w:type="dxa"/>
            <w:tcBorders>
              <w:top w:val="single" w:color="000000" w:sz="4" w:space="0"/>
              <w:left w:val="single" w:color="000000" w:sz="4" w:space="0"/>
              <w:bottom w:val="single" w:color="000000" w:sz="4" w:space="0"/>
              <w:right w:val="single" w:color="000000" w:sz="4" w:space="0"/>
            </w:tcBorders>
            <w:noWrap w:val="0"/>
            <w:vAlign w:val="center"/>
          </w:tcPr>
          <w:p w14:paraId="4B68F597">
            <w:pPr>
              <w:keepNext w:val="0"/>
              <w:keepLines w:val="0"/>
              <w:pageBreakBefore w:val="0"/>
              <w:widowControl w:val="0"/>
              <w:kinsoku/>
              <w:wordWrap/>
              <w:overflowPunct/>
              <w:topLinePunct w:val="0"/>
              <w:autoSpaceDE/>
              <w:autoSpaceDN/>
              <w:bidi w:val="0"/>
              <w:adjustRightInd/>
              <w:snapToGrid w:val="0"/>
              <w:spacing w:line="320" w:lineRule="exact"/>
              <w:ind w:firstLine="0" w:firstLineChars="0"/>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力登KVM</w:t>
            </w:r>
          </w:p>
        </w:tc>
        <w:tc>
          <w:tcPr>
            <w:tcW w:w="5286" w:type="dxa"/>
            <w:tcBorders>
              <w:top w:val="single" w:color="000000" w:sz="4" w:space="0"/>
              <w:left w:val="single" w:color="000000" w:sz="4" w:space="0"/>
              <w:bottom w:val="single" w:color="000000" w:sz="4" w:space="0"/>
              <w:right w:val="single" w:color="000000" w:sz="4" w:space="0"/>
            </w:tcBorders>
            <w:noWrap w:val="0"/>
            <w:vAlign w:val="center"/>
          </w:tcPr>
          <w:p w14:paraId="59D16A33">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DFS-KVM1200 KVM操作审计系统，全硬件构架，实现双机冗余功能，单台支持最多12个并发用户数，最大4路并发回放路数、内置500G企业级SATA硬盘用于存放录制数据存储。</w:t>
            </w:r>
          </w:p>
        </w:tc>
        <w:tc>
          <w:tcPr>
            <w:tcW w:w="955" w:type="dxa"/>
            <w:tcBorders>
              <w:top w:val="single" w:color="000000" w:sz="4" w:space="0"/>
              <w:left w:val="single" w:color="000000" w:sz="4" w:space="0"/>
              <w:bottom w:val="single" w:color="000000" w:sz="4" w:space="0"/>
              <w:right w:val="single" w:color="000000" w:sz="4" w:space="0"/>
            </w:tcBorders>
            <w:noWrap w:val="0"/>
            <w:vAlign w:val="center"/>
          </w:tcPr>
          <w:p w14:paraId="6B64B7B7">
            <w:pPr>
              <w:keepNext w:val="0"/>
              <w:keepLines w:val="0"/>
              <w:pageBreakBefore w:val="0"/>
              <w:widowControl w:val="0"/>
              <w:kinsoku/>
              <w:wordWrap/>
              <w:overflowPunct/>
              <w:topLinePunct w:val="0"/>
              <w:autoSpaceDE/>
              <w:autoSpaceDN/>
              <w:bidi w:val="0"/>
              <w:adjustRightInd/>
              <w:snapToGrid w:val="0"/>
              <w:spacing w:line="320" w:lineRule="exact"/>
              <w:ind w:firstLine="0" w:firstLineChars="0"/>
              <w:jc w:val="center"/>
              <w:textAlignment w:val="auto"/>
              <w:rPr>
                <w:rFonts w:hint="default"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1台</w:t>
            </w:r>
          </w:p>
        </w:tc>
      </w:tr>
      <w:tr w14:paraId="74C912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05" w:hRule="atLeast"/>
          <w:jc w:val="center"/>
        </w:trPr>
        <w:tc>
          <w:tcPr>
            <w:tcW w:w="689" w:type="dxa"/>
            <w:tcBorders>
              <w:top w:val="single" w:color="000000" w:sz="4" w:space="0"/>
              <w:left w:val="single" w:color="000000" w:sz="4" w:space="0"/>
              <w:bottom w:val="single" w:color="000000" w:sz="4" w:space="0"/>
              <w:right w:val="single" w:color="000000" w:sz="4" w:space="0"/>
            </w:tcBorders>
            <w:noWrap w:val="0"/>
            <w:vAlign w:val="center"/>
          </w:tcPr>
          <w:p w14:paraId="49ED7710">
            <w:pPr>
              <w:keepNext w:val="0"/>
              <w:keepLines w:val="0"/>
              <w:pageBreakBefore w:val="0"/>
              <w:widowControl w:val="0"/>
              <w:kinsoku/>
              <w:wordWrap/>
              <w:overflowPunct/>
              <w:topLinePunct w:val="0"/>
              <w:autoSpaceDE/>
              <w:autoSpaceDN/>
              <w:bidi w:val="0"/>
              <w:adjustRightInd/>
              <w:snapToGrid w:val="0"/>
              <w:spacing w:line="320" w:lineRule="exact"/>
              <w:ind w:firstLine="0" w:firstLineChars="0"/>
              <w:jc w:val="center"/>
              <w:textAlignment w:val="auto"/>
              <w:rPr>
                <w:rFonts w:hint="default"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10</w:t>
            </w:r>
          </w:p>
        </w:tc>
        <w:tc>
          <w:tcPr>
            <w:tcW w:w="1914" w:type="dxa"/>
            <w:tcBorders>
              <w:top w:val="single" w:color="000000" w:sz="4" w:space="0"/>
              <w:left w:val="single" w:color="000000" w:sz="4" w:space="0"/>
              <w:bottom w:val="single" w:color="000000" w:sz="4" w:space="0"/>
              <w:right w:val="single" w:color="000000" w:sz="4" w:space="0"/>
            </w:tcBorders>
            <w:noWrap w:val="0"/>
            <w:vAlign w:val="center"/>
          </w:tcPr>
          <w:p w14:paraId="5ED09C9F">
            <w:pPr>
              <w:keepNext w:val="0"/>
              <w:keepLines w:val="0"/>
              <w:pageBreakBefore w:val="0"/>
              <w:widowControl w:val="0"/>
              <w:kinsoku/>
              <w:wordWrap/>
              <w:overflowPunct/>
              <w:topLinePunct w:val="0"/>
              <w:autoSpaceDE/>
              <w:autoSpaceDN/>
              <w:bidi w:val="0"/>
              <w:adjustRightInd/>
              <w:snapToGrid w:val="0"/>
              <w:spacing w:line="320" w:lineRule="exact"/>
              <w:ind w:firstLine="0" w:firstLineChars="0"/>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力登KVM</w:t>
            </w:r>
          </w:p>
        </w:tc>
        <w:tc>
          <w:tcPr>
            <w:tcW w:w="5286" w:type="dxa"/>
            <w:tcBorders>
              <w:top w:val="single" w:color="000000" w:sz="4" w:space="0"/>
              <w:left w:val="single" w:color="000000" w:sz="4" w:space="0"/>
              <w:bottom w:val="single" w:color="000000" w:sz="4" w:space="0"/>
              <w:right w:val="single" w:color="000000" w:sz="4" w:space="0"/>
            </w:tcBorders>
            <w:noWrap w:val="0"/>
            <w:vAlign w:val="center"/>
          </w:tcPr>
          <w:p w14:paraId="5D0B5C12">
            <w:pPr>
              <w:keepNext w:val="0"/>
              <w:keepLines w:val="0"/>
              <w:pageBreakBefore w:val="0"/>
              <w:widowControl w:val="0"/>
              <w:kinsoku/>
              <w:wordWrap/>
              <w:overflowPunct/>
              <w:topLinePunct w:val="0"/>
              <w:autoSpaceDE/>
              <w:autoSpaceDN/>
              <w:bidi w:val="0"/>
              <w:adjustRightInd/>
              <w:snapToGrid w:val="0"/>
              <w:spacing w:line="32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 xml:space="preserve">DSXA-32-DL 数字式串口切换器，单台支持32个IT设备通道，每个通道支持10个用户。 </w:t>
            </w:r>
          </w:p>
        </w:tc>
        <w:tc>
          <w:tcPr>
            <w:tcW w:w="955" w:type="dxa"/>
            <w:tcBorders>
              <w:top w:val="single" w:color="000000" w:sz="4" w:space="0"/>
              <w:left w:val="single" w:color="000000" w:sz="4" w:space="0"/>
              <w:bottom w:val="single" w:color="000000" w:sz="4" w:space="0"/>
              <w:right w:val="single" w:color="000000" w:sz="4" w:space="0"/>
            </w:tcBorders>
            <w:noWrap w:val="0"/>
            <w:vAlign w:val="center"/>
          </w:tcPr>
          <w:p w14:paraId="0AF49657">
            <w:pPr>
              <w:keepNext w:val="0"/>
              <w:keepLines w:val="0"/>
              <w:pageBreakBefore w:val="0"/>
              <w:widowControl w:val="0"/>
              <w:kinsoku/>
              <w:wordWrap/>
              <w:overflowPunct/>
              <w:topLinePunct w:val="0"/>
              <w:autoSpaceDE/>
              <w:autoSpaceDN/>
              <w:bidi w:val="0"/>
              <w:adjustRightInd/>
              <w:snapToGrid w:val="0"/>
              <w:spacing w:line="320" w:lineRule="exact"/>
              <w:ind w:firstLine="0" w:firstLineChars="0"/>
              <w:jc w:val="center"/>
              <w:textAlignment w:val="auto"/>
              <w:rPr>
                <w:rFonts w:hint="default"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1台</w:t>
            </w:r>
          </w:p>
        </w:tc>
      </w:tr>
    </w:tbl>
    <w:p w14:paraId="2D9B2F40">
      <w:pPr>
        <w:pStyle w:val="5"/>
        <w:rPr>
          <w:rFonts w:hint="eastAsia"/>
          <w:lang w:val="en-US" w:eastAsia="zh-CN"/>
        </w:rPr>
      </w:pPr>
    </w:p>
    <w:p w14:paraId="35C3E4A5">
      <w:pPr>
        <w:keepNext w:val="0"/>
        <w:keepLines w:val="0"/>
        <w:pageBreakBefore w:val="0"/>
        <w:widowControl w:val="0"/>
        <w:kinsoku/>
        <w:wordWrap/>
        <w:overflowPunct/>
        <w:topLinePunct w:val="0"/>
        <w:autoSpaceDE/>
        <w:autoSpaceDN/>
        <w:bidi w:val="0"/>
        <w:adjustRightInd/>
        <w:snapToGrid w:val="0"/>
        <w:spacing w:line="570" w:lineRule="exact"/>
        <w:ind w:firstLine="640" w:firstLineChars="200"/>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黑体_GBK" w:eastAsia="方正黑体_GBK" w:cs="Times New Roman"/>
          <w:sz w:val="32"/>
          <w:szCs w:val="32"/>
          <w:lang w:val="en-US" w:eastAsia="zh-CN"/>
        </w:rPr>
        <w:t>五</w:t>
      </w:r>
      <w:r>
        <w:rPr>
          <w:rFonts w:hint="eastAsia" w:ascii="方正黑体_GBK" w:hAnsi="Times New Roman" w:eastAsia="方正黑体_GBK" w:cs="Times New Roman"/>
          <w:sz w:val="32"/>
          <w:szCs w:val="32"/>
          <w:lang w:val="en-US" w:eastAsia="zh-CN"/>
        </w:rPr>
        <w:t>、商务要求</w:t>
      </w:r>
    </w:p>
    <w:p w14:paraId="23EA4AFF">
      <w:pPr>
        <w:snapToGrid w:val="0"/>
        <w:spacing w:line="570" w:lineRule="exact"/>
        <w:ind w:firstLine="640" w:firstLineChars="200"/>
        <w:rPr>
          <w:rFonts w:hint="eastAsia" w:ascii="方正仿宋_GBK" w:hAnsi="方正仿宋_GBK" w:eastAsia="方正仿宋_GBK" w:cs="方正仿宋_GBK"/>
          <w:sz w:val="32"/>
          <w:szCs w:val="32"/>
          <w:lang w:val="en-US" w:eastAsia="zh-CN"/>
        </w:rPr>
      </w:pPr>
      <w:bookmarkStart w:id="0" w:name="_Toc267320049"/>
      <w:r>
        <w:rPr>
          <w:rFonts w:hint="eastAsia" w:ascii="方正仿宋_GBK" w:hAnsi="方正仿宋_GBK" w:eastAsia="方正仿宋_GBK" w:cs="方正仿宋_GBK"/>
          <w:sz w:val="32"/>
          <w:szCs w:val="32"/>
          <w:lang w:val="en-US" w:eastAsia="zh-CN"/>
        </w:rPr>
        <w:t>（一）服务时间地点和验收</w:t>
      </w:r>
      <w:bookmarkEnd w:id="0"/>
    </w:p>
    <w:p w14:paraId="46164D24">
      <w:pPr>
        <w:snapToGrid w:val="0"/>
        <w:spacing w:line="570" w:lineRule="exact"/>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1.服务时间：2026年1月1日至2026年12月31日。</w:t>
      </w:r>
    </w:p>
    <w:p w14:paraId="2F62C911">
      <w:pPr>
        <w:snapToGrid w:val="0"/>
        <w:spacing w:line="570" w:lineRule="exact"/>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2.实施地点：重庆市巴南区图书馆指定。</w:t>
      </w:r>
    </w:p>
    <w:p w14:paraId="03DAD11D">
      <w:pPr>
        <w:snapToGrid w:val="0"/>
        <w:spacing w:line="570" w:lineRule="exact"/>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3.验收方式：</w:t>
      </w:r>
    </w:p>
    <w:p w14:paraId="4AB50ACE">
      <w:pPr>
        <w:snapToGrid w:val="0"/>
        <w:spacing w:line="570" w:lineRule="exact"/>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（1）材料设备到达现场后，中标供应商应在使用单位人员在场情况下当面开箱，共同清点、检查外观，作出开箱记录，双方签字确认。</w:t>
      </w:r>
    </w:p>
    <w:p w14:paraId="2589F108">
      <w:pPr>
        <w:snapToGrid w:val="0"/>
        <w:spacing w:line="570" w:lineRule="exact"/>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（2）中标供应商应保证材料设备到达采购人所在地完好无损，如有缺漏、损坏，由中标供应商负责调换、补齐或赔偿。</w:t>
      </w:r>
    </w:p>
    <w:p w14:paraId="1467E899">
      <w:pPr>
        <w:snapToGrid w:val="0"/>
        <w:spacing w:line="570" w:lineRule="exact"/>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（3）中标供应商应提供完备的技术资料、装箱单和合格证等，并派遣专业技术人员进行现场安装调试。验收合格条件如下：</w:t>
      </w:r>
    </w:p>
    <w:p w14:paraId="2C865C57">
      <w:pPr>
        <w:snapToGrid w:val="0"/>
        <w:spacing w:line="570" w:lineRule="exact"/>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fldChar w:fldCharType="begin"/>
      </w:r>
      <w:r>
        <w:rPr>
          <w:rFonts w:hint="eastAsia" w:ascii="方正仿宋_GBK" w:hAnsi="方正仿宋_GBK" w:eastAsia="方正仿宋_GBK" w:cs="方正仿宋_GBK"/>
          <w:sz w:val="32"/>
          <w:szCs w:val="32"/>
          <w:lang w:val="en-US" w:eastAsia="zh-CN"/>
        </w:rPr>
        <w:instrText xml:space="preserve"> = 1 \* GB3 \* MERGEFORMAT </w:instrText>
      </w:r>
      <w:r>
        <w:rPr>
          <w:rFonts w:hint="eastAsia" w:ascii="方正仿宋_GBK" w:hAnsi="方正仿宋_GBK" w:eastAsia="方正仿宋_GBK" w:cs="方正仿宋_GBK"/>
          <w:sz w:val="32"/>
          <w:szCs w:val="32"/>
          <w:lang w:val="en-US" w:eastAsia="zh-CN"/>
        </w:rPr>
        <w:fldChar w:fldCharType="separate"/>
      </w:r>
      <w:r>
        <w:rPr>
          <w:rFonts w:hint="default" w:ascii="方正仿宋_GBK" w:hAnsi="方正仿宋_GBK" w:eastAsia="方正仿宋_GBK" w:cs="方正仿宋_GBK"/>
          <w:sz w:val="32"/>
          <w:szCs w:val="32"/>
          <w:lang w:val="en-US" w:eastAsia="zh-CN"/>
        </w:rPr>
        <w:t>①</w:t>
      </w:r>
      <w:r>
        <w:rPr>
          <w:rFonts w:hint="eastAsia" w:ascii="方正仿宋_GBK" w:hAnsi="方正仿宋_GBK" w:eastAsia="方正仿宋_GBK" w:cs="方正仿宋_GBK"/>
          <w:sz w:val="32"/>
          <w:szCs w:val="32"/>
          <w:lang w:val="en-US" w:eastAsia="zh-CN"/>
        </w:rPr>
        <w:fldChar w:fldCharType="end"/>
      </w:r>
      <w:r>
        <w:rPr>
          <w:rFonts w:hint="eastAsia" w:ascii="方正仿宋_GBK" w:hAnsi="方正仿宋_GBK" w:eastAsia="方正仿宋_GBK" w:cs="方正仿宋_GBK"/>
          <w:sz w:val="32"/>
          <w:szCs w:val="32"/>
          <w:lang w:val="en-US" w:eastAsia="zh-CN"/>
        </w:rPr>
        <w:t>工程材料设备技术参数与合同一致，性能指标达到规定的标准。</w:t>
      </w:r>
    </w:p>
    <w:p w14:paraId="65DD519D">
      <w:pPr>
        <w:snapToGrid w:val="0"/>
        <w:spacing w:line="570" w:lineRule="exact"/>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fldChar w:fldCharType="begin"/>
      </w:r>
      <w:r>
        <w:rPr>
          <w:rFonts w:hint="eastAsia" w:ascii="方正仿宋_GBK" w:hAnsi="方正仿宋_GBK" w:eastAsia="方正仿宋_GBK" w:cs="方正仿宋_GBK"/>
          <w:sz w:val="32"/>
          <w:szCs w:val="32"/>
          <w:lang w:val="en-US" w:eastAsia="zh-CN"/>
        </w:rPr>
        <w:instrText xml:space="preserve"> = 2 \* GB3 \* MERGEFORMAT </w:instrText>
      </w:r>
      <w:r>
        <w:rPr>
          <w:rFonts w:hint="eastAsia" w:ascii="方正仿宋_GBK" w:hAnsi="方正仿宋_GBK" w:eastAsia="方正仿宋_GBK" w:cs="方正仿宋_GBK"/>
          <w:sz w:val="32"/>
          <w:szCs w:val="32"/>
          <w:lang w:val="en-US" w:eastAsia="zh-CN"/>
        </w:rPr>
        <w:fldChar w:fldCharType="separate"/>
      </w:r>
      <w:r>
        <w:rPr>
          <w:rFonts w:hint="default" w:ascii="方正仿宋_GBK" w:hAnsi="方正仿宋_GBK" w:eastAsia="方正仿宋_GBK" w:cs="方正仿宋_GBK"/>
          <w:sz w:val="32"/>
          <w:szCs w:val="32"/>
          <w:lang w:val="en-US" w:eastAsia="zh-CN"/>
        </w:rPr>
        <w:t>②</w:t>
      </w:r>
      <w:r>
        <w:rPr>
          <w:rFonts w:hint="eastAsia" w:ascii="方正仿宋_GBK" w:hAnsi="方正仿宋_GBK" w:eastAsia="方正仿宋_GBK" w:cs="方正仿宋_GBK"/>
          <w:sz w:val="32"/>
          <w:szCs w:val="32"/>
          <w:lang w:val="en-US" w:eastAsia="zh-CN"/>
        </w:rPr>
        <w:fldChar w:fldCharType="end"/>
      </w:r>
      <w:r>
        <w:rPr>
          <w:rFonts w:hint="eastAsia" w:ascii="方正仿宋_GBK" w:hAnsi="方正仿宋_GBK" w:eastAsia="方正仿宋_GBK" w:cs="方正仿宋_GBK"/>
          <w:sz w:val="32"/>
          <w:szCs w:val="32"/>
          <w:lang w:val="en-US" w:eastAsia="zh-CN"/>
        </w:rPr>
        <w:t>工程材料设备技术资料、装箱单、合格证等资料齐全。</w:t>
      </w:r>
    </w:p>
    <w:p w14:paraId="4161A4EB">
      <w:pPr>
        <w:snapToGrid w:val="0"/>
        <w:spacing w:line="570" w:lineRule="exact"/>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fldChar w:fldCharType="begin"/>
      </w:r>
      <w:r>
        <w:rPr>
          <w:rFonts w:hint="eastAsia" w:ascii="方正仿宋_GBK" w:hAnsi="方正仿宋_GBK" w:eastAsia="方正仿宋_GBK" w:cs="方正仿宋_GBK"/>
          <w:sz w:val="32"/>
          <w:szCs w:val="32"/>
          <w:lang w:val="en-US" w:eastAsia="zh-CN"/>
        </w:rPr>
        <w:instrText xml:space="preserve"> = 3 \* GB3 \* MERGEFORMAT </w:instrText>
      </w:r>
      <w:r>
        <w:rPr>
          <w:rFonts w:hint="eastAsia" w:ascii="方正仿宋_GBK" w:hAnsi="方正仿宋_GBK" w:eastAsia="方正仿宋_GBK" w:cs="方正仿宋_GBK"/>
          <w:sz w:val="32"/>
          <w:szCs w:val="32"/>
          <w:lang w:val="en-US" w:eastAsia="zh-CN"/>
        </w:rPr>
        <w:fldChar w:fldCharType="separate"/>
      </w:r>
      <w:r>
        <w:rPr>
          <w:rFonts w:hint="default" w:ascii="方正仿宋_GBK" w:hAnsi="方正仿宋_GBK" w:eastAsia="方正仿宋_GBK" w:cs="方正仿宋_GBK"/>
          <w:sz w:val="32"/>
          <w:szCs w:val="32"/>
          <w:lang w:val="en-US" w:eastAsia="zh-CN"/>
        </w:rPr>
        <w:t>③</w:t>
      </w:r>
      <w:r>
        <w:rPr>
          <w:rFonts w:hint="eastAsia" w:ascii="方正仿宋_GBK" w:hAnsi="方正仿宋_GBK" w:eastAsia="方正仿宋_GBK" w:cs="方正仿宋_GBK"/>
          <w:sz w:val="32"/>
          <w:szCs w:val="32"/>
          <w:lang w:val="en-US" w:eastAsia="zh-CN"/>
        </w:rPr>
        <w:fldChar w:fldCharType="end"/>
      </w:r>
      <w:r>
        <w:rPr>
          <w:rFonts w:hint="eastAsia" w:ascii="方正仿宋_GBK" w:hAnsi="方正仿宋_GBK" w:eastAsia="方正仿宋_GBK" w:cs="方正仿宋_GBK"/>
          <w:sz w:val="32"/>
          <w:szCs w:val="32"/>
          <w:lang w:val="en-US" w:eastAsia="zh-CN"/>
        </w:rPr>
        <w:t>在系统试运行期间所出现的问题得到解决，并运行正常。</w:t>
      </w:r>
    </w:p>
    <w:p w14:paraId="24EDA7E7">
      <w:pPr>
        <w:snapToGrid w:val="0"/>
        <w:spacing w:line="570" w:lineRule="exact"/>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fldChar w:fldCharType="begin"/>
      </w:r>
      <w:r>
        <w:rPr>
          <w:rFonts w:hint="eastAsia" w:ascii="方正仿宋_GBK" w:hAnsi="方正仿宋_GBK" w:eastAsia="方正仿宋_GBK" w:cs="方正仿宋_GBK"/>
          <w:sz w:val="32"/>
          <w:szCs w:val="32"/>
          <w:lang w:val="en-US" w:eastAsia="zh-CN"/>
        </w:rPr>
        <w:instrText xml:space="preserve"> = 4 \* GB3 \* MERGEFORMAT </w:instrText>
      </w:r>
      <w:r>
        <w:rPr>
          <w:rFonts w:hint="eastAsia" w:ascii="方正仿宋_GBK" w:hAnsi="方正仿宋_GBK" w:eastAsia="方正仿宋_GBK" w:cs="方正仿宋_GBK"/>
          <w:sz w:val="32"/>
          <w:szCs w:val="32"/>
          <w:lang w:val="en-US" w:eastAsia="zh-CN"/>
        </w:rPr>
        <w:fldChar w:fldCharType="separate"/>
      </w:r>
      <w:r>
        <w:rPr>
          <w:rFonts w:hint="default" w:ascii="方正仿宋_GBK" w:hAnsi="方正仿宋_GBK" w:eastAsia="方正仿宋_GBK" w:cs="方正仿宋_GBK"/>
          <w:sz w:val="32"/>
          <w:szCs w:val="32"/>
          <w:lang w:val="en-US" w:eastAsia="zh-CN"/>
        </w:rPr>
        <w:t>④</w:t>
      </w:r>
      <w:r>
        <w:rPr>
          <w:rFonts w:hint="eastAsia" w:ascii="方正仿宋_GBK" w:hAnsi="方正仿宋_GBK" w:eastAsia="方正仿宋_GBK" w:cs="方正仿宋_GBK"/>
          <w:sz w:val="32"/>
          <w:szCs w:val="32"/>
          <w:lang w:val="en-US" w:eastAsia="zh-CN"/>
        </w:rPr>
        <w:fldChar w:fldCharType="end"/>
      </w:r>
      <w:r>
        <w:rPr>
          <w:rFonts w:hint="eastAsia" w:ascii="方正仿宋_GBK" w:hAnsi="方正仿宋_GBK" w:eastAsia="方正仿宋_GBK" w:cs="方正仿宋_GBK"/>
          <w:sz w:val="32"/>
          <w:szCs w:val="32"/>
          <w:lang w:val="en-US" w:eastAsia="zh-CN"/>
        </w:rPr>
        <w:t>在规定时间内完成工程并验收，并经采购人确认。</w:t>
      </w:r>
    </w:p>
    <w:p w14:paraId="0E5A5D92">
      <w:pPr>
        <w:snapToGrid w:val="0"/>
        <w:spacing w:line="570" w:lineRule="exact"/>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（4）所有服务完成2个月，且符合要求后，才作为最终验收。</w:t>
      </w:r>
    </w:p>
    <w:p w14:paraId="09598C20">
      <w:pPr>
        <w:snapToGrid w:val="0"/>
        <w:spacing w:line="570" w:lineRule="exact"/>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（5）中标供应商提供的工程材料设备未达到招标文件规定要求，且对采购人造成损失的，由中标供应商承担一切责任，并赔偿所造成的损失。</w:t>
      </w:r>
    </w:p>
    <w:p w14:paraId="2888506E">
      <w:pPr>
        <w:snapToGrid w:val="0"/>
        <w:spacing w:line="570" w:lineRule="exact"/>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（6）大型或者复杂的子系统工程，中标供应商应当邀请国家认可的质量检测机构参加验收工作。</w:t>
      </w:r>
    </w:p>
    <w:p w14:paraId="63123187">
      <w:pPr>
        <w:snapToGrid w:val="0"/>
        <w:spacing w:line="570" w:lineRule="exact"/>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（7）采购人需要制造商对中标供应商交付的材料设备（包括质量、技术参数等）进行确认的，制造商应予以配合，并出具书面意见。</w:t>
      </w:r>
    </w:p>
    <w:p w14:paraId="7A3DFECB">
      <w:pPr>
        <w:snapToGrid w:val="0"/>
        <w:spacing w:line="570" w:lineRule="exact"/>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（8）设备包装材料归采购人所有。</w:t>
      </w:r>
    </w:p>
    <w:p w14:paraId="4F3FB0DA">
      <w:pPr>
        <w:snapToGrid w:val="0"/>
        <w:spacing w:line="570" w:lineRule="exact"/>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（二）过程保障</w:t>
      </w:r>
    </w:p>
    <w:p w14:paraId="769C06FD">
      <w:pPr>
        <w:snapToGrid w:val="0"/>
        <w:spacing w:line="570" w:lineRule="exact"/>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1.技术支持商应提供电话服务、QQ服务、手机短信服务即时响应，一般技术故障可通过电话、QQ服务、手机信息告知等方式实时予以解决。</w:t>
      </w:r>
    </w:p>
    <w:p w14:paraId="01F0EEF1">
      <w:pPr>
        <w:snapToGrid w:val="0"/>
        <w:spacing w:line="570" w:lineRule="exact"/>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2.对于因突发状况造成的故障，应能及时（2 小时内）提供技术支持和响应，通过电话、在线或现场服务等方式提供技术支持，以不影响业务的正常运行。</w:t>
      </w:r>
    </w:p>
    <w:p w14:paraId="73322667">
      <w:pPr>
        <w:snapToGrid w:val="0"/>
        <w:spacing w:line="570" w:lineRule="exact"/>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3.原厂技术服务能够提供异常情况下的免费上门服务（24 小时内到现场）。</w:t>
      </w:r>
    </w:p>
    <w:p w14:paraId="6716015A">
      <w:pPr>
        <w:snapToGrid w:val="0"/>
        <w:spacing w:line="570" w:lineRule="exact"/>
        <w:ind w:firstLine="640" w:firstLineChars="200"/>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4.提供质保期内的技术支持和运维服务。</w:t>
      </w:r>
    </w:p>
    <w:p w14:paraId="2E1F519B">
      <w:pPr>
        <w:snapToGrid w:val="0"/>
        <w:spacing w:line="570" w:lineRule="exact"/>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（1）电话咨询：供方和制造商应当为采购人提供技术援助电话，解答采购人在使用中遇到的问题，及时为采购人提出解决问题的建议。</w:t>
      </w:r>
    </w:p>
    <w:p w14:paraId="7020B512">
      <w:pPr>
        <w:snapToGrid w:val="0"/>
        <w:spacing w:line="570" w:lineRule="exact"/>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2）现场响应：采购方遇到使用及技术问题，电话咨询不能解决的，供方和制造商应在4小时内到达现场（远郊区6小时内到达现场）进行处理，确保产品正常工作；无法在24小时内解决的，应在24小时内提供备用产品，使采购人能够正常使用。</w:t>
      </w:r>
    </w:p>
    <w:p w14:paraId="2E1A702D">
      <w:pPr>
        <w:snapToGrid w:val="0"/>
        <w:spacing w:line="570" w:lineRule="exact"/>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（3）技术服务：在质保期内，如果供方和制造商的产品技术升级，供方应及时通知采购人，如采购人有相应要求，供方和制造商应对采购人购买的产品进行升级服务。</w:t>
      </w:r>
    </w:p>
    <w:p w14:paraId="2B8A762D">
      <w:pPr>
        <w:snapToGrid w:val="0"/>
        <w:spacing w:line="570" w:lineRule="exact"/>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（三）其他服务及要求</w:t>
      </w:r>
    </w:p>
    <w:p w14:paraId="4872408F">
      <w:pPr>
        <w:snapToGrid w:val="0"/>
        <w:spacing w:line="570" w:lineRule="exact"/>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1.技术服务：在施工期限、实施时间内按要求完成设备的安装调试，并提供设备或服务后期使用的技术支持。</w:t>
      </w:r>
    </w:p>
    <w:p w14:paraId="1B8DCAC6">
      <w:pPr>
        <w:snapToGrid w:val="0"/>
        <w:spacing w:line="570" w:lineRule="exact"/>
        <w:ind w:firstLine="640" w:firstLineChars="200"/>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2.提供设备说明书及操作培训。</w:t>
      </w:r>
    </w:p>
    <w:p w14:paraId="0C3F2D9C">
      <w:pPr>
        <w:keepNext w:val="0"/>
        <w:keepLines w:val="0"/>
        <w:pageBreakBefore w:val="0"/>
        <w:widowControl w:val="0"/>
        <w:kinsoku/>
        <w:wordWrap/>
        <w:overflowPunct/>
        <w:topLinePunct w:val="0"/>
        <w:autoSpaceDE/>
        <w:autoSpaceDN/>
        <w:bidi w:val="0"/>
        <w:adjustRightInd/>
        <w:snapToGrid w:val="0"/>
        <w:spacing w:line="570" w:lineRule="exact"/>
        <w:ind w:firstLine="640" w:firstLineChars="200"/>
        <w:textAlignment w:val="auto"/>
        <w:rPr>
          <w:rFonts w:hint="eastAsia" w:ascii="方正黑体_GBK" w:hAnsi="Times New Roman" w:eastAsia="方正黑体_GBK" w:cs="Times New Roman"/>
          <w:sz w:val="32"/>
          <w:szCs w:val="32"/>
          <w:lang w:val="en-US" w:eastAsia="zh-CN"/>
        </w:rPr>
      </w:pPr>
      <w:r>
        <w:rPr>
          <w:rFonts w:hint="eastAsia" w:ascii="方正黑体_GBK" w:eastAsia="方正黑体_GBK" w:cs="Times New Roman"/>
          <w:sz w:val="32"/>
          <w:szCs w:val="32"/>
          <w:lang w:val="en-US" w:eastAsia="zh-CN"/>
        </w:rPr>
        <w:t>六</w:t>
      </w:r>
      <w:r>
        <w:rPr>
          <w:rFonts w:hint="eastAsia" w:ascii="方正黑体_GBK" w:hAnsi="Times New Roman" w:eastAsia="方正黑体_GBK" w:cs="Times New Roman"/>
          <w:sz w:val="32"/>
          <w:szCs w:val="32"/>
          <w:lang w:val="en-US" w:eastAsia="zh-CN"/>
        </w:rPr>
        <w:t>、报价要求</w:t>
      </w:r>
    </w:p>
    <w:p w14:paraId="4C29CD98">
      <w:pPr>
        <w:snapToGrid w:val="0"/>
        <w:spacing w:line="570" w:lineRule="exact"/>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1.报价要求</w:t>
      </w:r>
    </w:p>
    <w:p w14:paraId="6671FD83">
      <w:pPr>
        <w:snapToGrid w:val="0"/>
        <w:spacing w:line="570" w:lineRule="exact"/>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（1）供应商须保证本次提供报价的产品或服务是最新且完备的，且完全与询价要求相符。</w:t>
      </w:r>
    </w:p>
    <w:p w14:paraId="08EC2462">
      <w:pPr>
        <w:snapToGrid w:val="0"/>
        <w:spacing w:line="570" w:lineRule="exact"/>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（2）报价产品或服务必须是符合国家技术规范和质量标准的合格产品和服务，能满足采购单位的使用需求，并具有可靠的售后服务体系，质量可靠、使用安全。</w:t>
      </w:r>
    </w:p>
    <w:p w14:paraId="0D52FE2C">
      <w:pPr>
        <w:snapToGrid w:val="0"/>
        <w:spacing w:line="570" w:lineRule="exact"/>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（3）供应商须保证其提供的产品和服务均为具有合法版权或使用权的正版软件和服务。</w:t>
      </w:r>
    </w:p>
    <w:p w14:paraId="43B79F1E">
      <w:pPr>
        <w:snapToGrid w:val="0"/>
        <w:spacing w:line="570" w:lineRule="exact"/>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（4）报价人应充分理解并明确响应本项目中采购单位的建设需求，不允许片面响应或故意曲解项目建设内容，不允许妨害采购单位的设备、应用及数据接口的功能完整性，否则将视为无效报价。</w:t>
      </w:r>
    </w:p>
    <w:p w14:paraId="67D8AB02">
      <w:pPr>
        <w:snapToGrid w:val="0"/>
        <w:spacing w:line="570" w:lineRule="exact"/>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（5）本次询价无论最终报价结果，都将不作为本项目最终采购定价，只作为本单位对该项目后期采购的价格参考，同时本单位保留后期在实际采购中修改调整采购商品和服务相关参数及要求的权利。</w:t>
      </w:r>
    </w:p>
    <w:p w14:paraId="3116925A">
      <w:pPr>
        <w:snapToGrid w:val="0"/>
        <w:spacing w:line="570" w:lineRule="exact"/>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6）供应商应自行踏勘现场。供应商应对勘察中获取的现场资料负责。无论供应商是否勘察过现场，均认为在递交投标响应文件之前已勘察过现场，对本项目的风险和义务十分了解，并在其投标响应文件中充分考虑现场和环境条件。</w:t>
      </w:r>
    </w:p>
    <w:p w14:paraId="2850DB22">
      <w:pPr>
        <w:snapToGrid w:val="0"/>
        <w:spacing w:line="570" w:lineRule="exact"/>
        <w:ind w:firstLine="640" w:firstLineChars="200"/>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.报价表格式</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可自拟</w:t>
      </w:r>
      <w:r>
        <w:rPr>
          <w:rFonts w:hint="eastAsia" w:ascii="方正仿宋_GBK" w:hAnsi="方正仿宋_GBK" w:eastAsia="方正仿宋_GBK" w:cs="方正仿宋_GBK"/>
          <w:sz w:val="32"/>
          <w:szCs w:val="32"/>
          <w:lang w:eastAsia="zh-CN"/>
        </w:rPr>
        <w:t>）</w:t>
      </w:r>
    </w:p>
    <w:tbl>
      <w:tblPr>
        <w:tblStyle w:val="11"/>
        <w:tblW w:w="81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3"/>
        <w:gridCol w:w="1629"/>
        <w:gridCol w:w="1350"/>
        <w:gridCol w:w="725"/>
        <w:gridCol w:w="780"/>
        <w:gridCol w:w="735"/>
        <w:gridCol w:w="1005"/>
        <w:gridCol w:w="1251"/>
      </w:tblGrid>
      <w:tr w14:paraId="02CA68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713" w:type="dxa"/>
            <w:vAlign w:val="center"/>
          </w:tcPr>
          <w:p w14:paraId="3051FAE7">
            <w:pPr>
              <w:pStyle w:val="5"/>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方正仿宋_GBK" w:hAnsi="方正仿宋_GBK" w:eastAsia="方正仿宋_GBK" w:cs="方正仿宋_GBK"/>
                <w:b/>
                <w:bCs/>
              </w:rPr>
            </w:pPr>
            <w:r>
              <w:rPr>
                <w:rFonts w:hint="eastAsia" w:ascii="方正仿宋_GBK" w:hAnsi="方正仿宋_GBK" w:eastAsia="方正仿宋_GBK" w:cs="方正仿宋_GBK"/>
                <w:b/>
                <w:bCs/>
              </w:rPr>
              <w:t>序号</w:t>
            </w:r>
          </w:p>
        </w:tc>
        <w:tc>
          <w:tcPr>
            <w:tcW w:w="1629" w:type="dxa"/>
            <w:vAlign w:val="center"/>
          </w:tcPr>
          <w:p w14:paraId="08BF9A44">
            <w:pPr>
              <w:pStyle w:val="5"/>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方正仿宋_GBK" w:hAnsi="方正仿宋_GBK" w:eastAsia="方正仿宋_GBK" w:cs="方正仿宋_GBK"/>
                <w:b/>
                <w:bCs/>
              </w:rPr>
            </w:pPr>
            <w:r>
              <w:rPr>
                <w:rFonts w:hint="eastAsia" w:ascii="方正仿宋_GBK" w:hAnsi="方正仿宋_GBK" w:eastAsia="方正仿宋_GBK" w:cs="方正仿宋_GBK"/>
                <w:b/>
                <w:bCs/>
              </w:rPr>
              <w:t>服务物品名称</w:t>
            </w:r>
          </w:p>
        </w:tc>
        <w:tc>
          <w:tcPr>
            <w:tcW w:w="1350" w:type="dxa"/>
            <w:vAlign w:val="center"/>
          </w:tcPr>
          <w:p w14:paraId="30BBC315">
            <w:pPr>
              <w:pStyle w:val="5"/>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方正仿宋_GBK" w:hAnsi="方正仿宋_GBK" w:eastAsia="方正仿宋_GBK" w:cs="方正仿宋_GBK"/>
                <w:b/>
                <w:bCs/>
              </w:rPr>
            </w:pPr>
            <w:r>
              <w:rPr>
                <w:rFonts w:hint="eastAsia" w:ascii="方正仿宋_GBK" w:hAnsi="方正仿宋_GBK" w:eastAsia="方正仿宋_GBK" w:cs="方正仿宋_GBK"/>
                <w:b/>
                <w:bCs/>
              </w:rPr>
              <w:t>参数及要求</w:t>
            </w:r>
          </w:p>
        </w:tc>
        <w:tc>
          <w:tcPr>
            <w:tcW w:w="725" w:type="dxa"/>
            <w:vAlign w:val="center"/>
          </w:tcPr>
          <w:p w14:paraId="7B8845FF">
            <w:pPr>
              <w:pStyle w:val="5"/>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方正仿宋_GBK" w:hAnsi="方正仿宋_GBK" w:eastAsia="方正仿宋_GBK" w:cs="方正仿宋_GBK"/>
                <w:b/>
                <w:bCs/>
              </w:rPr>
            </w:pPr>
            <w:r>
              <w:rPr>
                <w:rFonts w:hint="eastAsia" w:ascii="方正仿宋_GBK" w:hAnsi="方正仿宋_GBK" w:eastAsia="方正仿宋_GBK" w:cs="方正仿宋_GBK"/>
                <w:b/>
                <w:bCs/>
              </w:rPr>
              <w:t>单位</w:t>
            </w:r>
          </w:p>
        </w:tc>
        <w:tc>
          <w:tcPr>
            <w:tcW w:w="780" w:type="dxa"/>
            <w:vAlign w:val="center"/>
          </w:tcPr>
          <w:p w14:paraId="48964382">
            <w:pPr>
              <w:pStyle w:val="5"/>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方正仿宋_GBK" w:hAnsi="方正仿宋_GBK" w:eastAsia="方正仿宋_GBK" w:cs="方正仿宋_GBK"/>
                <w:b/>
                <w:bCs/>
              </w:rPr>
            </w:pPr>
            <w:r>
              <w:rPr>
                <w:rFonts w:hint="eastAsia" w:ascii="方正仿宋_GBK" w:hAnsi="方正仿宋_GBK" w:eastAsia="方正仿宋_GBK" w:cs="方正仿宋_GBK"/>
                <w:b/>
                <w:bCs/>
              </w:rPr>
              <w:t>数量</w:t>
            </w:r>
          </w:p>
        </w:tc>
        <w:tc>
          <w:tcPr>
            <w:tcW w:w="735" w:type="dxa"/>
            <w:vAlign w:val="center"/>
          </w:tcPr>
          <w:p w14:paraId="1FD7DD9D">
            <w:pPr>
              <w:pStyle w:val="5"/>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方正仿宋_GBK" w:hAnsi="方正仿宋_GBK" w:eastAsia="方正仿宋_GBK" w:cs="方正仿宋_GBK"/>
                <w:b/>
                <w:bCs/>
              </w:rPr>
            </w:pPr>
            <w:r>
              <w:rPr>
                <w:rFonts w:hint="eastAsia" w:ascii="方正仿宋_GBK" w:hAnsi="方正仿宋_GBK" w:eastAsia="方正仿宋_GBK" w:cs="方正仿宋_GBK"/>
                <w:b/>
                <w:bCs/>
              </w:rPr>
              <w:t>单价</w:t>
            </w:r>
          </w:p>
        </w:tc>
        <w:tc>
          <w:tcPr>
            <w:tcW w:w="1005" w:type="dxa"/>
            <w:vAlign w:val="center"/>
          </w:tcPr>
          <w:p w14:paraId="1A189F46">
            <w:pPr>
              <w:pStyle w:val="5"/>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方正仿宋_GBK" w:hAnsi="方正仿宋_GBK" w:eastAsia="方正仿宋_GBK" w:cs="方正仿宋_GBK"/>
                <w:b/>
                <w:bCs/>
              </w:rPr>
            </w:pPr>
            <w:r>
              <w:rPr>
                <w:rFonts w:hint="eastAsia" w:ascii="方正仿宋_GBK" w:hAnsi="方正仿宋_GBK" w:eastAsia="方正仿宋_GBK" w:cs="方正仿宋_GBK"/>
                <w:b/>
                <w:bCs/>
              </w:rPr>
              <w:t>总价</w:t>
            </w:r>
          </w:p>
        </w:tc>
        <w:tc>
          <w:tcPr>
            <w:tcW w:w="1251" w:type="dxa"/>
            <w:vAlign w:val="center"/>
          </w:tcPr>
          <w:p w14:paraId="247453CF">
            <w:pPr>
              <w:pStyle w:val="5"/>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方正仿宋_GBK" w:hAnsi="方正仿宋_GBK" w:eastAsia="方正仿宋_GBK" w:cs="方正仿宋_GBK"/>
                <w:b/>
                <w:bCs/>
              </w:rPr>
            </w:pPr>
            <w:r>
              <w:rPr>
                <w:rFonts w:hint="eastAsia" w:ascii="方正仿宋_GBK" w:hAnsi="方正仿宋_GBK" w:eastAsia="方正仿宋_GBK" w:cs="方正仿宋_GBK"/>
                <w:b/>
                <w:bCs/>
              </w:rPr>
              <w:t>备注信息</w:t>
            </w:r>
          </w:p>
        </w:tc>
      </w:tr>
      <w:tr w14:paraId="7BF075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3" w:type="dxa"/>
            <w:vAlign w:val="center"/>
          </w:tcPr>
          <w:p w14:paraId="159F0B00">
            <w:pPr>
              <w:pStyle w:val="5"/>
              <w:jc w:val="center"/>
            </w:pPr>
            <w:r>
              <w:rPr>
                <w:rFonts w:hint="eastAsia"/>
              </w:rPr>
              <w:t>1</w:t>
            </w:r>
          </w:p>
        </w:tc>
        <w:tc>
          <w:tcPr>
            <w:tcW w:w="1629" w:type="dxa"/>
            <w:vAlign w:val="center"/>
          </w:tcPr>
          <w:p w14:paraId="0C5AF7D1">
            <w:pPr>
              <w:pStyle w:val="5"/>
              <w:jc w:val="center"/>
            </w:pPr>
          </w:p>
        </w:tc>
        <w:tc>
          <w:tcPr>
            <w:tcW w:w="1350" w:type="dxa"/>
            <w:vAlign w:val="center"/>
          </w:tcPr>
          <w:p w14:paraId="5D3D1D43">
            <w:pPr>
              <w:pStyle w:val="5"/>
              <w:jc w:val="center"/>
            </w:pPr>
          </w:p>
        </w:tc>
        <w:tc>
          <w:tcPr>
            <w:tcW w:w="725" w:type="dxa"/>
            <w:vAlign w:val="center"/>
          </w:tcPr>
          <w:p w14:paraId="36FADD07">
            <w:pPr>
              <w:pStyle w:val="5"/>
              <w:jc w:val="center"/>
            </w:pPr>
          </w:p>
        </w:tc>
        <w:tc>
          <w:tcPr>
            <w:tcW w:w="780" w:type="dxa"/>
            <w:vAlign w:val="center"/>
          </w:tcPr>
          <w:p w14:paraId="0C059960">
            <w:pPr>
              <w:pStyle w:val="5"/>
              <w:jc w:val="center"/>
            </w:pPr>
          </w:p>
        </w:tc>
        <w:tc>
          <w:tcPr>
            <w:tcW w:w="735" w:type="dxa"/>
            <w:vAlign w:val="center"/>
          </w:tcPr>
          <w:p w14:paraId="753B70AD">
            <w:pPr>
              <w:pStyle w:val="5"/>
              <w:jc w:val="center"/>
            </w:pPr>
          </w:p>
        </w:tc>
        <w:tc>
          <w:tcPr>
            <w:tcW w:w="1005" w:type="dxa"/>
            <w:vAlign w:val="center"/>
          </w:tcPr>
          <w:p w14:paraId="2D593208">
            <w:pPr>
              <w:pStyle w:val="5"/>
              <w:jc w:val="center"/>
            </w:pPr>
          </w:p>
        </w:tc>
        <w:tc>
          <w:tcPr>
            <w:tcW w:w="1251" w:type="dxa"/>
            <w:vAlign w:val="center"/>
          </w:tcPr>
          <w:p w14:paraId="73A92290">
            <w:pPr>
              <w:pStyle w:val="5"/>
              <w:jc w:val="center"/>
            </w:pPr>
          </w:p>
        </w:tc>
      </w:tr>
      <w:tr w14:paraId="6036BC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3" w:type="dxa"/>
            <w:vAlign w:val="center"/>
          </w:tcPr>
          <w:p w14:paraId="470F0494">
            <w:pPr>
              <w:pStyle w:val="5"/>
              <w:jc w:val="center"/>
            </w:pPr>
            <w:r>
              <w:rPr>
                <w:rFonts w:hint="eastAsia"/>
              </w:rPr>
              <w:t>2</w:t>
            </w:r>
          </w:p>
        </w:tc>
        <w:tc>
          <w:tcPr>
            <w:tcW w:w="1629" w:type="dxa"/>
            <w:vAlign w:val="center"/>
          </w:tcPr>
          <w:p w14:paraId="4F48AD3E">
            <w:pPr>
              <w:pStyle w:val="5"/>
              <w:jc w:val="center"/>
            </w:pPr>
          </w:p>
        </w:tc>
        <w:tc>
          <w:tcPr>
            <w:tcW w:w="1350" w:type="dxa"/>
            <w:vAlign w:val="center"/>
          </w:tcPr>
          <w:p w14:paraId="285BDE32">
            <w:pPr>
              <w:pStyle w:val="5"/>
              <w:jc w:val="center"/>
            </w:pPr>
          </w:p>
        </w:tc>
        <w:tc>
          <w:tcPr>
            <w:tcW w:w="725" w:type="dxa"/>
            <w:vAlign w:val="center"/>
          </w:tcPr>
          <w:p w14:paraId="69614AEE">
            <w:pPr>
              <w:pStyle w:val="5"/>
              <w:jc w:val="center"/>
            </w:pPr>
          </w:p>
        </w:tc>
        <w:tc>
          <w:tcPr>
            <w:tcW w:w="780" w:type="dxa"/>
            <w:vAlign w:val="center"/>
          </w:tcPr>
          <w:p w14:paraId="3E21F099">
            <w:pPr>
              <w:pStyle w:val="5"/>
              <w:jc w:val="center"/>
            </w:pPr>
          </w:p>
        </w:tc>
        <w:tc>
          <w:tcPr>
            <w:tcW w:w="735" w:type="dxa"/>
            <w:vAlign w:val="center"/>
          </w:tcPr>
          <w:p w14:paraId="733F6F9C">
            <w:pPr>
              <w:pStyle w:val="5"/>
              <w:jc w:val="center"/>
            </w:pPr>
          </w:p>
        </w:tc>
        <w:tc>
          <w:tcPr>
            <w:tcW w:w="1005" w:type="dxa"/>
            <w:vAlign w:val="center"/>
          </w:tcPr>
          <w:p w14:paraId="34FFC227">
            <w:pPr>
              <w:pStyle w:val="5"/>
              <w:jc w:val="center"/>
            </w:pPr>
          </w:p>
        </w:tc>
        <w:tc>
          <w:tcPr>
            <w:tcW w:w="1251" w:type="dxa"/>
            <w:vAlign w:val="center"/>
          </w:tcPr>
          <w:p w14:paraId="42EDDB6F">
            <w:pPr>
              <w:pStyle w:val="5"/>
              <w:jc w:val="center"/>
            </w:pPr>
          </w:p>
        </w:tc>
      </w:tr>
      <w:tr w14:paraId="57B59A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3" w:type="dxa"/>
            <w:vAlign w:val="center"/>
          </w:tcPr>
          <w:p w14:paraId="4276A5A4">
            <w:pPr>
              <w:pStyle w:val="5"/>
              <w:jc w:val="center"/>
            </w:pPr>
            <w:r>
              <w:rPr>
                <w:rFonts w:hint="eastAsia"/>
              </w:rPr>
              <w:t>3</w:t>
            </w:r>
          </w:p>
        </w:tc>
        <w:tc>
          <w:tcPr>
            <w:tcW w:w="1629" w:type="dxa"/>
            <w:vAlign w:val="center"/>
          </w:tcPr>
          <w:p w14:paraId="5A0CEA02">
            <w:pPr>
              <w:pStyle w:val="5"/>
              <w:jc w:val="center"/>
            </w:pPr>
          </w:p>
        </w:tc>
        <w:tc>
          <w:tcPr>
            <w:tcW w:w="1350" w:type="dxa"/>
            <w:vAlign w:val="center"/>
          </w:tcPr>
          <w:p w14:paraId="5559D2FF">
            <w:pPr>
              <w:pStyle w:val="5"/>
              <w:jc w:val="center"/>
            </w:pPr>
          </w:p>
        </w:tc>
        <w:tc>
          <w:tcPr>
            <w:tcW w:w="725" w:type="dxa"/>
            <w:vAlign w:val="center"/>
          </w:tcPr>
          <w:p w14:paraId="1CBBB289">
            <w:pPr>
              <w:pStyle w:val="5"/>
              <w:jc w:val="center"/>
            </w:pPr>
          </w:p>
        </w:tc>
        <w:tc>
          <w:tcPr>
            <w:tcW w:w="780" w:type="dxa"/>
            <w:vAlign w:val="center"/>
          </w:tcPr>
          <w:p w14:paraId="786D3D89">
            <w:pPr>
              <w:pStyle w:val="5"/>
              <w:jc w:val="center"/>
            </w:pPr>
          </w:p>
        </w:tc>
        <w:tc>
          <w:tcPr>
            <w:tcW w:w="735" w:type="dxa"/>
            <w:vAlign w:val="center"/>
          </w:tcPr>
          <w:p w14:paraId="079F004A">
            <w:pPr>
              <w:pStyle w:val="5"/>
              <w:jc w:val="center"/>
            </w:pPr>
          </w:p>
        </w:tc>
        <w:tc>
          <w:tcPr>
            <w:tcW w:w="1005" w:type="dxa"/>
            <w:vAlign w:val="center"/>
          </w:tcPr>
          <w:p w14:paraId="7F2AD903">
            <w:pPr>
              <w:pStyle w:val="5"/>
              <w:jc w:val="center"/>
            </w:pPr>
          </w:p>
        </w:tc>
        <w:tc>
          <w:tcPr>
            <w:tcW w:w="1251" w:type="dxa"/>
            <w:vAlign w:val="center"/>
          </w:tcPr>
          <w:p w14:paraId="68B5557E">
            <w:pPr>
              <w:pStyle w:val="5"/>
              <w:jc w:val="center"/>
            </w:pPr>
          </w:p>
        </w:tc>
      </w:tr>
      <w:tr w14:paraId="4545F6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3" w:type="dxa"/>
            <w:vAlign w:val="center"/>
          </w:tcPr>
          <w:p w14:paraId="6345574C">
            <w:pPr>
              <w:pStyle w:val="5"/>
              <w:jc w:val="center"/>
            </w:pPr>
            <w:r>
              <w:rPr>
                <w:rFonts w:hint="eastAsia"/>
              </w:rPr>
              <w:t>...</w:t>
            </w:r>
          </w:p>
        </w:tc>
        <w:tc>
          <w:tcPr>
            <w:tcW w:w="1629" w:type="dxa"/>
            <w:vAlign w:val="center"/>
          </w:tcPr>
          <w:p w14:paraId="6212D625">
            <w:pPr>
              <w:pStyle w:val="5"/>
              <w:jc w:val="center"/>
            </w:pPr>
          </w:p>
        </w:tc>
        <w:tc>
          <w:tcPr>
            <w:tcW w:w="1350" w:type="dxa"/>
            <w:vAlign w:val="center"/>
          </w:tcPr>
          <w:p w14:paraId="2EC1F59D">
            <w:pPr>
              <w:pStyle w:val="5"/>
              <w:jc w:val="center"/>
            </w:pPr>
          </w:p>
        </w:tc>
        <w:tc>
          <w:tcPr>
            <w:tcW w:w="725" w:type="dxa"/>
            <w:vAlign w:val="center"/>
          </w:tcPr>
          <w:p w14:paraId="089BD62D">
            <w:pPr>
              <w:pStyle w:val="5"/>
              <w:jc w:val="center"/>
            </w:pPr>
          </w:p>
        </w:tc>
        <w:tc>
          <w:tcPr>
            <w:tcW w:w="780" w:type="dxa"/>
            <w:vAlign w:val="center"/>
          </w:tcPr>
          <w:p w14:paraId="684F5E86">
            <w:pPr>
              <w:pStyle w:val="5"/>
              <w:jc w:val="center"/>
            </w:pPr>
          </w:p>
        </w:tc>
        <w:tc>
          <w:tcPr>
            <w:tcW w:w="735" w:type="dxa"/>
            <w:vAlign w:val="center"/>
          </w:tcPr>
          <w:p w14:paraId="2B1DC3DA">
            <w:pPr>
              <w:pStyle w:val="5"/>
              <w:jc w:val="center"/>
            </w:pPr>
          </w:p>
        </w:tc>
        <w:tc>
          <w:tcPr>
            <w:tcW w:w="1005" w:type="dxa"/>
            <w:vAlign w:val="center"/>
          </w:tcPr>
          <w:p w14:paraId="467EA18A">
            <w:pPr>
              <w:pStyle w:val="5"/>
              <w:jc w:val="center"/>
            </w:pPr>
          </w:p>
        </w:tc>
        <w:tc>
          <w:tcPr>
            <w:tcW w:w="1251" w:type="dxa"/>
            <w:vAlign w:val="center"/>
          </w:tcPr>
          <w:p w14:paraId="0152C10F">
            <w:pPr>
              <w:pStyle w:val="5"/>
              <w:jc w:val="center"/>
            </w:pPr>
          </w:p>
        </w:tc>
      </w:tr>
      <w:tr w14:paraId="660ACE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32" w:type="dxa"/>
            <w:gridSpan w:val="6"/>
            <w:vAlign w:val="center"/>
          </w:tcPr>
          <w:p w14:paraId="676DB098">
            <w:pPr>
              <w:pStyle w:val="5"/>
              <w:jc w:val="right"/>
            </w:pPr>
            <w:r>
              <w:rPr>
                <w:rFonts w:hint="eastAsia"/>
                <w:b/>
                <w:bCs/>
              </w:rPr>
              <w:t>合计</w:t>
            </w:r>
          </w:p>
        </w:tc>
        <w:tc>
          <w:tcPr>
            <w:tcW w:w="1005" w:type="dxa"/>
            <w:vAlign w:val="center"/>
          </w:tcPr>
          <w:p w14:paraId="097A4464">
            <w:pPr>
              <w:pStyle w:val="5"/>
              <w:jc w:val="center"/>
            </w:pPr>
          </w:p>
        </w:tc>
        <w:tc>
          <w:tcPr>
            <w:tcW w:w="1251" w:type="dxa"/>
            <w:vAlign w:val="center"/>
          </w:tcPr>
          <w:p w14:paraId="3A87397B">
            <w:pPr>
              <w:pStyle w:val="5"/>
              <w:jc w:val="center"/>
            </w:pPr>
          </w:p>
        </w:tc>
      </w:tr>
    </w:tbl>
    <w:p w14:paraId="4CDBFF12">
      <w:pPr>
        <w:keepNext w:val="0"/>
        <w:keepLines w:val="0"/>
        <w:pageBreakBefore w:val="0"/>
        <w:widowControl w:val="0"/>
        <w:kinsoku/>
        <w:wordWrap/>
        <w:overflowPunct/>
        <w:topLinePunct w:val="0"/>
        <w:autoSpaceDE/>
        <w:autoSpaceDN/>
        <w:bidi w:val="0"/>
        <w:adjustRightInd/>
        <w:snapToGrid w:val="0"/>
        <w:spacing w:line="570" w:lineRule="exact"/>
        <w:ind w:firstLine="640" w:firstLineChars="200"/>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3.报价文件（扫描电子版）请发送</w:t>
      </w:r>
      <w:r>
        <w:rPr>
          <w:rFonts w:hint="default" w:ascii="方正仿宋_GBK" w:hAnsi="方正仿宋_GBK" w:eastAsia="方正仿宋_GBK" w:cs="方正仿宋_GBK"/>
          <w:color w:val="auto"/>
          <w:sz w:val="32"/>
          <w:szCs w:val="32"/>
          <w:highlight w:val="none"/>
          <w:lang w:val="en-US" w:eastAsia="zh-CN"/>
        </w:rPr>
        <w:fldChar w:fldCharType="begin"/>
      </w:r>
      <w:r>
        <w:rPr>
          <w:rFonts w:hint="default" w:ascii="方正仿宋_GBK" w:hAnsi="方正仿宋_GBK" w:eastAsia="方正仿宋_GBK" w:cs="方正仿宋_GBK"/>
          <w:color w:val="auto"/>
          <w:sz w:val="32"/>
          <w:szCs w:val="32"/>
          <w:highlight w:val="none"/>
          <w:lang w:val="en-US" w:eastAsia="zh-CN"/>
        </w:rPr>
        <w:instrText xml:space="preserve"> HYPERLINK "mailto:mail@bnlib.cn" </w:instrText>
      </w:r>
      <w:r>
        <w:rPr>
          <w:rFonts w:hint="default" w:ascii="方正仿宋_GBK" w:hAnsi="方正仿宋_GBK" w:eastAsia="方正仿宋_GBK" w:cs="方正仿宋_GBK"/>
          <w:color w:val="auto"/>
          <w:sz w:val="32"/>
          <w:szCs w:val="32"/>
          <w:highlight w:val="none"/>
          <w:lang w:val="en-US" w:eastAsia="zh-CN"/>
        </w:rPr>
        <w:fldChar w:fldCharType="separate"/>
      </w:r>
      <w:r>
        <w:rPr>
          <w:rFonts w:hint="default" w:ascii="方正仿宋_GBK" w:hAnsi="方正仿宋_GBK" w:eastAsia="方正仿宋_GBK" w:cs="方正仿宋_GBK"/>
          <w:color w:val="auto"/>
          <w:sz w:val="32"/>
          <w:szCs w:val="32"/>
          <w:highlight w:val="none"/>
          <w:lang w:val="en-US" w:eastAsia="zh-CN"/>
        </w:rPr>
        <w:t>mail@bnlib.cn</w:t>
      </w:r>
      <w:r>
        <w:rPr>
          <w:rFonts w:hint="default" w:ascii="方正仿宋_GBK" w:hAnsi="方正仿宋_GBK" w:eastAsia="方正仿宋_GBK" w:cs="方正仿宋_GBK"/>
          <w:color w:val="auto"/>
          <w:sz w:val="32"/>
          <w:szCs w:val="32"/>
          <w:highlight w:val="none"/>
          <w:lang w:val="en-US" w:eastAsia="zh-CN"/>
        </w:rPr>
        <w:fldChar w:fldCharType="end"/>
      </w:r>
      <w:r>
        <w:rPr>
          <w:rFonts w:hint="eastAsia" w:ascii="方正仿宋_GBK" w:hAnsi="方正仿宋_GBK" w:eastAsia="方正仿宋_GBK" w:cs="方正仿宋_GBK"/>
          <w:color w:val="auto"/>
          <w:sz w:val="32"/>
          <w:szCs w:val="32"/>
          <w:highlight w:val="none"/>
          <w:lang w:val="en-US" w:eastAsia="zh-CN"/>
        </w:rPr>
        <w:t>，纸质版寄送至巴南区图书馆。</w:t>
      </w:r>
    </w:p>
    <w:p w14:paraId="30AEF4B5">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.邮寄信息</w:t>
      </w:r>
    </w:p>
    <w:p w14:paraId="4AC28C91">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收件人：周老师（023-66281713）</w:t>
      </w:r>
    </w:p>
    <w:p w14:paraId="19423379">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地址：重庆市巴南区龙洲湾巴南文化艺术中心。</w:t>
      </w:r>
    </w:p>
    <w:p w14:paraId="0034D508">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5</w:t>
      </w:r>
      <w:r>
        <w:rPr>
          <w:rFonts w:hint="eastAsia" w:ascii="方正仿宋_GBK" w:hAnsi="方正仿宋_GBK" w:eastAsia="方正仿宋_GBK" w:cs="方正仿宋_GBK"/>
          <w:sz w:val="32"/>
          <w:szCs w:val="32"/>
        </w:rPr>
        <w:t>.报价时间</w:t>
      </w:r>
    </w:p>
    <w:p w14:paraId="43C0A683">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报价截止时间202</w:t>
      </w:r>
      <w:r>
        <w:rPr>
          <w:rFonts w:hint="eastAsia" w:ascii="方正仿宋_GBK" w:hAnsi="方正仿宋_GBK" w:eastAsia="方正仿宋_GBK" w:cs="方正仿宋_GBK"/>
          <w:sz w:val="32"/>
          <w:szCs w:val="32"/>
          <w:lang w:val="en-US" w:eastAsia="zh-CN"/>
        </w:rPr>
        <w:t>5</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10</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30</w:t>
      </w:r>
      <w:r>
        <w:rPr>
          <w:rFonts w:hint="eastAsia" w:ascii="方正仿宋_GBK" w:hAnsi="方正仿宋_GBK" w:eastAsia="方正仿宋_GBK" w:cs="方正仿宋_GBK"/>
          <w:sz w:val="32"/>
          <w:szCs w:val="32"/>
        </w:rPr>
        <w:t>日上午9点。</w:t>
      </w:r>
    </w:p>
    <w:p w14:paraId="1FA2FF84">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6</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eastAsia="zh-CN"/>
        </w:rPr>
        <w:t>其他</w:t>
      </w:r>
      <w:r>
        <w:rPr>
          <w:rFonts w:hint="eastAsia" w:ascii="方正仿宋_GBK" w:hAnsi="方正仿宋_GBK" w:eastAsia="方正仿宋_GBK" w:cs="方正仿宋_GBK"/>
          <w:sz w:val="32"/>
          <w:szCs w:val="32"/>
        </w:rPr>
        <w:t>要求</w:t>
      </w:r>
    </w:p>
    <w:p w14:paraId="4A3CAEFE">
      <w:pPr>
        <w:snapToGrid w:val="0"/>
        <w:spacing w:line="570" w:lineRule="exact"/>
        <w:ind w:firstLine="640" w:firstLineChars="200"/>
        <w:rPr>
          <w:rFonts w:hint="eastAsia" w:ascii="方正仿宋_GBK" w:hAnsi="方正仿宋_GBK" w:eastAsia="方正仿宋_GBK" w:cs="方正仿宋_GBK"/>
          <w:color w:val="auto"/>
          <w:sz w:val="32"/>
          <w:szCs w:val="32"/>
          <w:highlight w:val="none"/>
          <w:lang w:val="en-US" w:eastAsia="zh-CN"/>
        </w:rPr>
      </w:pPr>
      <w:r>
        <w:rPr>
          <w:rFonts w:ascii="方正仿宋_GBK" w:hAnsi="方正仿宋_GBK" w:eastAsia="方正仿宋_GBK" w:cs="方正仿宋_GBK"/>
          <w:sz w:val="32"/>
          <w:szCs w:val="32"/>
        </w:rPr>
        <w:t>报价应包含人工、管理费及税金等该项目涉及的一切费用，以人民币结算。</w:t>
      </w:r>
    </w:p>
    <w:sectPr>
      <w:footerReference r:id="rId3" w:type="default"/>
      <w:pgSz w:w="11906" w:h="16838"/>
      <w:pgMar w:top="1440" w:right="1080" w:bottom="1440" w:left="1080" w:header="851" w:footer="992" w:gutter="0"/>
      <w:pgNumType w:fmt="decimal"/>
      <w:cols w:space="0" w:num="1"/>
      <w:rtlGutter w:val="0"/>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modern"/>
    <w:pitch w:val="default"/>
    <w:sig w:usb0="E0002AFF" w:usb1="C0007841" w:usb2="00000009" w:usb3="00000000" w:csb0="400001FF" w:csb1="FFFF0000"/>
  </w:font>
  <w:font w:name="宋体">
    <w:panose1 w:val="02010600030101010101"/>
    <w:charset w:val="81"/>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38C507">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09C88A6">
                          <w:pPr>
                            <w:pStyle w:val="7"/>
                            <w:rPr>
                              <w:rFonts w:hint="eastAsia"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eastAsia="zh-CN"/>
                            </w:rPr>
                            <w:t xml:space="preserve">第 </w:t>
                          </w:r>
                          <w:r>
                            <w:rPr>
                              <w:rFonts w:hint="eastAsia" w:ascii="方正仿宋_GBK" w:hAnsi="方正仿宋_GBK" w:eastAsia="方正仿宋_GBK" w:cs="方正仿宋_GBK"/>
                              <w:sz w:val="24"/>
                              <w:szCs w:val="24"/>
                              <w:lang w:eastAsia="zh-CN"/>
                            </w:rPr>
                            <w:fldChar w:fldCharType="begin"/>
                          </w:r>
                          <w:r>
                            <w:rPr>
                              <w:rFonts w:hint="eastAsia" w:ascii="方正仿宋_GBK" w:hAnsi="方正仿宋_GBK" w:eastAsia="方正仿宋_GBK" w:cs="方正仿宋_GBK"/>
                              <w:sz w:val="24"/>
                              <w:szCs w:val="24"/>
                              <w:lang w:eastAsia="zh-CN"/>
                            </w:rPr>
                            <w:instrText xml:space="preserve"> PAGE  \* MERGEFORMAT </w:instrText>
                          </w:r>
                          <w:r>
                            <w:rPr>
                              <w:rFonts w:hint="eastAsia" w:ascii="方正仿宋_GBK" w:hAnsi="方正仿宋_GBK" w:eastAsia="方正仿宋_GBK" w:cs="方正仿宋_GBK"/>
                              <w:sz w:val="24"/>
                              <w:szCs w:val="24"/>
                              <w:lang w:eastAsia="zh-CN"/>
                            </w:rPr>
                            <w:fldChar w:fldCharType="separate"/>
                          </w:r>
                          <w:r>
                            <w:rPr>
                              <w:rFonts w:hint="eastAsia" w:ascii="方正仿宋_GBK" w:hAnsi="方正仿宋_GBK" w:eastAsia="方正仿宋_GBK" w:cs="方正仿宋_GBK"/>
                              <w:sz w:val="24"/>
                              <w:szCs w:val="24"/>
                              <w:lang w:eastAsia="zh-CN"/>
                            </w:rPr>
                            <w:t>1</w:t>
                          </w:r>
                          <w:r>
                            <w:rPr>
                              <w:rFonts w:hint="eastAsia" w:ascii="方正仿宋_GBK" w:hAnsi="方正仿宋_GBK" w:eastAsia="方正仿宋_GBK" w:cs="方正仿宋_GBK"/>
                              <w:sz w:val="24"/>
                              <w:szCs w:val="24"/>
                              <w:lang w:eastAsia="zh-CN"/>
                            </w:rPr>
                            <w:fldChar w:fldCharType="end"/>
                          </w:r>
                          <w:r>
                            <w:rPr>
                              <w:rFonts w:hint="eastAsia" w:ascii="方正仿宋_GBK" w:hAnsi="方正仿宋_GBK" w:eastAsia="方正仿宋_GBK" w:cs="方正仿宋_GBK"/>
                              <w:sz w:val="24"/>
                              <w:szCs w:val="24"/>
                              <w:lang w:eastAsia="zh-CN"/>
                            </w:rPr>
                            <w:t xml:space="preserve"> 页 共 </w:t>
                          </w:r>
                          <w:r>
                            <w:rPr>
                              <w:rFonts w:hint="eastAsia" w:ascii="方正仿宋_GBK" w:hAnsi="方正仿宋_GBK" w:eastAsia="方正仿宋_GBK" w:cs="方正仿宋_GBK"/>
                              <w:sz w:val="24"/>
                              <w:szCs w:val="24"/>
                              <w:lang w:eastAsia="zh-CN"/>
                            </w:rPr>
                            <w:fldChar w:fldCharType="begin"/>
                          </w:r>
                          <w:r>
                            <w:rPr>
                              <w:rFonts w:hint="eastAsia" w:ascii="方正仿宋_GBK" w:hAnsi="方正仿宋_GBK" w:eastAsia="方正仿宋_GBK" w:cs="方正仿宋_GBK"/>
                              <w:sz w:val="24"/>
                              <w:szCs w:val="24"/>
                              <w:lang w:eastAsia="zh-CN"/>
                            </w:rPr>
                            <w:instrText xml:space="preserve"> NUMPAGES  \* MERGEFORMAT </w:instrText>
                          </w:r>
                          <w:r>
                            <w:rPr>
                              <w:rFonts w:hint="eastAsia" w:ascii="方正仿宋_GBK" w:hAnsi="方正仿宋_GBK" w:eastAsia="方正仿宋_GBK" w:cs="方正仿宋_GBK"/>
                              <w:sz w:val="24"/>
                              <w:szCs w:val="24"/>
                              <w:lang w:eastAsia="zh-CN"/>
                            </w:rPr>
                            <w:fldChar w:fldCharType="separate"/>
                          </w:r>
                          <w:r>
                            <w:rPr>
                              <w:rFonts w:hint="eastAsia" w:ascii="方正仿宋_GBK" w:hAnsi="方正仿宋_GBK" w:eastAsia="方正仿宋_GBK" w:cs="方正仿宋_GBK"/>
                              <w:sz w:val="24"/>
                              <w:szCs w:val="24"/>
                              <w:lang w:eastAsia="zh-CN"/>
                            </w:rPr>
                            <w:t>4</w:t>
                          </w:r>
                          <w:r>
                            <w:rPr>
                              <w:rFonts w:hint="eastAsia" w:ascii="方正仿宋_GBK" w:hAnsi="方正仿宋_GBK" w:eastAsia="方正仿宋_GBK" w:cs="方正仿宋_GBK"/>
                              <w:sz w:val="24"/>
                              <w:szCs w:val="24"/>
                              <w:lang w:eastAsia="zh-CN"/>
                            </w:rPr>
                            <w:fldChar w:fldCharType="end"/>
                          </w:r>
                          <w:r>
                            <w:rPr>
                              <w:rFonts w:hint="eastAsia" w:ascii="方正仿宋_GBK" w:hAnsi="方正仿宋_GBK" w:eastAsia="方正仿宋_GBK" w:cs="方正仿宋_GBK"/>
                              <w:sz w:val="24"/>
                              <w:szCs w:val="24"/>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09C88A6">
                    <w:pPr>
                      <w:pStyle w:val="7"/>
                      <w:rPr>
                        <w:rFonts w:hint="eastAsia"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eastAsia="zh-CN"/>
                      </w:rPr>
                      <w:t xml:space="preserve">第 </w:t>
                    </w:r>
                    <w:r>
                      <w:rPr>
                        <w:rFonts w:hint="eastAsia" w:ascii="方正仿宋_GBK" w:hAnsi="方正仿宋_GBK" w:eastAsia="方正仿宋_GBK" w:cs="方正仿宋_GBK"/>
                        <w:sz w:val="24"/>
                        <w:szCs w:val="24"/>
                        <w:lang w:eastAsia="zh-CN"/>
                      </w:rPr>
                      <w:fldChar w:fldCharType="begin"/>
                    </w:r>
                    <w:r>
                      <w:rPr>
                        <w:rFonts w:hint="eastAsia" w:ascii="方正仿宋_GBK" w:hAnsi="方正仿宋_GBK" w:eastAsia="方正仿宋_GBK" w:cs="方正仿宋_GBK"/>
                        <w:sz w:val="24"/>
                        <w:szCs w:val="24"/>
                        <w:lang w:eastAsia="zh-CN"/>
                      </w:rPr>
                      <w:instrText xml:space="preserve"> PAGE  \* MERGEFORMAT </w:instrText>
                    </w:r>
                    <w:r>
                      <w:rPr>
                        <w:rFonts w:hint="eastAsia" w:ascii="方正仿宋_GBK" w:hAnsi="方正仿宋_GBK" w:eastAsia="方正仿宋_GBK" w:cs="方正仿宋_GBK"/>
                        <w:sz w:val="24"/>
                        <w:szCs w:val="24"/>
                        <w:lang w:eastAsia="zh-CN"/>
                      </w:rPr>
                      <w:fldChar w:fldCharType="separate"/>
                    </w:r>
                    <w:r>
                      <w:rPr>
                        <w:rFonts w:hint="eastAsia" w:ascii="方正仿宋_GBK" w:hAnsi="方正仿宋_GBK" w:eastAsia="方正仿宋_GBK" w:cs="方正仿宋_GBK"/>
                        <w:sz w:val="24"/>
                        <w:szCs w:val="24"/>
                        <w:lang w:eastAsia="zh-CN"/>
                      </w:rPr>
                      <w:t>1</w:t>
                    </w:r>
                    <w:r>
                      <w:rPr>
                        <w:rFonts w:hint="eastAsia" w:ascii="方正仿宋_GBK" w:hAnsi="方正仿宋_GBK" w:eastAsia="方正仿宋_GBK" w:cs="方正仿宋_GBK"/>
                        <w:sz w:val="24"/>
                        <w:szCs w:val="24"/>
                        <w:lang w:eastAsia="zh-CN"/>
                      </w:rPr>
                      <w:fldChar w:fldCharType="end"/>
                    </w:r>
                    <w:r>
                      <w:rPr>
                        <w:rFonts w:hint="eastAsia" w:ascii="方正仿宋_GBK" w:hAnsi="方正仿宋_GBK" w:eastAsia="方正仿宋_GBK" w:cs="方正仿宋_GBK"/>
                        <w:sz w:val="24"/>
                        <w:szCs w:val="24"/>
                        <w:lang w:eastAsia="zh-CN"/>
                      </w:rPr>
                      <w:t xml:space="preserve"> 页 共 </w:t>
                    </w:r>
                    <w:r>
                      <w:rPr>
                        <w:rFonts w:hint="eastAsia" w:ascii="方正仿宋_GBK" w:hAnsi="方正仿宋_GBK" w:eastAsia="方正仿宋_GBK" w:cs="方正仿宋_GBK"/>
                        <w:sz w:val="24"/>
                        <w:szCs w:val="24"/>
                        <w:lang w:eastAsia="zh-CN"/>
                      </w:rPr>
                      <w:fldChar w:fldCharType="begin"/>
                    </w:r>
                    <w:r>
                      <w:rPr>
                        <w:rFonts w:hint="eastAsia" w:ascii="方正仿宋_GBK" w:hAnsi="方正仿宋_GBK" w:eastAsia="方正仿宋_GBK" w:cs="方正仿宋_GBK"/>
                        <w:sz w:val="24"/>
                        <w:szCs w:val="24"/>
                        <w:lang w:eastAsia="zh-CN"/>
                      </w:rPr>
                      <w:instrText xml:space="preserve"> NUMPAGES  \* MERGEFORMAT </w:instrText>
                    </w:r>
                    <w:r>
                      <w:rPr>
                        <w:rFonts w:hint="eastAsia" w:ascii="方正仿宋_GBK" w:hAnsi="方正仿宋_GBK" w:eastAsia="方正仿宋_GBK" w:cs="方正仿宋_GBK"/>
                        <w:sz w:val="24"/>
                        <w:szCs w:val="24"/>
                        <w:lang w:eastAsia="zh-CN"/>
                      </w:rPr>
                      <w:fldChar w:fldCharType="separate"/>
                    </w:r>
                    <w:r>
                      <w:rPr>
                        <w:rFonts w:hint="eastAsia" w:ascii="方正仿宋_GBK" w:hAnsi="方正仿宋_GBK" w:eastAsia="方正仿宋_GBK" w:cs="方正仿宋_GBK"/>
                        <w:sz w:val="24"/>
                        <w:szCs w:val="24"/>
                        <w:lang w:eastAsia="zh-CN"/>
                      </w:rPr>
                      <w:t>4</w:t>
                    </w:r>
                    <w:r>
                      <w:rPr>
                        <w:rFonts w:hint="eastAsia" w:ascii="方正仿宋_GBK" w:hAnsi="方正仿宋_GBK" w:eastAsia="方正仿宋_GBK" w:cs="方正仿宋_GBK"/>
                        <w:sz w:val="24"/>
                        <w:szCs w:val="24"/>
                        <w:lang w:eastAsia="zh-CN"/>
                      </w:rPr>
                      <w:fldChar w:fldCharType="end"/>
                    </w:r>
                    <w:r>
                      <w:rPr>
                        <w:rFonts w:hint="eastAsia" w:ascii="方正仿宋_GBK" w:hAnsi="方正仿宋_GBK" w:eastAsia="方正仿宋_GBK" w:cs="方正仿宋_GBK"/>
                        <w:sz w:val="24"/>
                        <w:szCs w:val="24"/>
                        <w:lang w:eastAsia="zh-CN"/>
                      </w:rP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JmODM0MjU3OWJiNTgwNDc2OWYwOTY3ZGZmMWEwYTQifQ=="/>
  </w:docVars>
  <w:rsids>
    <w:rsidRoot w:val="00820A7B"/>
    <w:rsid w:val="00033641"/>
    <w:rsid w:val="0016203B"/>
    <w:rsid w:val="001A17AF"/>
    <w:rsid w:val="001C2F33"/>
    <w:rsid w:val="00310BBB"/>
    <w:rsid w:val="00332310"/>
    <w:rsid w:val="004719D7"/>
    <w:rsid w:val="00483976"/>
    <w:rsid w:val="004B2B0A"/>
    <w:rsid w:val="005F11B4"/>
    <w:rsid w:val="007860DC"/>
    <w:rsid w:val="0080499C"/>
    <w:rsid w:val="00820A7B"/>
    <w:rsid w:val="008672C7"/>
    <w:rsid w:val="009E47D8"/>
    <w:rsid w:val="00AC4201"/>
    <w:rsid w:val="00B122B0"/>
    <w:rsid w:val="00B669F2"/>
    <w:rsid w:val="00C11035"/>
    <w:rsid w:val="00CC14C5"/>
    <w:rsid w:val="00CE11B2"/>
    <w:rsid w:val="00D91B03"/>
    <w:rsid w:val="00EE4787"/>
    <w:rsid w:val="00FE4B9B"/>
    <w:rsid w:val="014F57EF"/>
    <w:rsid w:val="0208231A"/>
    <w:rsid w:val="02EE2FF0"/>
    <w:rsid w:val="030D0863"/>
    <w:rsid w:val="03202609"/>
    <w:rsid w:val="03D910D3"/>
    <w:rsid w:val="05182CEB"/>
    <w:rsid w:val="051A2BD8"/>
    <w:rsid w:val="060C2D53"/>
    <w:rsid w:val="06511ECF"/>
    <w:rsid w:val="073B0AB0"/>
    <w:rsid w:val="076A2436"/>
    <w:rsid w:val="076D4654"/>
    <w:rsid w:val="088025BF"/>
    <w:rsid w:val="08A0086D"/>
    <w:rsid w:val="08B26A18"/>
    <w:rsid w:val="08BF3E40"/>
    <w:rsid w:val="08C75A00"/>
    <w:rsid w:val="08F575AB"/>
    <w:rsid w:val="09446DB0"/>
    <w:rsid w:val="09855E54"/>
    <w:rsid w:val="0A8033B0"/>
    <w:rsid w:val="0AA424EF"/>
    <w:rsid w:val="0AA90A33"/>
    <w:rsid w:val="0AC650D0"/>
    <w:rsid w:val="0B1A3556"/>
    <w:rsid w:val="0B6E07A7"/>
    <w:rsid w:val="0C693288"/>
    <w:rsid w:val="0CFD154E"/>
    <w:rsid w:val="0D1B5C31"/>
    <w:rsid w:val="0DD26ED0"/>
    <w:rsid w:val="0EB652FE"/>
    <w:rsid w:val="0EEF7D72"/>
    <w:rsid w:val="0FA56AD5"/>
    <w:rsid w:val="0FDB5406"/>
    <w:rsid w:val="100B1FB3"/>
    <w:rsid w:val="102E48DD"/>
    <w:rsid w:val="120E7022"/>
    <w:rsid w:val="12320BE9"/>
    <w:rsid w:val="125E082C"/>
    <w:rsid w:val="13145E13"/>
    <w:rsid w:val="14252C2A"/>
    <w:rsid w:val="14C36A7E"/>
    <w:rsid w:val="14FA69A2"/>
    <w:rsid w:val="15554FB3"/>
    <w:rsid w:val="15661403"/>
    <w:rsid w:val="15F266D7"/>
    <w:rsid w:val="1695644C"/>
    <w:rsid w:val="169939F5"/>
    <w:rsid w:val="16BE3C44"/>
    <w:rsid w:val="16FA0F53"/>
    <w:rsid w:val="177D19B0"/>
    <w:rsid w:val="17C1733D"/>
    <w:rsid w:val="17EC647F"/>
    <w:rsid w:val="18156474"/>
    <w:rsid w:val="18737C05"/>
    <w:rsid w:val="19564723"/>
    <w:rsid w:val="195809EB"/>
    <w:rsid w:val="19E20B28"/>
    <w:rsid w:val="1A1208C2"/>
    <w:rsid w:val="1A2C3280"/>
    <w:rsid w:val="1A6243FB"/>
    <w:rsid w:val="1B2446DC"/>
    <w:rsid w:val="1B3B5E42"/>
    <w:rsid w:val="1B8B378C"/>
    <w:rsid w:val="1C480EF5"/>
    <w:rsid w:val="1CCA13B9"/>
    <w:rsid w:val="1D031905"/>
    <w:rsid w:val="1D507571"/>
    <w:rsid w:val="1E1B5EFC"/>
    <w:rsid w:val="1E7D1630"/>
    <w:rsid w:val="1F356639"/>
    <w:rsid w:val="1F8C48D0"/>
    <w:rsid w:val="21054181"/>
    <w:rsid w:val="21176FC9"/>
    <w:rsid w:val="213C4310"/>
    <w:rsid w:val="22057036"/>
    <w:rsid w:val="222358FB"/>
    <w:rsid w:val="22310731"/>
    <w:rsid w:val="22317671"/>
    <w:rsid w:val="22842B1B"/>
    <w:rsid w:val="22C933E0"/>
    <w:rsid w:val="235B1E27"/>
    <w:rsid w:val="23DC377E"/>
    <w:rsid w:val="245B1CD8"/>
    <w:rsid w:val="24C9636D"/>
    <w:rsid w:val="25441166"/>
    <w:rsid w:val="255E3059"/>
    <w:rsid w:val="25F0369F"/>
    <w:rsid w:val="25F755B2"/>
    <w:rsid w:val="25FC0296"/>
    <w:rsid w:val="26A26EC5"/>
    <w:rsid w:val="26A70CFA"/>
    <w:rsid w:val="26BB3B1F"/>
    <w:rsid w:val="26C87882"/>
    <w:rsid w:val="26D41B5B"/>
    <w:rsid w:val="26EC6C8B"/>
    <w:rsid w:val="27023BBE"/>
    <w:rsid w:val="27351625"/>
    <w:rsid w:val="277A572F"/>
    <w:rsid w:val="277C20F1"/>
    <w:rsid w:val="277F6B95"/>
    <w:rsid w:val="27D64759"/>
    <w:rsid w:val="28572163"/>
    <w:rsid w:val="29177CBB"/>
    <w:rsid w:val="29650048"/>
    <w:rsid w:val="29AE7496"/>
    <w:rsid w:val="2A1E3411"/>
    <w:rsid w:val="2A287994"/>
    <w:rsid w:val="2A4A0F9E"/>
    <w:rsid w:val="2A700E3F"/>
    <w:rsid w:val="2AAC3AF4"/>
    <w:rsid w:val="2AD16769"/>
    <w:rsid w:val="2B102E55"/>
    <w:rsid w:val="2C8E0821"/>
    <w:rsid w:val="2CA945A8"/>
    <w:rsid w:val="2CBC09B4"/>
    <w:rsid w:val="2D651E6D"/>
    <w:rsid w:val="2E8615A0"/>
    <w:rsid w:val="2E8F795A"/>
    <w:rsid w:val="2EB0698C"/>
    <w:rsid w:val="2EEB1C8E"/>
    <w:rsid w:val="30384B2D"/>
    <w:rsid w:val="303F1404"/>
    <w:rsid w:val="30407D93"/>
    <w:rsid w:val="310E41AA"/>
    <w:rsid w:val="311D6595"/>
    <w:rsid w:val="318E206A"/>
    <w:rsid w:val="318F19B5"/>
    <w:rsid w:val="31B70FE8"/>
    <w:rsid w:val="32822F14"/>
    <w:rsid w:val="32B05445"/>
    <w:rsid w:val="32EA32DB"/>
    <w:rsid w:val="33963535"/>
    <w:rsid w:val="34A97CD2"/>
    <w:rsid w:val="35035796"/>
    <w:rsid w:val="355B5C81"/>
    <w:rsid w:val="363E5B90"/>
    <w:rsid w:val="36C24A66"/>
    <w:rsid w:val="36EE0A08"/>
    <w:rsid w:val="37644FCA"/>
    <w:rsid w:val="37DF35D6"/>
    <w:rsid w:val="384D6CD9"/>
    <w:rsid w:val="3A0E4D39"/>
    <w:rsid w:val="3A3E27D3"/>
    <w:rsid w:val="3A4E1353"/>
    <w:rsid w:val="3A526FDB"/>
    <w:rsid w:val="3AB90FA7"/>
    <w:rsid w:val="3AD54F6C"/>
    <w:rsid w:val="3B0A0351"/>
    <w:rsid w:val="3B3B3BC8"/>
    <w:rsid w:val="3B4E14F1"/>
    <w:rsid w:val="3B610A66"/>
    <w:rsid w:val="3B665EF8"/>
    <w:rsid w:val="3B771A31"/>
    <w:rsid w:val="3BB9178F"/>
    <w:rsid w:val="3BD342DC"/>
    <w:rsid w:val="3C0D1CDE"/>
    <w:rsid w:val="3C8438C7"/>
    <w:rsid w:val="3D281CB1"/>
    <w:rsid w:val="3D2832A7"/>
    <w:rsid w:val="3DBD642C"/>
    <w:rsid w:val="3DE92FE2"/>
    <w:rsid w:val="3DEF7162"/>
    <w:rsid w:val="3DF226AC"/>
    <w:rsid w:val="3E5C190F"/>
    <w:rsid w:val="3E714200"/>
    <w:rsid w:val="3E717642"/>
    <w:rsid w:val="3EEE5741"/>
    <w:rsid w:val="3EF30B35"/>
    <w:rsid w:val="3F613AB0"/>
    <w:rsid w:val="3FB1402D"/>
    <w:rsid w:val="40597A6F"/>
    <w:rsid w:val="408B2BB5"/>
    <w:rsid w:val="40D55B30"/>
    <w:rsid w:val="410C7B15"/>
    <w:rsid w:val="412D5350"/>
    <w:rsid w:val="42EF0A82"/>
    <w:rsid w:val="43014A1F"/>
    <w:rsid w:val="438E427E"/>
    <w:rsid w:val="45601CF4"/>
    <w:rsid w:val="4577548C"/>
    <w:rsid w:val="45D03239"/>
    <w:rsid w:val="45D34151"/>
    <w:rsid w:val="45EE247D"/>
    <w:rsid w:val="45F9133B"/>
    <w:rsid w:val="45FA29AB"/>
    <w:rsid w:val="46036D66"/>
    <w:rsid w:val="46363C46"/>
    <w:rsid w:val="466F652E"/>
    <w:rsid w:val="46B958C7"/>
    <w:rsid w:val="47863A30"/>
    <w:rsid w:val="47EC5F36"/>
    <w:rsid w:val="495A2D41"/>
    <w:rsid w:val="495E1B4F"/>
    <w:rsid w:val="49755AE6"/>
    <w:rsid w:val="49D61965"/>
    <w:rsid w:val="4A050C18"/>
    <w:rsid w:val="4A443A39"/>
    <w:rsid w:val="4A9B1FBC"/>
    <w:rsid w:val="4AC15382"/>
    <w:rsid w:val="4B707902"/>
    <w:rsid w:val="4BBA2E95"/>
    <w:rsid w:val="4BC82845"/>
    <w:rsid w:val="4D152DC2"/>
    <w:rsid w:val="4D683733"/>
    <w:rsid w:val="4DB118AD"/>
    <w:rsid w:val="4E19703D"/>
    <w:rsid w:val="4F061E2F"/>
    <w:rsid w:val="4F3F79D1"/>
    <w:rsid w:val="4F615226"/>
    <w:rsid w:val="50404E84"/>
    <w:rsid w:val="50C14902"/>
    <w:rsid w:val="50C8702F"/>
    <w:rsid w:val="511C3151"/>
    <w:rsid w:val="51F60A22"/>
    <w:rsid w:val="523D426C"/>
    <w:rsid w:val="528F50B8"/>
    <w:rsid w:val="52B91E49"/>
    <w:rsid w:val="52CE1CB5"/>
    <w:rsid w:val="5304188E"/>
    <w:rsid w:val="530E54ED"/>
    <w:rsid w:val="53183302"/>
    <w:rsid w:val="532A610A"/>
    <w:rsid w:val="540B5801"/>
    <w:rsid w:val="543D3F40"/>
    <w:rsid w:val="543E2232"/>
    <w:rsid w:val="54B94838"/>
    <w:rsid w:val="556A06A8"/>
    <w:rsid w:val="55974AA1"/>
    <w:rsid w:val="55C7647F"/>
    <w:rsid w:val="55EE0126"/>
    <w:rsid w:val="567809C3"/>
    <w:rsid w:val="58030BDF"/>
    <w:rsid w:val="5817462B"/>
    <w:rsid w:val="589675FB"/>
    <w:rsid w:val="58D43ED9"/>
    <w:rsid w:val="58D45865"/>
    <w:rsid w:val="59205AB0"/>
    <w:rsid w:val="595E0F6E"/>
    <w:rsid w:val="59BB2DDB"/>
    <w:rsid w:val="5C8E0CFD"/>
    <w:rsid w:val="5DEF5B2D"/>
    <w:rsid w:val="5E0C0B6B"/>
    <w:rsid w:val="5EBB3B43"/>
    <w:rsid w:val="5EEA23F7"/>
    <w:rsid w:val="5F490061"/>
    <w:rsid w:val="5F7607D8"/>
    <w:rsid w:val="5FE33352"/>
    <w:rsid w:val="5FEA7BA3"/>
    <w:rsid w:val="60060436"/>
    <w:rsid w:val="605760D5"/>
    <w:rsid w:val="61153879"/>
    <w:rsid w:val="611A0FF5"/>
    <w:rsid w:val="611C652E"/>
    <w:rsid w:val="61234B2C"/>
    <w:rsid w:val="6126159B"/>
    <w:rsid w:val="61EE7C33"/>
    <w:rsid w:val="61FE40D1"/>
    <w:rsid w:val="62317C12"/>
    <w:rsid w:val="635C7F30"/>
    <w:rsid w:val="63B9793B"/>
    <w:rsid w:val="63D3180C"/>
    <w:rsid w:val="6444029B"/>
    <w:rsid w:val="65D371B2"/>
    <w:rsid w:val="665379CC"/>
    <w:rsid w:val="66967D79"/>
    <w:rsid w:val="679A1B08"/>
    <w:rsid w:val="68264E14"/>
    <w:rsid w:val="68543EC9"/>
    <w:rsid w:val="685A727E"/>
    <w:rsid w:val="687A1EF0"/>
    <w:rsid w:val="68BE05A0"/>
    <w:rsid w:val="69531516"/>
    <w:rsid w:val="6982427D"/>
    <w:rsid w:val="69B544DB"/>
    <w:rsid w:val="69B75940"/>
    <w:rsid w:val="6A8734CD"/>
    <w:rsid w:val="6AC34F94"/>
    <w:rsid w:val="6AD4703F"/>
    <w:rsid w:val="6AE257A8"/>
    <w:rsid w:val="6B1E3986"/>
    <w:rsid w:val="6B555526"/>
    <w:rsid w:val="6B651A60"/>
    <w:rsid w:val="6B7042B6"/>
    <w:rsid w:val="6B7D0FA8"/>
    <w:rsid w:val="6B81127C"/>
    <w:rsid w:val="6BB107A8"/>
    <w:rsid w:val="6C516FD3"/>
    <w:rsid w:val="6D970701"/>
    <w:rsid w:val="6DF33B56"/>
    <w:rsid w:val="6DFF1C9E"/>
    <w:rsid w:val="6E034CB9"/>
    <w:rsid w:val="6F435DA7"/>
    <w:rsid w:val="6F9D2E96"/>
    <w:rsid w:val="6FE3114C"/>
    <w:rsid w:val="6FFD26B6"/>
    <w:rsid w:val="70E95EFA"/>
    <w:rsid w:val="70F7113E"/>
    <w:rsid w:val="70FC7B81"/>
    <w:rsid w:val="713E0F2F"/>
    <w:rsid w:val="719D2DEC"/>
    <w:rsid w:val="72AC2D5B"/>
    <w:rsid w:val="73584C4E"/>
    <w:rsid w:val="73C86181"/>
    <w:rsid w:val="73D14FE0"/>
    <w:rsid w:val="73F97190"/>
    <w:rsid w:val="74B760A2"/>
    <w:rsid w:val="754C2F96"/>
    <w:rsid w:val="75A74A3D"/>
    <w:rsid w:val="75B0475F"/>
    <w:rsid w:val="75F00E31"/>
    <w:rsid w:val="76A7050B"/>
    <w:rsid w:val="77D55B2D"/>
    <w:rsid w:val="78640A09"/>
    <w:rsid w:val="787328E0"/>
    <w:rsid w:val="79222BCF"/>
    <w:rsid w:val="7A076B7C"/>
    <w:rsid w:val="7AF014F7"/>
    <w:rsid w:val="7B045960"/>
    <w:rsid w:val="7B310E49"/>
    <w:rsid w:val="7B3917AC"/>
    <w:rsid w:val="7B3D51E4"/>
    <w:rsid w:val="7B4E0E6E"/>
    <w:rsid w:val="7C88054E"/>
    <w:rsid w:val="7CBA7A79"/>
    <w:rsid w:val="7D4C6FC8"/>
    <w:rsid w:val="7D9D7F9E"/>
    <w:rsid w:val="7DB34A8F"/>
    <w:rsid w:val="7DF77BF0"/>
    <w:rsid w:val="7F1D4138"/>
    <w:rsid w:val="7F722FC9"/>
    <w:rsid w:val="7FF140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tabs>
        <w:tab w:val="left" w:pos="3360"/>
      </w:tabs>
      <w:snapToGrid w:val="0"/>
      <w:spacing w:before="312" w:beforeLines="100" w:beforeAutospacing="0" w:after="156" w:afterLines="50" w:afterAutospacing="0" w:line="800" w:lineRule="atLeast"/>
      <w:jc w:val="center"/>
      <w:outlineLvl w:val="0"/>
    </w:pPr>
    <w:rPr>
      <w:rFonts w:eastAsia="黑体"/>
      <w:sz w:val="44"/>
    </w:rPr>
  </w:style>
  <w:style w:type="paragraph" w:styleId="3">
    <w:name w:val="heading 2"/>
    <w:basedOn w:val="1"/>
    <w:next w:val="1"/>
    <w:unhideWhenUsed/>
    <w:qFormat/>
    <w:uiPriority w:val="0"/>
    <w:pPr>
      <w:keepNext/>
      <w:keepLines/>
      <w:spacing w:before="100" w:after="100" w:line="360" w:lineRule="auto"/>
      <w:ind w:firstLine="200" w:firstLineChars="200"/>
      <w:jc w:val="left"/>
      <w:outlineLvl w:val="1"/>
    </w:pPr>
    <w:rPr>
      <w:rFonts w:ascii="Arial" w:hAnsi="Arial"/>
      <w:b/>
      <w:bCs/>
      <w:sz w:val="24"/>
      <w:szCs w:val="32"/>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adjustRightInd w:val="0"/>
      <w:snapToGrid w:val="0"/>
      <w:spacing w:line="360" w:lineRule="auto"/>
      <w:ind w:firstLine="420"/>
    </w:pPr>
    <w:rPr>
      <w:sz w:val="24"/>
    </w:rPr>
  </w:style>
  <w:style w:type="paragraph" w:styleId="5">
    <w:name w:val="Body Text"/>
    <w:basedOn w:val="1"/>
    <w:next w:val="1"/>
    <w:qFormat/>
    <w:uiPriority w:val="0"/>
    <w:pPr>
      <w:spacing w:after="120" w:afterLines="0" w:afterAutospacing="0"/>
    </w:pPr>
  </w:style>
  <w:style w:type="paragraph" w:styleId="6">
    <w:name w:val="Plain Text"/>
    <w:basedOn w:val="1"/>
    <w:qFormat/>
    <w:uiPriority w:val="0"/>
    <w:rPr>
      <w:rFonts w:hAnsi="Courier New" w:eastAsia="宋体"/>
      <w:color w:val="auto"/>
      <w:kern w:val="2"/>
      <w:sz w:val="21"/>
      <w:szCs w:val="20"/>
      <w:lang w:val="en-US"/>
    </w:rPr>
  </w:style>
  <w:style w:type="paragraph" w:styleId="7">
    <w:name w:val="footer"/>
    <w:basedOn w:val="1"/>
    <w:link w:val="16"/>
    <w:unhideWhenUsed/>
    <w:qFormat/>
    <w:uiPriority w:val="99"/>
    <w:pPr>
      <w:tabs>
        <w:tab w:val="center" w:pos="4153"/>
        <w:tab w:val="right" w:pos="8306"/>
      </w:tabs>
      <w:snapToGrid w:val="0"/>
      <w:jc w:val="left"/>
    </w:pPr>
    <w:rPr>
      <w:sz w:val="18"/>
      <w:szCs w:val="18"/>
    </w:rPr>
  </w:style>
  <w:style w:type="paragraph" w:styleId="8">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semiHidden/>
    <w:unhideWhenUsed/>
    <w:qFormat/>
    <w:uiPriority w:val="99"/>
    <w:pPr>
      <w:widowControl/>
      <w:spacing w:before="100" w:beforeAutospacing="1" w:after="100" w:afterAutospacing="1"/>
      <w:jc w:val="left"/>
    </w:pPr>
    <w:rPr>
      <w:rFonts w:ascii="宋体" w:hAnsi="宋体" w:cs="宋体"/>
      <w:kern w:val="0"/>
      <w:sz w:val="24"/>
    </w:rPr>
  </w:style>
  <w:style w:type="table" w:styleId="11">
    <w:name w:val="Table Grid"/>
    <w:basedOn w:val="10"/>
    <w:qFormat/>
    <w:uiPriority w:val="59"/>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Hyperlink"/>
    <w:basedOn w:val="12"/>
    <w:qFormat/>
    <w:uiPriority w:val="0"/>
    <w:rPr>
      <w:color w:val="0000FF"/>
      <w:u w:val="single"/>
    </w:rPr>
  </w:style>
  <w:style w:type="paragraph" w:styleId="14">
    <w:name w:val="List Paragraph"/>
    <w:basedOn w:val="1"/>
    <w:qFormat/>
    <w:uiPriority w:val="34"/>
    <w:pPr>
      <w:ind w:firstLine="420" w:firstLineChars="200"/>
    </w:pPr>
  </w:style>
  <w:style w:type="character" w:customStyle="1" w:styleId="15">
    <w:name w:val="页眉 Char"/>
    <w:basedOn w:val="12"/>
    <w:link w:val="8"/>
    <w:qFormat/>
    <w:uiPriority w:val="99"/>
    <w:rPr>
      <w:rFonts w:ascii="Times New Roman" w:hAnsi="Times New Roman" w:eastAsia="宋体" w:cs="Times New Roman"/>
      <w:sz w:val="18"/>
      <w:szCs w:val="18"/>
    </w:rPr>
  </w:style>
  <w:style w:type="character" w:customStyle="1" w:styleId="16">
    <w:name w:val="页脚 Char"/>
    <w:basedOn w:val="12"/>
    <w:link w:val="7"/>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5710</Words>
  <Characters>6430</Characters>
  <Lines>10</Lines>
  <Paragraphs>2</Paragraphs>
  <TotalTime>0</TotalTime>
  <ScaleCrop>false</ScaleCrop>
  <LinksUpToDate>false</LinksUpToDate>
  <CharactersWithSpaces>6488</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2016-06-03T08:08:00Z</dcterms:created>
  <dc:creator>Admin</dc:creator>
  <cp:lastModifiedBy>周雨</cp:lastModifiedBy>
  <dcterms:modified xsi:type="dcterms:W3CDTF">2025-10-27T10:57:12Z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KSOSaveFontToCloudKey">
    <vt:lpwstr>444817304_cloud</vt:lpwstr>
  </property>
  <property fmtid="{D5CDD505-2E9C-101B-9397-08002B2CF9AE}" pid="4" name="ICV">
    <vt:lpwstr>96C9A66AE695431494AFD8BBC7FB7900</vt:lpwstr>
  </property>
  <property fmtid="{D5CDD505-2E9C-101B-9397-08002B2CF9AE}" pid="5" name="KSOTemplateDocerSaveRecord">
    <vt:lpwstr>eyJoZGlkIjoiMzJmODM0MjU3OWJiNTgwNDc2OWYwOTY3ZGZmMWEwYTQiLCJ1c2VySWQiOiI0NDQ4MTczMDQifQ==</vt:lpwstr>
  </property>
</Properties>
</file>