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E2A8EF">
      <w:pPr>
        <w:pStyle w:val="3"/>
        <w:spacing w:before="0" w:beforeLines="0" w:after="0" w:afterLines="0" w:line="570" w:lineRule="exact"/>
        <w:rPr>
          <w:color w:val="FF0000"/>
        </w:rPr>
      </w:pPr>
      <w:bookmarkStart w:id="0" w:name="_Toc13135"/>
      <w:r>
        <w:rPr>
          <w:rFonts w:hint="eastAsia" w:ascii="方正小标宋_GBK" w:hAnsi="方正小标宋_GBK" w:eastAsia="方正小标宋_GBK" w:cs="方正小标宋_GBK"/>
          <w:kern w:val="0"/>
          <w:szCs w:val="44"/>
        </w:rPr>
        <w:t>重庆市巴南区图书馆2026年借阅柜升级和业务系统运行管理维护项目参数需求</w:t>
      </w:r>
      <w:bookmarkEnd w:id="0"/>
      <w:r>
        <w:rPr>
          <w:rFonts w:hint="eastAsia" w:ascii="方正小标宋_GBK" w:hAnsi="方正小标宋_GBK" w:eastAsia="方正小标宋_GBK" w:cs="方正小标宋_GBK"/>
          <w:kern w:val="0"/>
          <w:szCs w:val="44"/>
        </w:rPr>
        <w:t>表</w:t>
      </w:r>
    </w:p>
    <w:p w14:paraId="4A0F4BB7">
      <w:pPr>
        <w:spacing w:line="570" w:lineRule="exact"/>
        <w:rPr>
          <w:rFonts w:ascii="方正黑体_GBK" w:eastAsia="方正黑体_GBK"/>
          <w:sz w:val="32"/>
          <w:szCs w:val="32"/>
        </w:rPr>
      </w:pPr>
    </w:p>
    <w:p w14:paraId="16ECAB48">
      <w:pPr>
        <w:spacing w:line="570" w:lineRule="exact"/>
        <w:ind w:firstLine="640" w:firstLineChars="200"/>
        <w:rPr>
          <w:rFonts w:ascii="方正黑体_GBK" w:eastAsia="方正黑体_GBK"/>
          <w:sz w:val="32"/>
          <w:szCs w:val="32"/>
        </w:rPr>
      </w:pPr>
      <w:r>
        <w:rPr>
          <w:rFonts w:hint="eastAsia" w:ascii="方正黑体_GBK" w:eastAsia="方正黑体_GBK"/>
          <w:sz w:val="32"/>
          <w:szCs w:val="32"/>
        </w:rPr>
        <w:t>一、项目名称</w:t>
      </w:r>
    </w:p>
    <w:p w14:paraId="18F2BACB">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重庆市巴南区图书馆2026年借阅柜升级和业务系统运行管理维护</w:t>
      </w:r>
    </w:p>
    <w:p w14:paraId="29B6742E">
      <w:pPr>
        <w:snapToGrid w:val="0"/>
        <w:spacing w:line="570" w:lineRule="exact"/>
        <w:ind w:firstLine="640" w:firstLineChars="200"/>
        <w:rPr>
          <w:rFonts w:ascii="方正仿宋_GBK" w:hAnsi="方正仿宋_GBK" w:eastAsia="方正仿宋_GBK" w:cs="方正仿宋_GBK"/>
          <w:color w:val="FF0000"/>
          <w:sz w:val="32"/>
          <w:szCs w:val="32"/>
        </w:rPr>
      </w:pPr>
      <w:r>
        <w:rPr>
          <w:rFonts w:hint="eastAsia" w:ascii="方正黑体_GBK" w:eastAsia="方正黑体_GBK"/>
          <w:sz w:val="32"/>
          <w:szCs w:val="32"/>
        </w:rPr>
        <w:t>二、资格条件</w:t>
      </w:r>
    </w:p>
    <w:p w14:paraId="78AB53D1">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 具有独立承担民事责任的能力；</w:t>
      </w:r>
    </w:p>
    <w:p w14:paraId="1F98E53A">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具有良好的商业信誉和健全的财务会计制度；</w:t>
      </w:r>
    </w:p>
    <w:p w14:paraId="2576E142">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 具有履行合同所必需的设备和专业技术能力；</w:t>
      </w:r>
    </w:p>
    <w:p w14:paraId="4EC87D8E">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 有依法缴纳税收和社会保障资金的良好记录；</w:t>
      </w:r>
    </w:p>
    <w:p w14:paraId="0ED061AA">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 参加政府采购活动前三年内，在经营活动中没有重大违法记录；</w:t>
      </w:r>
    </w:p>
    <w:p w14:paraId="2CF0BA69">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 法律、行政法规规定的其他条件。</w:t>
      </w:r>
    </w:p>
    <w:p w14:paraId="00674A61">
      <w:pPr>
        <w:spacing w:line="570" w:lineRule="exact"/>
        <w:ind w:firstLine="640" w:firstLineChars="200"/>
        <w:rPr>
          <w:rFonts w:ascii="方正黑体_GBK" w:eastAsia="方正黑体_GBK"/>
          <w:sz w:val="32"/>
          <w:szCs w:val="32"/>
        </w:rPr>
      </w:pPr>
      <w:r>
        <w:rPr>
          <w:rFonts w:hint="eastAsia" w:ascii="方正黑体_GBK" w:eastAsia="方正黑体_GBK"/>
          <w:sz w:val="32"/>
          <w:szCs w:val="32"/>
        </w:rPr>
        <w:t>三、商务要求</w:t>
      </w:r>
    </w:p>
    <w:p w14:paraId="6616B7C1">
      <w:pPr>
        <w:snapToGrid w:val="0"/>
        <w:spacing w:line="570" w:lineRule="exact"/>
        <w:ind w:firstLine="640" w:firstLineChars="200"/>
        <w:rPr>
          <w:rFonts w:ascii="方正仿宋_GBK" w:hAnsi="方正仿宋_GBK" w:eastAsia="方正仿宋_GBK" w:cs="方正仿宋_GBK"/>
          <w:sz w:val="32"/>
          <w:szCs w:val="32"/>
        </w:rPr>
      </w:pPr>
      <w:bookmarkStart w:id="1" w:name="_Toc267320049"/>
      <w:r>
        <w:rPr>
          <w:rFonts w:hint="eastAsia" w:ascii="方正仿宋_GBK" w:hAnsi="方正仿宋_GBK" w:eastAsia="方正仿宋_GBK" w:cs="方正仿宋_GBK"/>
          <w:sz w:val="32"/>
          <w:szCs w:val="32"/>
        </w:rPr>
        <w:t xml:space="preserve">1. </w:t>
      </w:r>
      <w:r>
        <w:rPr>
          <w:rFonts w:hint="eastAsia" w:ascii="方正仿宋_GBK" w:hAnsi="方正仿宋_GBK" w:eastAsia="方正仿宋_GBK" w:cs="方正仿宋_GBK"/>
          <w:sz w:val="32"/>
          <w:szCs w:val="32"/>
          <w:lang w:val="en-US" w:eastAsia="zh-CN"/>
        </w:rPr>
        <w:t>服务</w:t>
      </w:r>
      <w:r>
        <w:rPr>
          <w:rFonts w:hint="eastAsia" w:ascii="方正仿宋_GBK" w:hAnsi="方正仿宋_GBK" w:eastAsia="方正仿宋_GBK" w:cs="方正仿宋_GBK"/>
          <w:sz w:val="32"/>
          <w:szCs w:val="32"/>
        </w:rPr>
        <w:t>时间：</w:t>
      </w:r>
      <w:r>
        <w:rPr>
          <w:rFonts w:hint="eastAsia" w:ascii="方正仿宋_GBK" w:hAnsi="方正仿宋_GBK" w:eastAsia="方正仿宋_GBK" w:cs="方正仿宋_GBK"/>
          <w:sz w:val="32"/>
          <w:szCs w:val="32"/>
          <w:lang w:val="en-US" w:eastAsia="zh-CN"/>
        </w:rPr>
        <w:t>2026年1月1日至2026年12月31日。</w:t>
      </w:r>
    </w:p>
    <w:p w14:paraId="4A577D59">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 xml:space="preserve">2. </w:t>
      </w:r>
      <w:r>
        <w:rPr>
          <w:rFonts w:hint="eastAsia" w:ascii="方正仿宋_GBK" w:hAnsi="方正仿宋_GBK" w:eastAsia="方正仿宋_GBK" w:cs="方正仿宋_GBK"/>
          <w:sz w:val="32"/>
          <w:szCs w:val="32"/>
          <w:lang w:val="en-US" w:eastAsia="zh-CN"/>
        </w:rPr>
        <w:t>服务</w:t>
      </w:r>
      <w:r>
        <w:rPr>
          <w:rFonts w:hint="eastAsia" w:ascii="方正仿宋_GBK" w:hAnsi="方正仿宋_GBK" w:eastAsia="方正仿宋_GBK" w:cs="方正仿宋_GBK"/>
          <w:sz w:val="32"/>
          <w:szCs w:val="32"/>
        </w:rPr>
        <w:t>地点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重庆市巴南区图书馆及下属各镇街文旅驿站服务点。</w:t>
      </w:r>
    </w:p>
    <w:p w14:paraId="086EB7CF">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 服务内容：对寄存安放与巴南区下属各镇街、各单位的智能图书借阅柜实施日常维护、询价服务，具体服务技术和商务要求见采购清单。</w:t>
      </w:r>
    </w:p>
    <w:p w14:paraId="33223E85">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服务</w:t>
      </w:r>
      <w:r>
        <w:rPr>
          <w:rFonts w:hint="eastAsia" w:ascii="方正仿宋_GBK" w:hAnsi="方正仿宋_GBK" w:eastAsia="方正仿宋_GBK" w:cs="方正仿宋_GBK"/>
          <w:sz w:val="32"/>
          <w:szCs w:val="32"/>
        </w:rPr>
        <w:t>验收</w:t>
      </w:r>
    </w:p>
    <w:p w14:paraId="5397B33F">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（1）验收单位：由采购人负责组织验收。</w:t>
      </w:r>
    </w:p>
    <w:p w14:paraId="2E106DEF">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验收标准：按照国家及行业相关标准、招标文件规定、合同约定以及质量检查标准等标准进行验收，如验收达不到规定要求，对采购人造成损失的，中标方应承担一切责任。成交供应商应提供完备的技术资料、装箱单和合格证等，由采购人对成交供应商提供服务和货物及安装实施进行初验和数量清点。项目安装调试完毕后由采购人组织验收，如验收不合格成交供应商必须在限期内整改完毕，否则采购人有权解除合同。如验收达不到规定要求，对采购人造成一定的影响，成交供应商承担一切责任，并赔偿所造成的损失。验收合格条件如下：</w:t>
      </w:r>
    </w:p>
    <w:p w14:paraId="44DE5CC6">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 1 \* GB3 \* MERGEFORMAT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①</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t>设备技术参数与采购合同一致，性能指标达到规定的标准；</w:t>
      </w:r>
    </w:p>
    <w:p w14:paraId="41E6A005">
      <w:pPr>
        <w:snapToGrid w:val="0"/>
        <w:spacing w:line="570" w:lineRule="exact"/>
        <w:ind w:firstLine="640" w:firstLineChars="200"/>
        <w:rPr>
          <w:rFonts w:ascii="方正仿宋_GBK" w:hAnsi="方正仿宋_GBK" w:eastAsia="方正仿宋_GBK" w:cs="方正仿宋_GBK"/>
          <w:sz w:val="32"/>
          <w:szCs w:val="32"/>
        </w:rPr>
      </w:pPr>
      <w:r>
        <w:rPr>
          <w:rFonts w:ascii="方正仿宋_GBK" w:hAnsi="方正仿宋_GBK" w:eastAsia="方正仿宋_GBK" w:cs="方正仿宋_GBK"/>
          <w:sz w:val="32"/>
          <w:szCs w:val="32"/>
        </w:rPr>
        <w:fldChar w:fldCharType="begin"/>
      </w:r>
      <w:r>
        <w:rPr>
          <w:rFonts w:ascii="方正仿宋_GBK" w:hAnsi="方正仿宋_GBK" w:eastAsia="方正仿宋_GBK" w:cs="方正仿宋_GBK"/>
          <w:sz w:val="32"/>
          <w:szCs w:val="32"/>
        </w:rPr>
        <w:instrText xml:space="preserve"> = 2 \* GB3 \* MERGEFORMAT </w:instrText>
      </w:r>
      <w:r>
        <w:rPr>
          <w:rFonts w:ascii="方正仿宋_GBK" w:hAnsi="方正仿宋_GBK" w:eastAsia="方正仿宋_GBK" w:cs="方正仿宋_GBK"/>
          <w:sz w:val="32"/>
          <w:szCs w:val="32"/>
        </w:rPr>
        <w:fldChar w:fldCharType="separate"/>
      </w:r>
      <w:r>
        <w:rPr>
          <w:rFonts w:ascii="方正仿宋_GBK" w:hAnsi="方正仿宋_GBK" w:eastAsia="方正仿宋_GBK" w:cs="方正仿宋_GBK"/>
          <w:sz w:val="32"/>
          <w:szCs w:val="32"/>
        </w:rPr>
        <w:t>②</w:t>
      </w:r>
      <w:r>
        <w:rPr>
          <w:rFonts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t>货物技术资料、装箱单、合格证等资料齐全；</w:t>
      </w:r>
    </w:p>
    <w:p w14:paraId="00423687">
      <w:pPr>
        <w:snapToGrid w:val="0"/>
        <w:spacing w:line="570" w:lineRule="exact"/>
        <w:ind w:firstLine="640" w:firstLineChars="200"/>
        <w:rPr>
          <w:rFonts w:ascii="方正仿宋_GBK" w:hAnsi="方正仿宋_GBK" w:eastAsia="方正仿宋_GBK" w:cs="方正仿宋_GBK"/>
          <w:sz w:val="32"/>
          <w:szCs w:val="32"/>
        </w:rPr>
      </w:pPr>
      <w:r>
        <w:rPr>
          <w:rFonts w:ascii="方正仿宋_GBK" w:hAnsi="方正仿宋_GBK" w:eastAsia="方正仿宋_GBK" w:cs="方正仿宋_GBK"/>
          <w:sz w:val="32"/>
          <w:szCs w:val="32"/>
        </w:rPr>
        <w:fldChar w:fldCharType="begin"/>
      </w:r>
      <w:r>
        <w:rPr>
          <w:rFonts w:ascii="方正仿宋_GBK" w:hAnsi="方正仿宋_GBK" w:eastAsia="方正仿宋_GBK" w:cs="方正仿宋_GBK"/>
          <w:sz w:val="32"/>
          <w:szCs w:val="32"/>
        </w:rPr>
        <w:instrText xml:space="preserve"> = 3 \* GB3 \* MERGEFORMAT </w:instrText>
      </w:r>
      <w:r>
        <w:rPr>
          <w:rFonts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③</w:t>
      </w:r>
      <w:r>
        <w:rPr>
          <w:rFonts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t>在使用期间所出现的问题得到解决，并运行正常；</w:t>
      </w:r>
    </w:p>
    <w:p w14:paraId="072B3474">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 4 \* GB3 \* MERGEFORMAT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④</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t>在规定时间内完成交货并验收，并经采购人确认。</w:t>
      </w:r>
    </w:p>
    <w:p w14:paraId="1A740B94">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 售后和质保</w:t>
      </w:r>
    </w:p>
    <w:p w14:paraId="241DE80A">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ascii="方正仿宋_GBK" w:hAnsi="方正仿宋_GBK" w:eastAsia="方正仿宋_GBK" w:cs="方正仿宋_GBK"/>
          <w:sz w:val="32"/>
          <w:szCs w:val="32"/>
        </w:rPr>
        <w:t>电话咨询：供方和制造商应当为采购人提供技术援助电话，解答采购人在使用中遇到的问题，及时为采购人提出解决问题的建议。</w:t>
      </w:r>
    </w:p>
    <w:p w14:paraId="0BB8FE3F">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w:t>
      </w:r>
      <w:r>
        <w:rPr>
          <w:rFonts w:ascii="方正仿宋_GBK" w:hAnsi="方正仿宋_GBK" w:eastAsia="方正仿宋_GBK" w:cs="方正仿宋_GBK"/>
          <w:sz w:val="32"/>
          <w:szCs w:val="32"/>
        </w:rPr>
        <w:t>现场响应：</w:t>
      </w:r>
      <w:r>
        <w:rPr>
          <w:rFonts w:hint="eastAsia" w:ascii="方正仿宋_GBK" w:hAnsi="方正仿宋_GBK" w:eastAsia="方正仿宋_GBK" w:cs="方正仿宋_GBK"/>
          <w:sz w:val="32"/>
          <w:szCs w:val="32"/>
        </w:rPr>
        <w:t>采购人</w:t>
      </w:r>
      <w:r>
        <w:rPr>
          <w:rFonts w:ascii="方正仿宋_GBK" w:hAnsi="方正仿宋_GBK" w:eastAsia="方正仿宋_GBK" w:cs="方正仿宋_GBK"/>
          <w:sz w:val="32"/>
          <w:szCs w:val="32"/>
        </w:rPr>
        <w:t>遇到使用及技术问题，电话咨询不能解决的，供方和制造商应在</w:t>
      </w:r>
      <w:r>
        <w:rPr>
          <w:rFonts w:hint="eastAsia" w:ascii="方正仿宋_GBK" w:hAnsi="方正仿宋_GBK" w:eastAsia="方正仿宋_GBK" w:cs="方正仿宋_GBK"/>
          <w:sz w:val="32"/>
          <w:szCs w:val="32"/>
        </w:rPr>
        <w:t>2</w:t>
      </w:r>
      <w:r>
        <w:rPr>
          <w:rFonts w:ascii="方正仿宋_GBK" w:hAnsi="方正仿宋_GBK" w:eastAsia="方正仿宋_GBK" w:cs="方正仿宋_GBK"/>
          <w:sz w:val="32"/>
          <w:szCs w:val="32"/>
        </w:rPr>
        <w:t>小时内到达现场（远郊区</w:t>
      </w:r>
      <w:r>
        <w:rPr>
          <w:rFonts w:hint="eastAsia" w:ascii="方正仿宋_GBK" w:hAnsi="方正仿宋_GBK" w:eastAsia="方正仿宋_GBK" w:cs="方正仿宋_GBK"/>
          <w:sz w:val="32"/>
          <w:szCs w:val="32"/>
        </w:rPr>
        <w:t>4</w:t>
      </w:r>
      <w:r>
        <w:rPr>
          <w:rFonts w:ascii="方正仿宋_GBK" w:hAnsi="方正仿宋_GBK" w:eastAsia="方正仿宋_GBK" w:cs="方正仿宋_GBK"/>
          <w:sz w:val="32"/>
          <w:szCs w:val="32"/>
        </w:rPr>
        <w:t>小时内到达现场）进行处理，确保产品正常工作；无法在</w:t>
      </w:r>
      <w:r>
        <w:rPr>
          <w:rFonts w:hint="eastAsia" w:ascii="方正仿宋_GBK" w:hAnsi="方正仿宋_GBK" w:eastAsia="方正仿宋_GBK" w:cs="方正仿宋_GBK"/>
          <w:sz w:val="32"/>
          <w:szCs w:val="32"/>
        </w:rPr>
        <w:t>12</w:t>
      </w:r>
      <w:r>
        <w:rPr>
          <w:rFonts w:ascii="方正仿宋_GBK" w:hAnsi="方正仿宋_GBK" w:eastAsia="方正仿宋_GBK" w:cs="方正仿宋_GBK"/>
          <w:sz w:val="32"/>
          <w:szCs w:val="32"/>
        </w:rPr>
        <w:t>小时内解决的，应在</w:t>
      </w:r>
      <w:r>
        <w:rPr>
          <w:rFonts w:hint="eastAsia" w:ascii="方正仿宋_GBK" w:hAnsi="方正仿宋_GBK" w:eastAsia="方正仿宋_GBK" w:cs="方正仿宋_GBK"/>
          <w:sz w:val="32"/>
          <w:szCs w:val="32"/>
        </w:rPr>
        <w:t>12</w:t>
      </w:r>
      <w:r>
        <w:rPr>
          <w:rFonts w:ascii="方正仿宋_GBK" w:hAnsi="方正仿宋_GBK" w:eastAsia="方正仿宋_GBK" w:cs="方正仿宋_GBK"/>
          <w:sz w:val="32"/>
          <w:szCs w:val="32"/>
        </w:rPr>
        <w:t>小时内提供备用产品，使采购人能够正常使用。</w:t>
      </w:r>
    </w:p>
    <w:p w14:paraId="292D135A">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w:t>
      </w:r>
      <w:r>
        <w:rPr>
          <w:rFonts w:ascii="方正仿宋_GBK" w:hAnsi="方正仿宋_GBK" w:eastAsia="方正仿宋_GBK" w:cs="方正仿宋_GBK"/>
          <w:sz w:val="32"/>
          <w:szCs w:val="32"/>
        </w:rPr>
        <w:t>技术服务：在质保期内，如果供方和制造商的产品技术升级，供方应及时通知采购人，如采购人有相应要求，供方和制造商应对采购人购买的产品进行升级服务。</w:t>
      </w:r>
    </w:p>
    <w:bookmarkEnd w:id="1"/>
    <w:p w14:paraId="46907EDA">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rPr>
        <w:t>. 其他服务及要求</w:t>
      </w:r>
    </w:p>
    <w:p w14:paraId="6E751754">
      <w:pPr>
        <w:snapToGrid w:val="0"/>
        <w:spacing w:line="57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（1）供应商须保证本次提供报价的产品或服务是最新且完备的，且完全与询价要求相符。</w:t>
      </w:r>
    </w:p>
    <w:p w14:paraId="09297E45">
      <w:pPr>
        <w:snapToGrid w:val="0"/>
        <w:spacing w:line="570" w:lineRule="exact"/>
        <w:ind w:firstLine="640" w:firstLineChars="200"/>
      </w:pPr>
      <w:r>
        <w:rPr>
          <w:rFonts w:hint="eastAsia" w:ascii="方正仿宋_GBK" w:hAnsi="方正仿宋_GBK" w:eastAsia="方正仿宋_GBK" w:cs="方正仿宋_GBK"/>
          <w:sz w:val="32"/>
          <w:szCs w:val="32"/>
          <w:lang w:val="en-US" w:eastAsia="zh-CN"/>
        </w:rPr>
        <w:t>（2）报价单位须</w:t>
      </w:r>
      <w:r>
        <w:rPr>
          <w:rFonts w:hint="eastAsia" w:ascii="方正仿宋_GBK" w:hAnsi="方正仿宋_GBK" w:eastAsia="方正仿宋_GBK" w:cs="方正仿宋_GBK"/>
          <w:sz w:val="32"/>
          <w:szCs w:val="32"/>
        </w:rPr>
        <w:t>具备</w:t>
      </w:r>
      <w:r>
        <w:rPr>
          <w:rFonts w:hint="eastAsia" w:ascii="方正仿宋_GBK" w:hAnsi="方正仿宋_GBK" w:eastAsia="方正仿宋_GBK" w:cs="方正仿宋_GBK"/>
          <w:sz w:val="32"/>
          <w:szCs w:val="32"/>
          <w:lang w:val="en-US" w:eastAsia="zh-CN"/>
        </w:rPr>
        <w:t>巴南区图书馆总分馆业务</w:t>
      </w:r>
      <w:r>
        <w:rPr>
          <w:rFonts w:hint="eastAsia" w:ascii="方正仿宋_GBK" w:hAnsi="方正仿宋_GBK" w:eastAsia="方正仿宋_GBK" w:cs="方正仿宋_GBK"/>
          <w:sz w:val="32"/>
          <w:szCs w:val="32"/>
        </w:rPr>
        <w:t>系统软件</w:t>
      </w:r>
      <w:r>
        <w:rPr>
          <w:rFonts w:hint="eastAsia" w:ascii="方正仿宋_GBK" w:hAnsi="方正仿宋_GBK" w:eastAsia="方正仿宋_GBK" w:cs="方正仿宋_GBK"/>
          <w:sz w:val="32"/>
          <w:szCs w:val="32"/>
          <w:lang w:eastAsia="zh-CN"/>
        </w:rPr>
        <w:t>运行维护和二次开发的服务能力。</w:t>
      </w:r>
    </w:p>
    <w:p w14:paraId="00A8F526">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）报价产品或服务必须是符合国家技术规范和质量标准的合格产品和服务，能满足采购单位的使用需求，并具有可靠的售后服务体系，质量可靠、使用安全。</w:t>
      </w:r>
    </w:p>
    <w:p w14:paraId="3339A0AC">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）供应商须保证其提供的产品和服务均为具有合法版权或使用权的正版软件和服务。</w:t>
      </w:r>
    </w:p>
    <w:p w14:paraId="142667C3">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）报价人应充分理解并明确响应本项目中采购单位的建设需求，不允许片面响应或故意曲解项目建设内容，不允许妨害采购单位的设备、应用及数据接口的功能完整性，否则将视为无效报价。</w:t>
      </w:r>
    </w:p>
    <w:p w14:paraId="5807EEBC">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rPr>
        <w:t>）本次询价无论最终报价结果，都将不作为本项目最终采购定价，只作为本单位对该项目后期采购的价格参考，同时本单位保留后期在实际采购中修改调整采购商品和服务相关参数及要求的权利。</w:t>
      </w:r>
    </w:p>
    <w:p w14:paraId="1EC45520">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供应商应自行踏勘现场。供应商应对勘察中获取的现场资料负责。无论供应商是否勘察过现场，均认为在递交投标响应文件之前已勘察过现场，对本项目的风险和义务十分了解，并在其投标响应文件中充分考虑绿的现场和环境条件。</w:t>
      </w:r>
    </w:p>
    <w:p w14:paraId="32F1F296">
      <w:pPr>
        <w:rPr>
          <w:rFonts w:hint="eastAsia" w:ascii="方正黑体_GBK" w:eastAsia="方正黑体_GBK"/>
          <w:sz w:val="32"/>
          <w:szCs w:val="32"/>
        </w:rPr>
      </w:pPr>
      <w:r>
        <w:rPr>
          <w:rFonts w:hint="eastAsia" w:ascii="方正黑体_GBK" w:eastAsia="方正黑体_GBK"/>
          <w:sz w:val="32"/>
          <w:szCs w:val="32"/>
        </w:rPr>
        <w:br w:type="page"/>
      </w:r>
    </w:p>
    <w:p w14:paraId="778893E3">
      <w:pPr>
        <w:spacing w:line="570" w:lineRule="exact"/>
        <w:ind w:firstLine="640" w:firstLineChars="200"/>
        <w:rPr>
          <w:rFonts w:ascii="方正黑体_GBK" w:eastAsia="方正黑体_GBK"/>
          <w:sz w:val="32"/>
          <w:szCs w:val="32"/>
        </w:rPr>
      </w:pPr>
      <w:r>
        <w:rPr>
          <w:rFonts w:hint="eastAsia" w:ascii="方正黑体_GBK" w:eastAsia="方正黑体_GBK"/>
          <w:sz w:val="32"/>
          <w:szCs w:val="32"/>
        </w:rPr>
        <w:t>四、采购清单和技术参数</w:t>
      </w:r>
    </w:p>
    <w:tbl>
      <w:tblPr>
        <w:tblStyle w:val="14"/>
        <w:tblW w:w="962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6"/>
        <w:gridCol w:w="1364"/>
        <w:gridCol w:w="6256"/>
        <w:gridCol w:w="705"/>
        <w:gridCol w:w="640"/>
      </w:tblGrid>
      <w:tr w14:paraId="14C2EB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656" w:type="dxa"/>
            <w:tcBorders>
              <w:top w:val="single" w:color="000000" w:sz="4" w:space="0"/>
              <w:left w:val="single" w:color="000000" w:sz="4" w:space="0"/>
              <w:bottom w:val="single" w:color="000000" w:sz="4" w:space="0"/>
              <w:right w:val="single" w:color="000000" w:sz="4" w:space="0"/>
            </w:tcBorders>
            <w:vAlign w:val="center"/>
          </w:tcPr>
          <w:p w14:paraId="3AC0EA7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b/>
                <w:bCs/>
                <w:color w:val="auto"/>
                <w:sz w:val="21"/>
                <w:szCs w:val="21"/>
                <w:highlight w:val="none"/>
                <w:lang w:val="en-US" w:eastAsia="zh-CN"/>
              </w:rPr>
            </w:pPr>
            <w:r>
              <w:rPr>
                <w:rFonts w:hint="eastAsia" w:ascii="方正仿宋_GBK" w:hAnsi="方正仿宋_GBK" w:eastAsia="方正仿宋_GBK" w:cs="方正仿宋_GBK"/>
                <w:b/>
                <w:bCs/>
                <w:color w:val="auto"/>
                <w:sz w:val="18"/>
                <w:szCs w:val="18"/>
                <w:highlight w:val="none"/>
                <w:lang w:val="en-US" w:eastAsia="zh-CN"/>
              </w:rPr>
              <w:t>序号</w:t>
            </w:r>
          </w:p>
        </w:tc>
        <w:tc>
          <w:tcPr>
            <w:tcW w:w="1364" w:type="dxa"/>
            <w:tcBorders>
              <w:top w:val="single" w:color="000000" w:sz="4" w:space="0"/>
              <w:left w:val="single" w:color="000000" w:sz="4" w:space="0"/>
              <w:bottom w:val="single" w:color="000000" w:sz="4" w:space="0"/>
              <w:right w:val="single" w:color="000000" w:sz="4" w:space="0"/>
            </w:tcBorders>
            <w:vAlign w:val="center"/>
          </w:tcPr>
          <w:p w14:paraId="197A6CC9">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b/>
                <w:bCs/>
                <w:color w:val="auto"/>
                <w:sz w:val="21"/>
                <w:szCs w:val="21"/>
                <w:highlight w:val="none"/>
                <w:lang w:val="en-US" w:eastAsia="zh-CN"/>
              </w:rPr>
            </w:pPr>
            <w:r>
              <w:rPr>
                <w:rFonts w:hint="eastAsia" w:ascii="方正仿宋_GBK" w:hAnsi="方正仿宋_GBK" w:eastAsia="方正仿宋_GBK" w:cs="方正仿宋_GBK"/>
                <w:b/>
                <w:bCs/>
                <w:color w:val="auto"/>
                <w:sz w:val="21"/>
                <w:szCs w:val="21"/>
                <w:highlight w:val="none"/>
                <w:lang w:val="en-US" w:eastAsia="zh-CN"/>
              </w:rPr>
              <w:t>品名</w:t>
            </w:r>
          </w:p>
        </w:tc>
        <w:tc>
          <w:tcPr>
            <w:tcW w:w="6256" w:type="dxa"/>
            <w:tcBorders>
              <w:top w:val="single" w:color="000000" w:sz="4" w:space="0"/>
              <w:left w:val="single" w:color="000000" w:sz="4" w:space="0"/>
              <w:bottom w:val="single" w:color="000000" w:sz="4" w:space="0"/>
              <w:right w:val="single" w:color="000000" w:sz="4" w:space="0"/>
            </w:tcBorders>
            <w:vAlign w:val="center"/>
          </w:tcPr>
          <w:p w14:paraId="780CE418">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方正仿宋_GBK" w:hAnsi="方正仿宋_GBK" w:eastAsia="方正仿宋_GBK" w:cs="方正仿宋_GBK"/>
                <w:b/>
                <w:bCs/>
                <w:color w:val="auto"/>
                <w:sz w:val="21"/>
                <w:szCs w:val="21"/>
                <w:highlight w:val="none"/>
                <w:lang w:val="en-US" w:eastAsia="zh-CN"/>
              </w:rPr>
            </w:pPr>
            <w:r>
              <w:rPr>
                <w:rFonts w:hint="eastAsia" w:ascii="方正仿宋_GBK" w:hAnsi="方正仿宋_GBK" w:eastAsia="方正仿宋_GBK" w:cs="方正仿宋_GBK"/>
                <w:b/>
                <w:bCs/>
                <w:color w:val="auto"/>
                <w:sz w:val="21"/>
                <w:szCs w:val="21"/>
                <w:highlight w:val="none"/>
                <w:lang w:val="en-US" w:eastAsia="zh-CN"/>
              </w:rPr>
              <w:t>参数及要</w:t>
            </w:r>
          </w:p>
        </w:tc>
        <w:tc>
          <w:tcPr>
            <w:tcW w:w="705" w:type="dxa"/>
            <w:tcBorders>
              <w:top w:val="single" w:color="000000" w:sz="4" w:space="0"/>
              <w:left w:val="single" w:color="000000" w:sz="4" w:space="0"/>
              <w:bottom w:val="single" w:color="000000" w:sz="4" w:space="0"/>
              <w:right w:val="single" w:color="000000" w:sz="4" w:space="0"/>
            </w:tcBorders>
            <w:vAlign w:val="center"/>
          </w:tcPr>
          <w:p w14:paraId="4AB0364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b/>
                <w:bCs/>
                <w:color w:val="auto"/>
                <w:sz w:val="21"/>
                <w:szCs w:val="21"/>
                <w:highlight w:val="none"/>
                <w:lang w:val="en-US" w:eastAsia="zh-CN"/>
              </w:rPr>
            </w:pPr>
            <w:r>
              <w:rPr>
                <w:rFonts w:hint="eastAsia" w:ascii="方正仿宋_GBK" w:hAnsi="方正仿宋_GBK" w:eastAsia="方正仿宋_GBK" w:cs="方正仿宋_GBK"/>
                <w:b/>
                <w:bCs/>
                <w:color w:val="auto"/>
                <w:sz w:val="21"/>
                <w:szCs w:val="21"/>
                <w:highlight w:val="none"/>
                <w:lang w:val="en-US" w:eastAsia="zh-CN"/>
              </w:rPr>
              <w:t>数量</w:t>
            </w:r>
          </w:p>
        </w:tc>
        <w:tc>
          <w:tcPr>
            <w:tcW w:w="640" w:type="dxa"/>
            <w:tcBorders>
              <w:top w:val="single" w:color="000000" w:sz="4" w:space="0"/>
              <w:left w:val="single" w:color="000000" w:sz="4" w:space="0"/>
              <w:bottom w:val="single" w:color="000000" w:sz="4" w:space="0"/>
              <w:right w:val="single" w:color="000000" w:sz="4" w:space="0"/>
            </w:tcBorders>
            <w:vAlign w:val="center"/>
          </w:tcPr>
          <w:p w14:paraId="4D54351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b/>
                <w:bCs/>
                <w:color w:val="auto"/>
                <w:sz w:val="21"/>
                <w:szCs w:val="21"/>
                <w:highlight w:val="none"/>
                <w:lang w:val="en-US" w:eastAsia="zh-CN"/>
              </w:rPr>
            </w:pPr>
            <w:r>
              <w:rPr>
                <w:rFonts w:hint="eastAsia" w:ascii="方正仿宋_GBK" w:hAnsi="方正仿宋_GBK" w:eastAsia="方正仿宋_GBK" w:cs="方正仿宋_GBK"/>
                <w:b/>
                <w:bCs/>
                <w:color w:val="auto"/>
                <w:sz w:val="21"/>
                <w:szCs w:val="21"/>
                <w:highlight w:val="none"/>
                <w:lang w:val="en-US" w:eastAsia="zh-CN"/>
              </w:rPr>
              <w:t>备注</w:t>
            </w:r>
          </w:p>
        </w:tc>
      </w:tr>
      <w:tr w14:paraId="20A467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0" w:hRule="atLeast"/>
          <w:jc w:val="center"/>
        </w:trPr>
        <w:tc>
          <w:tcPr>
            <w:tcW w:w="656" w:type="dxa"/>
            <w:tcBorders>
              <w:top w:val="single" w:color="000000" w:sz="4" w:space="0"/>
              <w:left w:val="single" w:color="000000" w:sz="4" w:space="0"/>
              <w:bottom w:val="single" w:color="000000" w:sz="4" w:space="0"/>
              <w:right w:val="single" w:color="000000" w:sz="4" w:space="0"/>
            </w:tcBorders>
            <w:vAlign w:val="center"/>
          </w:tcPr>
          <w:p w14:paraId="5AA931A6">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default"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1</w:t>
            </w:r>
          </w:p>
        </w:tc>
        <w:tc>
          <w:tcPr>
            <w:tcW w:w="1364" w:type="dxa"/>
            <w:tcBorders>
              <w:top w:val="single" w:color="000000" w:sz="4" w:space="0"/>
              <w:left w:val="single" w:color="000000" w:sz="4" w:space="0"/>
              <w:bottom w:val="single" w:color="000000" w:sz="4" w:space="0"/>
              <w:right w:val="single" w:color="000000" w:sz="4" w:space="0"/>
            </w:tcBorders>
            <w:vAlign w:val="center"/>
          </w:tcPr>
          <w:p w14:paraId="4FF7E601">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default" w:ascii="方正仿宋_GBK" w:hAnsi="方正仿宋_GBK" w:eastAsia="方正仿宋_GBK" w:cs="方正仿宋_GBK"/>
                <w:color w:val="auto"/>
                <w:sz w:val="24"/>
                <w:szCs w:val="24"/>
                <w:highlight w:val="none"/>
                <w:lang w:val="en-US" w:eastAsia="zh-CN"/>
              </w:rPr>
            </w:pPr>
            <w:r>
              <w:rPr>
                <w:rFonts w:hint="default" w:ascii="方正仿宋_GBK" w:hAnsi="方正仿宋_GBK" w:eastAsia="方正仿宋_GBK" w:cs="方正仿宋_GBK"/>
                <w:color w:val="auto"/>
                <w:sz w:val="24"/>
                <w:szCs w:val="24"/>
                <w:highlight w:val="none"/>
                <w:lang w:val="en-US" w:eastAsia="zh-CN"/>
              </w:rPr>
              <w:t>文旅驿站服务点运行维护</w:t>
            </w:r>
          </w:p>
        </w:tc>
        <w:tc>
          <w:tcPr>
            <w:tcW w:w="6256" w:type="dxa"/>
            <w:tcBorders>
              <w:top w:val="single" w:color="000000" w:sz="4" w:space="0"/>
              <w:left w:val="single" w:color="000000" w:sz="4" w:space="0"/>
              <w:bottom w:val="single" w:color="000000" w:sz="4" w:space="0"/>
              <w:right w:val="single" w:color="000000" w:sz="4" w:space="0"/>
            </w:tcBorders>
            <w:vAlign w:val="center"/>
          </w:tcPr>
          <w:p w14:paraId="4D9F3BF8">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1、供应商负责对系统的运维服务包括构成系统的所有硬件、网络、应用软件等的维护、维修、更换故障设备和产品升级，并负责对每个文旅驿站的图书上下架管理，并确保设备稳定运行及维护。</w:t>
            </w:r>
          </w:p>
          <w:p w14:paraId="11BEB07F">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2、供应商保证每季度一次上门回访、检修，为用户的设备进行定期的现场检查，及时发现设备运行中出现的隐患，通过系统调整等手段，减少设备发生故障的概率，保证设备稳定、高效运行。</w:t>
            </w:r>
          </w:p>
          <w:p w14:paraId="43E0C3ED">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3、供应商应指定专人负责售后服务并提供电话，提供7*24小时技术支持服务，并保证在最短时间内恢复系统正常运行。</w:t>
            </w:r>
          </w:p>
          <w:p w14:paraId="4DD2D0E1">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4、供应商应保证采购人遇到使用及技术问题，电话咨询不能解决的，供应商应在30分钟内响应，2个小时内到达现场（远郊区4小时内到达现场）进行处理，24小时内完成维修或更换，并承担维修或更换的所有费用确保产品正常工作；当时不能解决的，在得到用户同意后24小时以内为用户免费提供与产品功能相近的备用机，以便采购人能够正常使用。</w:t>
            </w:r>
          </w:p>
          <w:p w14:paraId="213FF8C8">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5、供应商应提供设备产品技术升级服务，涉及到产品技术升级供应商应及时通知采购人，如采购人有相应要求，供应商和制造商应针对采购人购买的产品进行升级服务。</w:t>
            </w:r>
          </w:p>
          <w:p w14:paraId="4C146DA5">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6、供应商每季应对设备及安装点进行巡检，并填写巡检记录表，对可能影响设备正常运行的情况要及时处理，防止因意外中断等情况造成设备中断使用。</w:t>
            </w:r>
          </w:p>
          <w:p w14:paraId="5818116A">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7、供应商每季度对设备及其系统进行一次保养性维护，包括设备除尘、排除故障隐患等，并填写设备养护记录表，以确认所有设备及系统工作正常。</w:t>
            </w:r>
          </w:p>
          <w:p w14:paraId="211B8F54">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8、供应商每周对设备系统进行随机抽查，对系统的运行情况进行检测，并填写记录表。</w:t>
            </w:r>
          </w:p>
          <w:p w14:paraId="25C55C9F">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9、供应商建立完备的资料库，包括设备的基本资料、装机地址、应用特性以及用户配置等，将资料提交给采购人。一旦资料进行了版本更新，应在3天内向采购人提供最新版本的资料。</w:t>
            </w:r>
          </w:p>
          <w:p w14:paraId="57A6DEDE">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10、供应商提供设备内嵌软件、产品操作系统、应用软件的升级服务，</w:t>
            </w:r>
            <w:r>
              <w:rPr>
                <w:rFonts w:hint="default" w:ascii="方正仿宋_GBK" w:hAnsi="方正仿宋_GBK" w:eastAsia="方正仿宋_GBK" w:cs="方正仿宋_GBK"/>
                <w:color w:val="000000"/>
                <w:sz w:val="21"/>
                <w:szCs w:val="21"/>
                <w:lang w:val="en-US" w:eastAsia="zh-CN"/>
              </w:rPr>
              <w:t>根据采购人要求提供图书上架下架服务。</w:t>
            </w:r>
            <w:r>
              <w:rPr>
                <w:rFonts w:hint="eastAsia" w:ascii="方正仿宋_GBK" w:hAnsi="方正仿宋_GBK" w:eastAsia="方正仿宋_GBK" w:cs="方正仿宋_GBK"/>
                <w:color w:val="000000"/>
                <w:sz w:val="21"/>
                <w:szCs w:val="21"/>
                <w:lang w:val="en-US" w:eastAsia="zh-CN"/>
              </w:rPr>
              <w:t>。</w:t>
            </w:r>
          </w:p>
          <w:p w14:paraId="6DE46263">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11、供应商根据运行情况定期提供系统优化、使用优化和管理优化建议，确保系统以最优状态运行。</w:t>
            </w:r>
          </w:p>
          <w:p w14:paraId="1DDF319A">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12、对6台设备进行升级改造，改造内容为增加：社保卡读卡器，改后</w:t>
            </w:r>
            <w:r>
              <w:rPr>
                <w:rFonts w:hint="eastAsia" w:ascii="方正仿宋_GBK" w:hAnsi="方正仿宋_GBK" w:eastAsia="方正仿宋_GBK" w:cs="方正仿宋_GBK"/>
                <w:color w:val="000000"/>
                <w:sz w:val="21"/>
                <w:szCs w:val="21"/>
                <w:lang w:val="zh-CN" w:eastAsia="zh-CN"/>
              </w:rPr>
              <w:t>支持对接重庆市社保卡、电子社保卡，</w:t>
            </w:r>
            <w:r>
              <w:rPr>
                <w:rFonts w:hint="eastAsia" w:ascii="方正仿宋_GBK" w:hAnsi="方正仿宋_GBK" w:eastAsia="方正仿宋_GBK" w:cs="方正仿宋_GBK"/>
                <w:color w:val="000000"/>
                <w:sz w:val="21"/>
                <w:szCs w:val="21"/>
                <w:lang w:val="en-US" w:eastAsia="zh-CN"/>
              </w:rPr>
              <w:t>支持刷社保卡和电子社保卡进行借阅，开柜后取书关门结算借阅图书，可同时取出与放入图书。硬件配置：中央处理器：</w:t>
            </w:r>
            <w:r>
              <w:rPr>
                <w:rFonts w:hint="default" w:ascii="方正仿宋_GBK" w:hAnsi="方正仿宋_GBK" w:eastAsia="方正仿宋_GBK" w:cs="方正仿宋_GBK"/>
                <w:color w:val="000000"/>
                <w:sz w:val="21"/>
                <w:szCs w:val="21"/>
                <w:lang w:val="en-US" w:eastAsia="zh-CN"/>
              </w:rPr>
              <w:t>≥</w:t>
            </w:r>
            <w:r>
              <w:rPr>
                <w:rFonts w:hint="eastAsia" w:ascii="方正仿宋_GBK" w:hAnsi="方正仿宋_GBK" w:eastAsia="方正仿宋_GBK" w:cs="方正仿宋_GBK"/>
                <w:color w:val="000000"/>
                <w:sz w:val="21"/>
                <w:szCs w:val="21"/>
                <w:lang w:val="en-US" w:eastAsia="zh-CN"/>
              </w:rPr>
              <w:t>32 CPU，具有指 示 灯，配备蜂呜器；通信接口：支持USB接口通讯或RS232串口通讯；非接触卡：支持符合IS0 14443 Type A/B Mifare 的标准非接触卡型最大读卡距离不小于 5cm。</w:t>
            </w:r>
          </w:p>
          <w:p w14:paraId="568F4530">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zh-CN" w:eastAsia="zh-CN"/>
              </w:rPr>
            </w:pPr>
            <w:r>
              <w:rPr>
                <w:rFonts w:hint="eastAsia" w:ascii="方正仿宋_GBK" w:hAnsi="方正仿宋_GBK" w:eastAsia="方正仿宋_GBK" w:cs="方正仿宋_GBK"/>
                <w:color w:val="000000"/>
                <w:sz w:val="21"/>
                <w:szCs w:val="21"/>
                <w:lang w:val="en-US" w:eastAsia="zh-CN"/>
              </w:rPr>
              <w:t>13、系统中须提供有声资源，通过扫码实现在线听书。</w:t>
            </w:r>
          </w:p>
          <w:p w14:paraId="7517E413">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zh-CN" w:eastAsia="zh-CN"/>
              </w:rPr>
              <w:t>（</w:t>
            </w:r>
            <w:r>
              <w:rPr>
                <w:rFonts w:hint="eastAsia" w:ascii="方正仿宋_GBK" w:hAnsi="方正仿宋_GBK" w:eastAsia="方正仿宋_GBK" w:cs="方正仿宋_GBK"/>
                <w:color w:val="000000"/>
                <w:sz w:val="21"/>
                <w:szCs w:val="21"/>
                <w:lang w:val="en-US" w:eastAsia="zh-CN"/>
              </w:rPr>
              <w:t>1</w:t>
            </w:r>
            <w:r>
              <w:rPr>
                <w:rFonts w:hint="eastAsia" w:ascii="方正仿宋_GBK" w:hAnsi="方正仿宋_GBK" w:eastAsia="方正仿宋_GBK" w:cs="方正仿宋_GBK"/>
                <w:color w:val="000000"/>
                <w:sz w:val="21"/>
                <w:szCs w:val="21"/>
                <w:lang w:val="zh-CN" w:eastAsia="zh-CN"/>
              </w:rPr>
              <w:t>）</w:t>
            </w:r>
            <w:r>
              <w:rPr>
                <w:rFonts w:hint="eastAsia" w:ascii="方正仿宋_GBK" w:hAnsi="方正仿宋_GBK" w:eastAsia="方正仿宋_GBK" w:cs="方正仿宋_GBK"/>
                <w:color w:val="000000"/>
                <w:sz w:val="21"/>
                <w:szCs w:val="21"/>
                <w:lang w:val="en-US" w:eastAsia="zh-CN"/>
              </w:rPr>
              <w:t>有声资源总量≥17万集</w:t>
            </w:r>
            <w:r>
              <w:rPr>
                <w:rFonts w:hint="eastAsia" w:ascii="方正仿宋_GBK" w:hAnsi="方正仿宋_GBK" w:eastAsia="方正仿宋_GBK" w:cs="方正仿宋_GBK"/>
                <w:color w:val="000000"/>
                <w:sz w:val="21"/>
                <w:szCs w:val="21"/>
                <w:lang w:val="zh-CN" w:eastAsia="zh-CN"/>
              </w:rPr>
              <w:t>、电子书不少于</w:t>
            </w:r>
            <w:r>
              <w:rPr>
                <w:rFonts w:hint="eastAsia" w:ascii="方正仿宋_GBK" w:hAnsi="方正仿宋_GBK" w:eastAsia="方正仿宋_GBK" w:cs="方正仿宋_GBK"/>
                <w:color w:val="000000"/>
                <w:sz w:val="21"/>
                <w:szCs w:val="21"/>
                <w:lang w:val="en-US" w:eastAsia="zh-CN"/>
              </w:rPr>
              <w:t>10000册、期刊不少于300种，上述资源均为正版资源，且不存在版权纠纷。（供应商需提供承诺函并加盖鲜章，格式自拟）。</w:t>
            </w:r>
          </w:p>
          <w:p w14:paraId="638B0F2F">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zh-CN" w:eastAsia="zh-CN"/>
              </w:rPr>
            </w:pPr>
            <w:r>
              <w:rPr>
                <w:rFonts w:hint="eastAsia" w:ascii="方正仿宋_GBK" w:hAnsi="方正仿宋_GBK" w:eastAsia="方正仿宋_GBK" w:cs="方正仿宋_GBK"/>
                <w:color w:val="000000"/>
                <w:sz w:val="21"/>
                <w:szCs w:val="21"/>
                <w:lang w:val="zh-CN" w:eastAsia="zh-CN"/>
              </w:rPr>
              <w:t>（</w:t>
            </w:r>
            <w:r>
              <w:rPr>
                <w:rFonts w:hint="eastAsia" w:ascii="方正仿宋_GBK" w:hAnsi="方正仿宋_GBK" w:eastAsia="方正仿宋_GBK" w:cs="方正仿宋_GBK"/>
                <w:color w:val="000000"/>
                <w:sz w:val="21"/>
                <w:szCs w:val="21"/>
                <w:lang w:val="en-US" w:eastAsia="zh-CN"/>
              </w:rPr>
              <w:t>2</w:t>
            </w:r>
            <w:r>
              <w:rPr>
                <w:rFonts w:hint="eastAsia" w:ascii="方正仿宋_GBK" w:hAnsi="方正仿宋_GBK" w:eastAsia="方正仿宋_GBK" w:cs="方正仿宋_GBK"/>
                <w:color w:val="000000"/>
                <w:sz w:val="21"/>
                <w:szCs w:val="21"/>
                <w:lang w:val="zh-CN" w:eastAsia="zh-CN"/>
              </w:rPr>
              <w:t>）有声资源包含：中国文学、外国文学、散文诗歌、人物传记、百科知识、亲子教育、哲学思想、法律普及、中国历史、党建学习等种类。</w:t>
            </w:r>
          </w:p>
          <w:p w14:paraId="6BF6B636">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zh-CN" w:eastAsia="zh-CN"/>
              </w:rPr>
              <w:t>（</w:t>
            </w:r>
            <w:r>
              <w:rPr>
                <w:rFonts w:hint="eastAsia" w:ascii="方正仿宋_GBK" w:hAnsi="方正仿宋_GBK" w:eastAsia="方正仿宋_GBK" w:cs="方正仿宋_GBK"/>
                <w:color w:val="000000"/>
                <w:sz w:val="21"/>
                <w:szCs w:val="21"/>
                <w:lang w:val="en-US" w:eastAsia="zh-CN"/>
              </w:rPr>
              <w:t>3</w:t>
            </w:r>
            <w:r>
              <w:rPr>
                <w:rFonts w:hint="eastAsia" w:ascii="方正仿宋_GBK" w:hAnsi="方正仿宋_GBK" w:eastAsia="方正仿宋_GBK" w:cs="方正仿宋_GBK"/>
                <w:color w:val="000000"/>
                <w:sz w:val="21"/>
                <w:szCs w:val="21"/>
                <w:lang w:val="zh-CN" w:eastAsia="zh-CN"/>
              </w:rPr>
              <w:t>）后台支持运营管理，包括积分任务、热门搜索、听书专辑等</w:t>
            </w:r>
            <w:r>
              <w:rPr>
                <w:rFonts w:hint="eastAsia" w:ascii="方正仿宋_GBK" w:hAnsi="方正仿宋_GBK" w:eastAsia="方正仿宋_GBK" w:cs="方正仿宋_GBK"/>
                <w:color w:val="000000"/>
                <w:sz w:val="21"/>
                <w:szCs w:val="21"/>
                <w:lang w:val="en-US" w:eastAsia="zh-CN"/>
              </w:rPr>
              <w:t>；</w:t>
            </w:r>
            <w:r>
              <w:rPr>
                <w:rFonts w:hint="eastAsia" w:ascii="方正仿宋_GBK" w:hAnsi="方正仿宋_GBK" w:eastAsia="方正仿宋_GBK" w:cs="方正仿宋_GBK"/>
                <w:color w:val="000000"/>
                <w:sz w:val="21"/>
                <w:szCs w:val="21"/>
                <w:lang w:val="zh-CN" w:eastAsia="zh-CN"/>
              </w:rPr>
              <w:t>支持</w:t>
            </w:r>
            <w:r>
              <w:rPr>
                <w:rFonts w:hint="eastAsia" w:ascii="方正仿宋_GBK" w:hAnsi="方正仿宋_GBK" w:eastAsia="方正仿宋_GBK" w:cs="方正仿宋_GBK"/>
                <w:color w:val="000000"/>
                <w:sz w:val="21"/>
                <w:szCs w:val="21"/>
                <w:lang w:val="en-US" w:eastAsia="zh-CN"/>
              </w:rPr>
              <w:t>资源管理，包括资源商、标签管理、分类管理等。（供应商须提供国家认可的第三方检测机构出具的检测报告复印件进行佐证）</w:t>
            </w:r>
          </w:p>
          <w:p w14:paraId="02BBEFE0">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14、改造后的设备支持提供智能助手服务</w:t>
            </w:r>
          </w:p>
          <w:p w14:paraId="043D0937">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（1）支持扫码在移动端实现可视化语音及图像交互服务，通过虚拟的智能助手对用户提出的问题进行智能化回答和处理；支持语音介绍图书的借阅操作方式。</w:t>
            </w:r>
          </w:p>
          <w:p w14:paraId="183F0387">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（2）支持根据问答库设置内容进行标准回复，针对没有设置问答库的问题或者知识库内没有的问题，支持调用AI大模型进行智能回答；回复形式包括但不限于文本、图文、图片、音频、视频、网页链接、列表等</w:t>
            </w:r>
            <w:r>
              <w:rPr>
                <w:rFonts w:hint="eastAsia" w:ascii="方正仿宋_GBK" w:hAnsi="方正仿宋_GBK" w:eastAsia="方正仿宋_GBK" w:cs="方正仿宋_GBK"/>
                <w:color w:val="000000"/>
                <w:sz w:val="21"/>
                <w:szCs w:val="21"/>
                <w:lang w:val="zh-CN" w:eastAsia="zh-CN"/>
              </w:rPr>
              <w:t>。</w:t>
            </w:r>
          </w:p>
          <w:p w14:paraId="57877192">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default"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3）调用大模型的AI智能语义性能优越度各能力项测评分值不低于5分(包含：词法分析、句法分析、语义分析、语义消歧、对话系统等）；AI智能视觉性能优越度各能力项测评分值不低于5分（包含：智能视觉功能丰富度、OCR、图片生成、目标检测、语义分割等）。（供应商须提供国家认可的第三方检测机构出具的检测报告复印件进行佐证）</w:t>
            </w:r>
          </w:p>
        </w:tc>
        <w:tc>
          <w:tcPr>
            <w:tcW w:w="705" w:type="dxa"/>
            <w:tcBorders>
              <w:top w:val="single" w:color="000000" w:sz="4" w:space="0"/>
              <w:left w:val="single" w:color="000000" w:sz="4" w:space="0"/>
              <w:bottom w:val="single" w:color="000000" w:sz="4" w:space="0"/>
              <w:right w:val="single" w:color="000000" w:sz="4" w:space="0"/>
            </w:tcBorders>
            <w:vAlign w:val="center"/>
          </w:tcPr>
          <w:p w14:paraId="56BED2EB">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default"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1套</w:t>
            </w:r>
          </w:p>
        </w:tc>
        <w:tc>
          <w:tcPr>
            <w:tcW w:w="640" w:type="dxa"/>
            <w:tcBorders>
              <w:top w:val="single" w:color="000000" w:sz="4" w:space="0"/>
              <w:left w:val="single" w:color="000000" w:sz="4" w:space="0"/>
              <w:bottom w:val="single" w:color="000000" w:sz="4" w:space="0"/>
              <w:right w:val="single" w:color="000000" w:sz="4" w:space="0"/>
            </w:tcBorders>
            <w:vAlign w:val="center"/>
          </w:tcPr>
          <w:p w14:paraId="76359375">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default"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无</w:t>
            </w:r>
          </w:p>
        </w:tc>
      </w:tr>
      <w:tr w14:paraId="18A8CE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0" w:hRule="atLeast"/>
          <w:jc w:val="center"/>
        </w:trPr>
        <w:tc>
          <w:tcPr>
            <w:tcW w:w="656" w:type="dxa"/>
            <w:tcBorders>
              <w:top w:val="single" w:color="000000" w:sz="4" w:space="0"/>
              <w:left w:val="single" w:color="000000" w:sz="4" w:space="0"/>
              <w:bottom w:val="single" w:color="000000" w:sz="4" w:space="0"/>
              <w:right w:val="single" w:color="000000" w:sz="4" w:space="0"/>
            </w:tcBorders>
            <w:vAlign w:val="center"/>
          </w:tcPr>
          <w:p w14:paraId="74073A4D">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default"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2</w:t>
            </w:r>
          </w:p>
        </w:tc>
        <w:tc>
          <w:tcPr>
            <w:tcW w:w="1364" w:type="dxa"/>
            <w:tcBorders>
              <w:top w:val="single" w:color="000000" w:sz="4" w:space="0"/>
              <w:left w:val="single" w:color="000000" w:sz="4" w:space="0"/>
              <w:bottom w:val="single" w:color="000000" w:sz="4" w:space="0"/>
              <w:right w:val="single" w:color="000000" w:sz="4" w:space="0"/>
            </w:tcBorders>
            <w:vAlign w:val="center"/>
          </w:tcPr>
          <w:p w14:paraId="6B6BAE7F">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default" w:ascii="方正仿宋_GBK" w:hAnsi="方正仿宋_GBK" w:eastAsia="方正仿宋_GBK" w:cs="方正仿宋_GBK"/>
                <w:color w:val="auto"/>
                <w:sz w:val="24"/>
                <w:szCs w:val="24"/>
                <w:highlight w:val="none"/>
                <w:lang w:val="en-US" w:eastAsia="zh-CN"/>
              </w:rPr>
            </w:pPr>
            <w:r>
              <w:rPr>
                <w:rFonts w:hint="default" w:ascii="方正仿宋_GBK" w:hAnsi="方正仿宋_GBK" w:eastAsia="方正仿宋_GBK" w:cs="方正仿宋_GBK"/>
                <w:color w:val="auto"/>
                <w:sz w:val="24"/>
                <w:szCs w:val="24"/>
                <w:highlight w:val="none"/>
                <w:lang w:val="en-US" w:eastAsia="zh-CN"/>
              </w:rPr>
              <w:t>业务系统运</w:t>
            </w:r>
            <w:r>
              <w:rPr>
                <w:rFonts w:hint="eastAsia" w:ascii="方正仿宋_GBK" w:hAnsi="方正仿宋_GBK" w:eastAsia="方正仿宋_GBK" w:cs="方正仿宋_GBK"/>
                <w:color w:val="auto"/>
                <w:sz w:val="24"/>
                <w:szCs w:val="24"/>
                <w:highlight w:val="none"/>
                <w:lang w:val="en-US" w:eastAsia="zh-CN"/>
              </w:rPr>
              <w:t>维</w:t>
            </w:r>
            <w:r>
              <w:rPr>
                <w:rFonts w:hint="default" w:ascii="方正仿宋_GBK" w:hAnsi="方正仿宋_GBK" w:eastAsia="方正仿宋_GBK" w:cs="方正仿宋_GBK"/>
                <w:color w:val="auto"/>
                <w:sz w:val="24"/>
                <w:szCs w:val="24"/>
                <w:highlight w:val="none"/>
                <w:lang w:val="en-US" w:eastAsia="zh-CN"/>
              </w:rPr>
              <w:t>管理</w:t>
            </w:r>
          </w:p>
        </w:tc>
        <w:tc>
          <w:tcPr>
            <w:tcW w:w="6256" w:type="dxa"/>
            <w:tcBorders>
              <w:top w:val="single" w:color="000000" w:sz="4" w:space="0"/>
              <w:left w:val="single" w:color="000000" w:sz="4" w:space="0"/>
              <w:bottom w:val="single" w:color="000000" w:sz="4" w:space="0"/>
              <w:right w:val="single" w:color="000000" w:sz="4" w:space="0"/>
            </w:tcBorders>
            <w:vAlign w:val="center"/>
          </w:tcPr>
          <w:p w14:paraId="39ED6456">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1、为采购人提供业务管理系统日常运行维护管理，保障本地分中心系统与全市云中心数据交互和应用系统安全稳定。</w:t>
            </w:r>
          </w:p>
          <w:p w14:paraId="1BF4A189">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2、按照采购人业务工作要求，针对对业务管理系统中期刊、流通、典藏、编目、采访模块进行功能优化和完善。</w:t>
            </w:r>
          </w:p>
          <w:p w14:paraId="3F7F1E48">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3、制定本地分中心业务管理运行信息安全应急预案。</w:t>
            </w:r>
          </w:p>
          <w:p w14:paraId="20E374D1">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default"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4、为采购人新扩展系统提供业务数据和应用支撑，包括不限于新增馆藏地、提供API数据接口对接服务。</w:t>
            </w:r>
          </w:p>
          <w:p w14:paraId="3638D9D8">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5、及时处理网信、公安或第三方监测机构发布的安全整改通报事项，普通问题1小时内响应，复杂问题处理不得超过2天，特殊问题协商处理。</w:t>
            </w:r>
          </w:p>
          <w:p w14:paraId="63F56E0F">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6、通过邮件、电话、线上交流等渠道，为采购人提供7*24小时系统运行维护和技术支撑服务。</w:t>
            </w:r>
          </w:p>
          <w:p w14:paraId="6AD622A9">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7、负责7*24小时应用系统安全运行监控，发现漏洞、篡改和挂马等被攻击情况及时处置，报采购人审核，如需报告则形成整改报告。</w:t>
            </w:r>
          </w:p>
          <w:p w14:paraId="6DBA1E5F">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default"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8、协助采购人制定和完善业务系统运行维护报告制度、数据备份恢复测试制度、系统管理制度。</w:t>
            </w:r>
          </w:p>
        </w:tc>
        <w:tc>
          <w:tcPr>
            <w:tcW w:w="705" w:type="dxa"/>
            <w:tcBorders>
              <w:top w:val="single" w:color="000000" w:sz="4" w:space="0"/>
              <w:left w:val="single" w:color="000000" w:sz="4" w:space="0"/>
              <w:bottom w:val="single" w:color="000000" w:sz="4" w:space="0"/>
              <w:right w:val="single" w:color="000000" w:sz="4" w:space="0"/>
            </w:tcBorders>
            <w:vAlign w:val="center"/>
          </w:tcPr>
          <w:p w14:paraId="7AA270CC">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default"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1套</w:t>
            </w:r>
          </w:p>
        </w:tc>
        <w:tc>
          <w:tcPr>
            <w:tcW w:w="640" w:type="dxa"/>
            <w:tcBorders>
              <w:top w:val="single" w:color="000000" w:sz="4" w:space="0"/>
              <w:left w:val="single" w:color="000000" w:sz="4" w:space="0"/>
              <w:bottom w:val="single" w:color="000000" w:sz="4" w:space="0"/>
              <w:right w:val="single" w:color="000000" w:sz="4" w:space="0"/>
            </w:tcBorders>
            <w:vAlign w:val="center"/>
          </w:tcPr>
          <w:p w14:paraId="3AA8C884">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无</w:t>
            </w:r>
          </w:p>
        </w:tc>
      </w:tr>
      <w:tr w14:paraId="116A72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5" w:hRule="atLeast"/>
          <w:jc w:val="center"/>
        </w:trPr>
        <w:tc>
          <w:tcPr>
            <w:tcW w:w="656" w:type="dxa"/>
            <w:tcBorders>
              <w:top w:val="single" w:color="000000" w:sz="4" w:space="0"/>
              <w:left w:val="single" w:color="000000" w:sz="4" w:space="0"/>
              <w:bottom w:val="single" w:color="000000" w:sz="4" w:space="0"/>
              <w:right w:val="single" w:color="000000" w:sz="4" w:space="0"/>
            </w:tcBorders>
            <w:vAlign w:val="center"/>
          </w:tcPr>
          <w:p w14:paraId="6928E0C8">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default"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3</w:t>
            </w:r>
          </w:p>
        </w:tc>
        <w:tc>
          <w:tcPr>
            <w:tcW w:w="1364" w:type="dxa"/>
            <w:tcBorders>
              <w:top w:val="single" w:color="000000" w:sz="4" w:space="0"/>
              <w:left w:val="single" w:color="000000" w:sz="4" w:space="0"/>
              <w:bottom w:val="single" w:color="000000" w:sz="4" w:space="0"/>
              <w:right w:val="single" w:color="000000" w:sz="4" w:space="0"/>
            </w:tcBorders>
            <w:vAlign w:val="center"/>
          </w:tcPr>
          <w:p w14:paraId="2BA9793D">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售后支持</w:t>
            </w:r>
          </w:p>
        </w:tc>
        <w:tc>
          <w:tcPr>
            <w:tcW w:w="6256" w:type="dxa"/>
            <w:tcBorders>
              <w:top w:val="single" w:color="000000" w:sz="4" w:space="0"/>
              <w:left w:val="single" w:color="000000" w:sz="4" w:space="0"/>
              <w:bottom w:val="single" w:color="000000" w:sz="4" w:space="0"/>
              <w:right w:val="single" w:color="000000" w:sz="4" w:space="0"/>
            </w:tcBorders>
            <w:vAlign w:val="center"/>
          </w:tcPr>
          <w:p w14:paraId="1CC5D0F6">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1、技术服务：自合同签订之日起至服务期完，按照采购人实际服务需要，免费为采购人提供文旅驿站智能图书借阅柜提供系统定制升级技术服务。</w:t>
            </w:r>
          </w:p>
          <w:p w14:paraId="10C3FD47">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2、售后支持：对平台bug、运行故障等，提供免费升级服务，包括现场支持、电话支持、远程支持等。</w:t>
            </w:r>
          </w:p>
          <w:p w14:paraId="7A3A3C22">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both"/>
              <w:textAlignment w:val="auto"/>
              <w:rPr>
                <w:rFonts w:hint="default" w:ascii="方正仿宋_GBK" w:hAnsi="方正仿宋_GBK" w:eastAsia="方正仿宋_GBK" w:cs="方正仿宋_GBK"/>
                <w:color w:val="000000"/>
                <w:sz w:val="21"/>
                <w:szCs w:val="21"/>
                <w:lang w:val="en-US" w:eastAsia="zh-CN"/>
              </w:rPr>
            </w:pPr>
            <w:r>
              <w:rPr>
                <w:rFonts w:hint="eastAsia" w:ascii="方正仿宋_GBK" w:hAnsi="方正仿宋_GBK" w:eastAsia="方正仿宋_GBK" w:cs="方正仿宋_GBK"/>
                <w:color w:val="000000"/>
                <w:sz w:val="21"/>
                <w:szCs w:val="21"/>
                <w:lang w:val="en-US" w:eastAsia="zh-CN"/>
              </w:rPr>
              <w:t>3、自合同签订之日起至服务期完，免费提供系统升级和技术服务，提供相应的技术支持和系统更新服务。</w:t>
            </w:r>
          </w:p>
        </w:tc>
        <w:tc>
          <w:tcPr>
            <w:tcW w:w="705" w:type="dxa"/>
            <w:tcBorders>
              <w:top w:val="single" w:color="000000" w:sz="4" w:space="0"/>
              <w:left w:val="single" w:color="000000" w:sz="4" w:space="0"/>
              <w:bottom w:val="single" w:color="000000" w:sz="4" w:space="0"/>
              <w:right w:val="single" w:color="000000" w:sz="4" w:space="0"/>
            </w:tcBorders>
            <w:vAlign w:val="center"/>
          </w:tcPr>
          <w:p w14:paraId="71435A31">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1套</w:t>
            </w:r>
          </w:p>
        </w:tc>
        <w:tc>
          <w:tcPr>
            <w:tcW w:w="640" w:type="dxa"/>
            <w:tcBorders>
              <w:top w:val="single" w:color="000000" w:sz="4" w:space="0"/>
              <w:left w:val="single" w:color="000000" w:sz="4" w:space="0"/>
              <w:bottom w:val="single" w:color="000000" w:sz="4" w:space="0"/>
              <w:right w:val="single" w:color="000000" w:sz="4" w:space="0"/>
            </w:tcBorders>
            <w:vAlign w:val="center"/>
          </w:tcPr>
          <w:p w14:paraId="2823844E">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无</w:t>
            </w:r>
          </w:p>
        </w:tc>
      </w:tr>
    </w:tbl>
    <w:p w14:paraId="11482F65">
      <w:pPr>
        <w:spacing w:line="570" w:lineRule="exact"/>
        <w:ind w:firstLine="640" w:firstLineChars="200"/>
        <w:rPr>
          <w:rFonts w:ascii="方正仿宋_GBK" w:hAnsi="方正仿宋_GBK" w:eastAsia="方正仿宋_GBK" w:cs="方正仿宋_GBK"/>
          <w:sz w:val="32"/>
          <w:szCs w:val="32"/>
        </w:rPr>
      </w:pPr>
      <w:r>
        <w:rPr>
          <w:rFonts w:hint="eastAsia" w:ascii="方正黑体_GBK" w:eastAsia="方正黑体_GBK"/>
          <w:sz w:val="32"/>
          <w:szCs w:val="32"/>
        </w:rPr>
        <w:t>五、报价要求</w:t>
      </w:r>
    </w:p>
    <w:p w14:paraId="2893FFD4">
      <w:pPr>
        <w:snapToGrid w:val="0"/>
        <w:spacing w:line="570" w:lineRule="exact"/>
        <w:ind w:firstLine="640" w:firstLineChars="200"/>
      </w:pPr>
      <w:r>
        <w:rPr>
          <w:rFonts w:hint="eastAsia" w:ascii="方正仿宋_GBK" w:hAnsi="方正仿宋_GBK" w:eastAsia="方正仿宋_GBK" w:cs="方正仿宋_GBK"/>
          <w:sz w:val="32"/>
          <w:szCs w:val="32"/>
        </w:rPr>
        <w:t>1. 报价表参考格式（可根据实际情况自行调整）</w:t>
      </w:r>
    </w:p>
    <w:tbl>
      <w:tblPr>
        <w:tblStyle w:val="15"/>
        <w:tblW w:w="8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1629"/>
        <w:gridCol w:w="1350"/>
        <w:gridCol w:w="725"/>
        <w:gridCol w:w="780"/>
        <w:gridCol w:w="735"/>
        <w:gridCol w:w="1005"/>
        <w:gridCol w:w="1251"/>
      </w:tblGrid>
      <w:tr w14:paraId="51C29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13" w:type="dxa"/>
            <w:vAlign w:val="center"/>
          </w:tcPr>
          <w:p w14:paraId="69102768">
            <w:pPr>
              <w:pStyle w:val="2"/>
              <w:jc w:val="center"/>
              <w:rPr>
                <w:rFonts w:ascii="方正仿宋_GBK" w:hAnsi="方正仿宋_GBK" w:eastAsia="方正仿宋_GBK" w:cs="方正仿宋_GBK"/>
                <w:b/>
                <w:bCs/>
              </w:rPr>
            </w:pPr>
            <w:r>
              <w:rPr>
                <w:rFonts w:hint="eastAsia" w:ascii="方正仿宋_GBK" w:hAnsi="方正仿宋_GBK" w:eastAsia="方正仿宋_GBK" w:cs="方正仿宋_GBK"/>
                <w:b/>
                <w:bCs/>
              </w:rPr>
              <w:t>序号</w:t>
            </w:r>
          </w:p>
        </w:tc>
        <w:tc>
          <w:tcPr>
            <w:tcW w:w="1629" w:type="dxa"/>
            <w:vAlign w:val="center"/>
          </w:tcPr>
          <w:p w14:paraId="32432C97">
            <w:pPr>
              <w:pStyle w:val="2"/>
              <w:jc w:val="center"/>
              <w:rPr>
                <w:rFonts w:ascii="方正仿宋_GBK" w:hAnsi="方正仿宋_GBK" w:eastAsia="方正仿宋_GBK" w:cs="方正仿宋_GBK"/>
                <w:b/>
                <w:bCs/>
              </w:rPr>
            </w:pPr>
            <w:r>
              <w:rPr>
                <w:rFonts w:hint="eastAsia" w:ascii="方正仿宋_GBK" w:hAnsi="方正仿宋_GBK" w:eastAsia="方正仿宋_GBK" w:cs="方正仿宋_GBK"/>
                <w:b/>
                <w:bCs/>
              </w:rPr>
              <w:t>服务物品名称</w:t>
            </w:r>
          </w:p>
        </w:tc>
        <w:tc>
          <w:tcPr>
            <w:tcW w:w="1350" w:type="dxa"/>
            <w:vAlign w:val="center"/>
          </w:tcPr>
          <w:p w14:paraId="17B4AB09">
            <w:pPr>
              <w:pStyle w:val="2"/>
              <w:jc w:val="center"/>
              <w:rPr>
                <w:rFonts w:ascii="方正仿宋_GBK" w:hAnsi="方正仿宋_GBK" w:eastAsia="方正仿宋_GBK" w:cs="方正仿宋_GBK"/>
                <w:b/>
                <w:bCs/>
              </w:rPr>
            </w:pPr>
            <w:r>
              <w:rPr>
                <w:rFonts w:hint="eastAsia" w:ascii="方正仿宋_GBK" w:hAnsi="方正仿宋_GBK" w:eastAsia="方正仿宋_GBK" w:cs="方正仿宋_GBK"/>
                <w:b/>
                <w:bCs/>
              </w:rPr>
              <w:t>参数及要求</w:t>
            </w:r>
          </w:p>
        </w:tc>
        <w:tc>
          <w:tcPr>
            <w:tcW w:w="725" w:type="dxa"/>
            <w:vAlign w:val="center"/>
          </w:tcPr>
          <w:p w14:paraId="2DF3252C">
            <w:pPr>
              <w:pStyle w:val="2"/>
              <w:jc w:val="center"/>
              <w:rPr>
                <w:rFonts w:ascii="方正仿宋_GBK" w:hAnsi="方正仿宋_GBK" w:eastAsia="方正仿宋_GBK" w:cs="方正仿宋_GBK"/>
                <w:b/>
                <w:bCs/>
              </w:rPr>
            </w:pPr>
            <w:r>
              <w:rPr>
                <w:rFonts w:hint="eastAsia" w:ascii="方正仿宋_GBK" w:hAnsi="方正仿宋_GBK" w:eastAsia="方正仿宋_GBK" w:cs="方正仿宋_GBK"/>
                <w:b/>
                <w:bCs/>
              </w:rPr>
              <w:t>单位</w:t>
            </w:r>
          </w:p>
        </w:tc>
        <w:tc>
          <w:tcPr>
            <w:tcW w:w="780" w:type="dxa"/>
            <w:vAlign w:val="center"/>
          </w:tcPr>
          <w:p w14:paraId="551700E6">
            <w:pPr>
              <w:pStyle w:val="2"/>
              <w:jc w:val="center"/>
              <w:rPr>
                <w:rFonts w:ascii="方正仿宋_GBK" w:hAnsi="方正仿宋_GBK" w:eastAsia="方正仿宋_GBK" w:cs="方正仿宋_GBK"/>
                <w:b/>
                <w:bCs/>
              </w:rPr>
            </w:pPr>
            <w:r>
              <w:rPr>
                <w:rFonts w:hint="eastAsia" w:ascii="方正仿宋_GBK" w:hAnsi="方正仿宋_GBK" w:eastAsia="方正仿宋_GBK" w:cs="方正仿宋_GBK"/>
                <w:b/>
                <w:bCs/>
              </w:rPr>
              <w:t>数量</w:t>
            </w:r>
          </w:p>
        </w:tc>
        <w:tc>
          <w:tcPr>
            <w:tcW w:w="735" w:type="dxa"/>
            <w:vAlign w:val="center"/>
          </w:tcPr>
          <w:p w14:paraId="4BC8AE9D">
            <w:pPr>
              <w:pStyle w:val="2"/>
              <w:jc w:val="center"/>
              <w:rPr>
                <w:rFonts w:ascii="方正仿宋_GBK" w:hAnsi="方正仿宋_GBK" w:eastAsia="方正仿宋_GBK" w:cs="方正仿宋_GBK"/>
                <w:b/>
                <w:bCs/>
              </w:rPr>
            </w:pPr>
            <w:r>
              <w:rPr>
                <w:rFonts w:hint="eastAsia" w:ascii="方正仿宋_GBK" w:hAnsi="方正仿宋_GBK" w:eastAsia="方正仿宋_GBK" w:cs="方正仿宋_GBK"/>
                <w:b/>
                <w:bCs/>
              </w:rPr>
              <w:t>单价</w:t>
            </w:r>
          </w:p>
        </w:tc>
        <w:tc>
          <w:tcPr>
            <w:tcW w:w="1005" w:type="dxa"/>
            <w:vAlign w:val="center"/>
          </w:tcPr>
          <w:p w14:paraId="07F0D65F">
            <w:pPr>
              <w:pStyle w:val="2"/>
              <w:jc w:val="center"/>
              <w:rPr>
                <w:rFonts w:ascii="方正仿宋_GBK" w:hAnsi="方正仿宋_GBK" w:eastAsia="方正仿宋_GBK" w:cs="方正仿宋_GBK"/>
                <w:b/>
                <w:bCs/>
              </w:rPr>
            </w:pPr>
            <w:r>
              <w:rPr>
                <w:rFonts w:hint="eastAsia" w:ascii="方正仿宋_GBK" w:hAnsi="方正仿宋_GBK" w:eastAsia="方正仿宋_GBK" w:cs="方正仿宋_GBK"/>
                <w:b/>
                <w:bCs/>
              </w:rPr>
              <w:t>总价</w:t>
            </w:r>
          </w:p>
        </w:tc>
        <w:tc>
          <w:tcPr>
            <w:tcW w:w="1251" w:type="dxa"/>
            <w:vAlign w:val="center"/>
          </w:tcPr>
          <w:p w14:paraId="056589C2">
            <w:pPr>
              <w:pStyle w:val="2"/>
              <w:jc w:val="center"/>
              <w:rPr>
                <w:rFonts w:ascii="方正仿宋_GBK" w:hAnsi="方正仿宋_GBK" w:eastAsia="方正仿宋_GBK" w:cs="方正仿宋_GBK"/>
                <w:b/>
                <w:bCs/>
              </w:rPr>
            </w:pPr>
            <w:r>
              <w:rPr>
                <w:rFonts w:hint="eastAsia" w:ascii="方正仿宋_GBK" w:hAnsi="方正仿宋_GBK" w:eastAsia="方正仿宋_GBK" w:cs="方正仿宋_GBK"/>
                <w:b/>
                <w:bCs/>
              </w:rPr>
              <w:t>备注信息</w:t>
            </w:r>
          </w:p>
        </w:tc>
      </w:tr>
      <w:tr w14:paraId="45195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56C6145E">
            <w:pPr>
              <w:pStyle w:val="2"/>
              <w:jc w:val="center"/>
              <w:rPr>
                <w:rFonts w:ascii="方正仿宋_GBK" w:hAnsi="方正仿宋_GBK" w:eastAsia="方正仿宋_GBK" w:cs="方正仿宋_GBK"/>
              </w:rPr>
            </w:pPr>
            <w:r>
              <w:rPr>
                <w:rFonts w:hint="eastAsia" w:ascii="方正仿宋_GBK" w:hAnsi="方正仿宋_GBK" w:eastAsia="方正仿宋_GBK" w:cs="方正仿宋_GBK"/>
              </w:rPr>
              <w:t>1</w:t>
            </w:r>
          </w:p>
        </w:tc>
        <w:tc>
          <w:tcPr>
            <w:tcW w:w="1629" w:type="dxa"/>
            <w:vAlign w:val="center"/>
          </w:tcPr>
          <w:p w14:paraId="2F83A058">
            <w:pPr>
              <w:pStyle w:val="2"/>
              <w:jc w:val="center"/>
              <w:rPr>
                <w:rFonts w:ascii="方正仿宋_GBK" w:hAnsi="方正仿宋_GBK" w:eastAsia="方正仿宋_GBK" w:cs="方正仿宋_GBK"/>
              </w:rPr>
            </w:pPr>
          </w:p>
        </w:tc>
        <w:tc>
          <w:tcPr>
            <w:tcW w:w="1350" w:type="dxa"/>
            <w:vAlign w:val="center"/>
          </w:tcPr>
          <w:p w14:paraId="7E5E5CEE">
            <w:pPr>
              <w:pStyle w:val="2"/>
              <w:jc w:val="center"/>
              <w:rPr>
                <w:rFonts w:ascii="方正仿宋_GBK" w:hAnsi="方正仿宋_GBK" w:eastAsia="方正仿宋_GBK" w:cs="方正仿宋_GBK"/>
              </w:rPr>
            </w:pPr>
          </w:p>
        </w:tc>
        <w:tc>
          <w:tcPr>
            <w:tcW w:w="725" w:type="dxa"/>
            <w:vAlign w:val="center"/>
          </w:tcPr>
          <w:p w14:paraId="76CE2DD2">
            <w:pPr>
              <w:pStyle w:val="2"/>
              <w:jc w:val="center"/>
              <w:rPr>
                <w:rFonts w:ascii="方正仿宋_GBK" w:hAnsi="方正仿宋_GBK" w:eastAsia="方正仿宋_GBK" w:cs="方正仿宋_GBK"/>
              </w:rPr>
            </w:pPr>
          </w:p>
        </w:tc>
        <w:tc>
          <w:tcPr>
            <w:tcW w:w="780" w:type="dxa"/>
            <w:vAlign w:val="center"/>
          </w:tcPr>
          <w:p w14:paraId="2BACCCC0">
            <w:pPr>
              <w:pStyle w:val="2"/>
              <w:jc w:val="center"/>
              <w:rPr>
                <w:rFonts w:ascii="方正仿宋_GBK" w:hAnsi="方正仿宋_GBK" w:eastAsia="方正仿宋_GBK" w:cs="方正仿宋_GBK"/>
              </w:rPr>
            </w:pPr>
          </w:p>
        </w:tc>
        <w:tc>
          <w:tcPr>
            <w:tcW w:w="735" w:type="dxa"/>
            <w:vAlign w:val="center"/>
          </w:tcPr>
          <w:p w14:paraId="1D0EB91A">
            <w:pPr>
              <w:pStyle w:val="2"/>
              <w:jc w:val="center"/>
              <w:rPr>
                <w:rFonts w:ascii="方正仿宋_GBK" w:hAnsi="方正仿宋_GBK" w:eastAsia="方正仿宋_GBK" w:cs="方正仿宋_GBK"/>
              </w:rPr>
            </w:pPr>
          </w:p>
        </w:tc>
        <w:tc>
          <w:tcPr>
            <w:tcW w:w="1005" w:type="dxa"/>
            <w:vAlign w:val="center"/>
          </w:tcPr>
          <w:p w14:paraId="29EA0EBB">
            <w:pPr>
              <w:pStyle w:val="2"/>
              <w:jc w:val="center"/>
              <w:rPr>
                <w:rFonts w:ascii="方正仿宋_GBK" w:hAnsi="方正仿宋_GBK" w:eastAsia="方正仿宋_GBK" w:cs="方正仿宋_GBK"/>
              </w:rPr>
            </w:pPr>
          </w:p>
        </w:tc>
        <w:tc>
          <w:tcPr>
            <w:tcW w:w="1251" w:type="dxa"/>
            <w:vAlign w:val="center"/>
          </w:tcPr>
          <w:p w14:paraId="4F71603A">
            <w:pPr>
              <w:pStyle w:val="2"/>
              <w:jc w:val="center"/>
              <w:rPr>
                <w:rFonts w:ascii="方正仿宋_GBK" w:hAnsi="方正仿宋_GBK" w:eastAsia="方正仿宋_GBK" w:cs="方正仿宋_GBK"/>
              </w:rPr>
            </w:pPr>
          </w:p>
        </w:tc>
      </w:tr>
      <w:tr w14:paraId="08299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56E5BA9B">
            <w:pPr>
              <w:pStyle w:val="2"/>
              <w:jc w:val="center"/>
              <w:rPr>
                <w:rFonts w:ascii="方正仿宋_GBK" w:hAnsi="方正仿宋_GBK" w:eastAsia="方正仿宋_GBK" w:cs="方正仿宋_GBK"/>
              </w:rPr>
            </w:pPr>
            <w:r>
              <w:rPr>
                <w:rFonts w:hint="eastAsia" w:ascii="方正仿宋_GBK" w:hAnsi="方正仿宋_GBK" w:eastAsia="方正仿宋_GBK" w:cs="方正仿宋_GBK"/>
              </w:rPr>
              <w:t>2</w:t>
            </w:r>
          </w:p>
        </w:tc>
        <w:tc>
          <w:tcPr>
            <w:tcW w:w="1629" w:type="dxa"/>
            <w:vAlign w:val="center"/>
          </w:tcPr>
          <w:p w14:paraId="1CE543F6">
            <w:pPr>
              <w:pStyle w:val="2"/>
              <w:jc w:val="center"/>
              <w:rPr>
                <w:rFonts w:ascii="方正仿宋_GBK" w:hAnsi="方正仿宋_GBK" w:eastAsia="方正仿宋_GBK" w:cs="方正仿宋_GBK"/>
              </w:rPr>
            </w:pPr>
          </w:p>
        </w:tc>
        <w:tc>
          <w:tcPr>
            <w:tcW w:w="1350" w:type="dxa"/>
            <w:vAlign w:val="center"/>
          </w:tcPr>
          <w:p w14:paraId="0D816CFE">
            <w:pPr>
              <w:pStyle w:val="2"/>
              <w:jc w:val="center"/>
              <w:rPr>
                <w:rFonts w:ascii="方正仿宋_GBK" w:hAnsi="方正仿宋_GBK" w:eastAsia="方正仿宋_GBK" w:cs="方正仿宋_GBK"/>
              </w:rPr>
            </w:pPr>
          </w:p>
        </w:tc>
        <w:tc>
          <w:tcPr>
            <w:tcW w:w="725" w:type="dxa"/>
            <w:vAlign w:val="center"/>
          </w:tcPr>
          <w:p w14:paraId="029D2FFD">
            <w:pPr>
              <w:pStyle w:val="2"/>
              <w:jc w:val="center"/>
              <w:rPr>
                <w:rFonts w:ascii="方正仿宋_GBK" w:hAnsi="方正仿宋_GBK" w:eastAsia="方正仿宋_GBK" w:cs="方正仿宋_GBK"/>
              </w:rPr>
            </w:pPr>
          </w:p>
        </w:tc>
        <w:tc>
          <w:tcPr>
            <w:tcW w:w="780" w:type="dxa"/>
            <w:vAlign w:val="center"/>
          </w:tcPr>
          <w:p w14:paraId="2AE84637">
            <w:pPr>
              <w:pStyle w:val="2"/>
              <w:jc w:val="center"/>
              <w:rPr>
                <w:rFonts w:ascii="方正仿宋_GBK" w:hAnsi="方正仿宋_GBK" w:eastAsia="方正仿宋_GBK" w:cs="方正仿宋_GBK"/>
              </w:rPr>
            </w:pPr>
          </w:p>
        </w:tc>
        <w:tc>
          <w:tcPr>
            <w:tcW w:w="735" w:type="dxa"/>
            <w:vAlign w:val="center"/>
          </w:tcPr>
          <w:p w14:paraId="51E0D025">
            <w:pPr>
              <w:pStyle w:val="2"/>
              <w:jc w:val="center"/>
              <w:rPr>
                <w:rFonts w:ascii="方正仿宋_GBK" w:hAnsi="方正仿宋_GBK" w:eastAsia="方正仿宋_GBK" w:cs="方正仿宋_GBK"/>
              </w:rPr>
            </w:pPr>
          </w:p>
        </w:tc>
        <w:tc>
          <w:tcPr>
            <w:tcW w:w="1005" w:type="dxa"/>
            <w:vAlign w:val="center"/>
          </w:tcPr>
          <w:p w14:paraId="4E8920D6">
            <w:pPr>
              <w:pStyle w:val="2"/>
              <w:jc w:val="center"/>
              <w:rPr>
                <w:rFonts w:ascii="方正仿宋_GBK" w:hAnsi="方正仿宋_GBK" w:eastAsia="方正仿宋_GBK" w:cs="方正仿宋_GBK"/>
              </w:rPr>
            </w:pPr>
          </w:p>
        </w:tc>
        <w:tc>
          <w:tcPr>
            <w:tcW w:w="1251" w:type="dxa"/>
            <w:vAlign w:val="center"/>
          </w:tcPr>
          <w:p w14:paraId="17353033">
            <w:pPr>
              <w:pStyle w:val="2"/>
              <w:jc w:val="center"/>
              <w:rPr>
                <w:rFonts w:ascii="方正仿宋_GBK" w:hAnsi="方正仿宋_GBK" w:eastAsia="方正仿宋_GBK" w:cs="方正仿宋_GBK"/>
              </w:rPr>
            </w:pPr>
          </w:p>
        </w:tc>
      </w:tr>
      <w:tr w14:paraId="70117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0AE4A5FF">
            <w:pPr>
              <w:pStyle w:val="2"/>
              <w:jc w:val="center"/>
              <w:rPr>
                <w:rFonts w:ascii="方正仿宋_GBK" w:hAnsi="方正仿宋_GBK" w:eastAsia="方正仿宋_GBK" w:cs="方正仿宋_GBK"/>
              </w:rPr>
            </w:pPr>
            <w:r>
              <w:rPr>
                <w:rFonts w:hint="eastAsia" w:ascii="方正仿宋_GBK" w:hAnsi="方正仿宋_GBK" w:eastAsia="方正仿宋_GBK" w:cs="方正仿宋_GBK"/>
              </w:rPr>
              <w:t>3</w:t>
            </w:r>
          </w:p>
        </w:tc>
        <w:tc>
          <w:tcPr>
            <w:tcW w:w="1629" w:type="dxa"/>
            <w:vAlign w:val="center"/>
          </w:tcPr>
          <w:p w14:paraId="07D0B060">
            <w:pPr>
              <w:pStyle w:val="2"/>
              <w:jc w:val="center"/>
              <w:rPr>
                <w:rFonts w:ascii="方正仿宋_GBK" w:hAnsi="方正仿宋_GBK" w:eastAsia="方正仿宋_GBK" w:cs="方正仿宋_GBK"/>
              </w:rPr>
            </w:pPr>
          </w:p>
        </w:tc>
        <w:tc>
          <w:tcPr>
            <w:tcW w:w="1350" w:type="dxa"/>
            <w:vAlign w:val="center"/>
          </w:tcPr>
          <w:p w14:paraId="798C039D">
            <w:pPr>
              <w:pStyle w:val="2"/>
              <w:jc w:val="center"/>
              <w:rPr>
                <w:rFonts w:ascii="方正仿宋_GBK" w:hAnsi="方正仿宋_GBK" w:eastAsia="方正仿宋_GBK" w:cs="方正仿宋_GBK"/>
              </w:rPr>
            </w:pPr>
          </w:p>
        </w:tc>
        <w:tc>
          <w:tcPr>
            <w:tcW w:w="725" w:type="dxa"/>
            <w:vAlign w:val="center"/>
          </w:tcPr>
          <w:p w14:paraId="3811D83E">
            <w:pPr>
              <w:pStyle w:val="2"/>
              <w:jc w:val="center"/>
              <w:rPr>
                <w:rFonts w:ascii="方正仿宋_GBK" w:hAnsi="方正仿宋_GBK" w:eastAsia="方正仿宋_GBK" w:cs="方正仿宋_GBK"/>
              </w:rPr>
            </w:pPr>
          </w:p>
        </w:tc>
        <w:tc>
          <w:tcPr>
            <w:tcW w:w="780" w:type="dxa"/>
            <w:vAlign w:val="center"/>
          </w:tcPr>
          <w:p w14:paraId="3A76B172">
            <w:pPr>
              <w:pStyle w:val="2"/>
              <w:jc w:val="center"/>
              <w:rPr>
                <w:rFonts w:ascii="方正仿宋_GBK" w:hAnsi="方正仿宋_GBK" w:eastAsia="方正仿宋_GBK" w:cs="方正仿宋_GBK"/>
              </w:rPr>
            </w:pPr>
          </w:p>
        </w:tc>
        <w:tc>
          <w:tcPr>
            <w:tcW w:w="735" w:type="dxa"/>
            <w:vAlign w:val="center"/>
          </w:tcPr>
          <w:p w14:paraId="4EDAA590">
            <w:pPr>
              <w:pStyle w:val="2"/>
              <w:jc w:val="center"/>
              <w:rPr>
                <w:rFonts w:ascii="方正仿宋_GBK" w:hAnsi="方正仿宋_GBK" w:eastAsia="方正仿宋_GBK" w:cs="方正仿宋_GBK"/>
              </w:rPr>
            </w:pPr>
          </w:p>
        </w:tc>
        <w:tc>
          <w:tcPr>
            <w:tcW w:w="1005" w:type="dxa"/>
            <w:vAlign w:val="center"/>
          </w:tcPr>
          <w:p w14:paraId="742FC449">
            <w:pPr>
              <w:pStyle w:val="2"/>
              <w:jc w:val="center"/>
              <w:rPr>
                <w:rFonts w:ascii="方正仿宋_GBK" w:hAnsi="方正仿宋_GBK" w:eastAsia="方正仿宋_GBK" w:cs="方正仿宋_GBK"/>
              </w:rPr>
            </w:pPr>
          </w:p>
        </w:tc>
        <w:tc>
          <w:tcPr>
            <w:tcW w:w="1251" w:type="dxa"/>
            <w:vAlign w:val="center"/>
          </w:tcPr>
          <w:p w14:paraId="34A510B4">
            <w:pPr>
              <w:pStyle w:val="2"/>
              <w:jc w:val="center"/>
              <w:rPr>
                <w:rFonts w:ascii="方正仿宋_GBK" w:hAnsi="方正仿宋_GBK" w:eastAsia="方正仿宋_GBK" w:cs="方正仿宋_GBK"/>
              </w:rPr>
            </w:pPr>
          </w:p>
        </w:tc>
      </w:tr>
      <w:tr w14:paraId="77572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2" w:type="dxa"/>
            <w:gridSpan w:val="6"/>
            <w:vAlign w:val="center"/>
          </w:tcPr>
          <w:p w14:paraId="7524A36C">
            <w:pPr>
              <w:pStyle w:val="2"/>
              <w:jc w:val="right"/>
              <w:rPr>
                <w:rFonts w:ascii="方正仿宋_GBK" w:hAnsi="方正仿宋_GBK" w:eastAsia="方正仿宋_GBK" w:cs="方正仿宋_GBK"/>
              </w:rPr>
            </w:pPr>
            <w:r>
              <w:rPr>
                <w:rFonts w:hint="eastAsia" w:ascii="方正仿宋_GBK" w:hAnsi="方正仿宋_GBK" w:eastAsia="方正仿宋_GBK" w:cs="方正仿宋_GBK"/>
              </w:rPr>
              <w:t>合计</w:t>
            </w:r>
          </w:p>
        </w:tc>
        <w:tc>
          <w:tcPr>
            <w:tcW w:w="1005" w:type="dxa"/>
            <w:vAlign w:val="center"/>
          </w:tcPr>
          <w:p w14:paraId="6103198D">
            <w:pPr>
              <w:pStyle w:val="2"/>
              <w:jc w:val="center"/>
              <w:rPr>
                <w:rFonts w:ascii="方正仿宋_GBK" w:hAnsi="方正仿宋_GBK" w:eastAsia="方正仿宋_GBK" w:cs="方正仿宋_GBK"/>
              </w:rPr>
            </w:pPr>
          </w:p>
        </w:tc>
        <w:tc>
          <w:tcPr>
            <w:tcW w:w="1251" w:type="dxa"/>
            <w:vAlign w:val="center"/>
          </w:tcPr>
          <w:p w14:paraId="2E0DE199">
            <w:pPr>
              <w:pStyle w:val="2"/>
              <w:jc w:val="center"/>
              <w:rPr>
                <w:rFonts w:ascii="方正仿宋_GBK" w:hAnsi="方正仿宋_GBK" w:eastAsia="方正仿宋_GBK" w:cs="方正仿宋_GBK"/>
              </w:rPr>
            </w:pPr>
          </w:p>
        </w:tc>
      </w:tr>
    </w:tbl>
    <w:p w14:paraId="72661969">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报价文件</w:t>
      </w:r>
    </w:p>
    <w:p w14:paraId="3D8B5400">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电子扫描版请发送至邮箱mail@bnlib.cn，纸质版寄送至巴南区图书馆龙洲湾总馆。</w:t>
      </w:r>
    </w:p>
    <w:p w14:paraId="30AEF4B5">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 邮寄信息</w:t>
      </w:r>
    </w:p>
    <w:p w14:paraId="4AC28C91">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收件人：周老师（023-66281713）</w:t>
      </w:r>
    </w:p>
    <w:p w14:paraId="19423379">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地址：重庆市巴南区龙洲湾巴南文化艺术中心。</w:t>
      </w:r>
    </w:p>
    <w:p w14:paraId="0034D508">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 报价时间</w:t>
      </w:r>
    </w:p>
    <w:p w14:paraId="43C0A683">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报价截止时间202</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30</w:t>
      </w:r>
      <w:bookmarkStart w:id="2" w:name="_GoBack"/>
      <w:bookmarkEnd w:id="2"/>
      <w:r>
        <w:rPr>
          <w:rFonts w:hint="eastAsia" w:ascii="方正仿宋_GBK" w:hAnsi="方正仿宋_GBK" w:eastAsia="方正仿宋_GBK" w:cs="方正仿宋_GBK"/>
          <w:sz w:val="32"/>
          <w:szCs w:val="32"/>
        </w:rPr>
        <w:t>日上午9点。</w:t>
      </w:r>
    </w:p>
    <w:p w14:paraId="1FA2FF84">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 报价要求</w:t>
      </w:r>
    </w:p>
    <w:p w14:paraId="2F120D00">
      <w:pPr>
        <w:snapToGrid w:val="0"/>
        <w:spacing w:line="570" w:lineRule="exact"/>
        <w:ind w:firstLine="640" w:firstLineChars="200"/>
      </w:pPr>
      <w:r>
        <w:rPr>
          <w:rFonts w:ascii="方正仿宋_GBK" w:hAnsi="方正仿宋_GBK" w:eastAsia="方正仿宋_GBK" w:cs="方正仿宋_GBK"/>
          <w:sz w:val="32"/>
          <w:szCs w:val="32"/>
        </w:rPr>
        <w:t>报价应包含人工、管理费及税金等该项目涉及的一切费用，以人民币结算。</w:t>
      </w:r>
    </w:p>
    <w:sectPr>
      <w:footerReference r:id="rId3" w:type="default"/>
      <w:pgSz w:w="11906" w:h="16838"/>
      <w:pgMar w:top="1440" w:right="1080" w:bottom="1440" w:left="1080"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AFF" w:usb1="C0007841" w:usb2="00000009" w:usb3="00000000" w:csb0="400001FF" w:csb1="FFFF0000"/>
  </w:font>
  <w:font w:name="宋体">
    <w:panose1 w:val="02010600030101010101"/>
    <w:charset w:val="81"/>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F63ABD">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328C79">
                          <w:pPr>
                            <w:pStyle w:val="9"/>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第 </w:t>
                          </w: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页 共 </w:t>
                          </w: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NUMPAGES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4</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F328C79">
                    <w:pPr>
                      <w:pStyle w:val="9"/>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第 </w:t>
                    </w: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页 共 </w:t>
                    </w: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NUMPAGES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4</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5"/>
      <w:numFmt w:val="chineseCounting"/>
      <w:suff w:val="nothing"/>
      <w:lvlText w:val="（%1）"/>
      <w:lvlJc w:val="left"/>
      <w:rPr>
        <w:lang w:val="en-US"/>
      </w:rPr>
    </w:lvl>
    <w:lvl w:ilvl="1" w:tentative="0">
      <w:start w:val="1"/>
      <w:numFmt w:val="decimal"/>
      <w:lvlText w:val="%1.%2"/>
      <w:lvlJc w:val="left"/>
      <w:pPr>
        <w:ind w:left="993" w:hanging="567"/>
      </w:pPr>
    </w:lvl>
    <w:lvl w:ilvl="2" w:tentative="0">
      <w:start w:val="1"/>
      <w:numFmt w:val="decimal"/>
      <w:pStyle w:val="4"/>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JmODM0MjU3OWJiNTgwNDc2OWYwOTY3ZGZmMWEwYTQifQ=="/>
  </w:docVars>
  <w:rsids>
    <w:rsidRoot w:val="1BD050CD"/>
    <w:rsid w:val="002721B8"/>
    <w:rsid w:val="002A7326"/>
    <w:rsid w:val="003A738F"/>
    <w:rsid w:val="00522102"/>
    <w:rsid w:val="00614E65"/>
    <w:rsid w:val="00663558"/>
    <w:rsid w:val="006D2A98"/>
    <w:rsid w:val="008953F8"/>
    <w:rsid w:val="00A42231"/>
    <w:rsid w:val="00C419C1"/>
    <w:rsid w:val="00C866C3"/>
    <w:rsid w:val="00D20369"/>
    <w:rsid w:val="00DC66AA"/>
    <w:rsid w:val="010F1DA1"/>
    <w:rsid w:val="01BA0ED0"/>
    <w:rsid w:val="01BE7323"/>
    <w:rsid w:val="021A09FD"/>
    <w:rsid w:val="023575E5"/>
    <w:rsid w:val="025F28B4"/>
    <w:rsid w:val="0261487E"/>
    <w:rsid w:val="02DB623C"/>
    <w:rsid w:val="02DD1A2B"/>
    <w:rsid w:val="035D3297"/>
    <w:rsid w:val="03824AAC"/>
    <w:rsid w:val="039B791C"/>
    <w:rsid w:val="053242B0"/>
    <w:rsid w:val="059C6184"/>
    <w:rsid w:val="05A50F26"/>
    <w:rsid w:val="066B5CCB"/>
    <w:rsid w:val="071E1F77"/>
    <w:rsid w:val="072365A6"/>
    <w:rsid w:val="078A0D82"/>
    <w:rsid w:val="07F876A6"/>
    <w:rsid w:val="08A515BF"/>
    <w:rsid w:val="08B33959"/>
    <w:rsid w:val="091F0FEF"/>
    <w:rsid w:val="0972111F"/>
    <w:rsid w:val="0A5F5966"/>
    <w:rsid w:val="0AF96DC4"/>
    <w:rsid w:val="0B3C7C36"/>
    <w:rsid w:val="0B6D4294"/>
    <w:rsid w:val="0BD240F7"/>
    <w:rsid w:val="0BFE6C9A"/>
    <w:rsid w:val="0C880C59"/>
    <w:rsid w:val="0C9413AC"/>
    <w:rsid w:val="0CC63A4E"/>
    <w:rsid w:val="0CE9794A"/>
    <w:rsid w:val="0D474670"/>
    <w:rsid w:val="0D817B82"/>
    <w:rsid w:val="0E201CFF"/>
    <w:rsid w:val="0ED91C40"/>
    <w:rsid w:val="0EE52393"/>
    <w:rsid w:val="0EE94F7C"/>
    <w:rsid w:val="0F6634D4"/>
    <w:rsid w:val="0F6F3975"/>
    <w:rsid w:val="0F8932E2"/>
    <w:rsid w:val="103F5AD3"/>
    <w:rsid w:val="10872EA8"/>
    <w:rsid w:val="10AA3894"/>
    <w:rsid w:val="11D01720"/>
    <w:rsid w:val="12C329EB"/>
    <w:rsid w:val="12E017EF"/>
    <w:rsid w:val="13675A6C"/>
    <w:rsid w:val="1378121F"/>
    <w:rsid w:val="1418673F"/>
    <w:rsid w:val="14305E5E"/>
    <w:rsid w:val="144D4C62"/>
    <w:rsid w:val="146B6818"/>
    <w:rsid w:val="14BE790E"/>
    <w:rsid w:val="14C8253B"/>
    <w:rsid w:val="14EF637E"/>
    <w:rsid w:val="152F3AAF"/>
    <w:rsid w:val="154A2F50"/>
    <w:rsid w:val="15BD7BC5"/>
    <w:rsid w:val="15C62CD0"/>
    <w:rsid w:val="15F134B4"/>
    <w:rsid w:val="15F335E7"/>
    <w:rsid w:val="168D2386"/>
    <w:rsid w:val="16A56DF3"/>
    <w:rsid w:val="16C15493"/>
    <w:rsid w:val="16DC22CD"/>
    <w:rsid w:val="16EF0253"/>
    <w:rsid w:val="17947137"/>
    <w:rsid w:val="17F453F5"/>
    <w:rsid w:val="18381785"/>
    <w:rsid w:val="188E0A8C"/>
    <w:rsid w:val="188E5849"/>
    <w:rsid w:val="189D2014"/>
    <w:rsid w:val="18C1013F"/>
    <w:rsid w:val="18D205AB"/>
    <w:rsid w:val="190653E0"/>
    <w:rsid w:val="1997072D"/>
    <w:rsid w:val="19B72B7E"/>
    <w:rsid w:val="1A1D0C33"/>
    <w:rsid w:val="1A387903"/>
    <w:rsid w:val="1B193AF0"/>
    <w:rsid w:val="1B3501FE"/>
    <w:rsid w:val="1B6034CD"/>
    <w:rsid w:val="1B7C0CF8"/>
    <w:rsid w:val="1B852F33"/>
    <w:rsid w:val="1B99078D"/>
    <w:rsid w:val="1BD050CD"/>
    <w:rsid w:val="1C2C7629"/>
    <w:rsid w:val="1C957AEB"/>
    <w:rsid w:val="1CAE0268"/>
    <w:rsid w:val="1CF10155"/>
    <w:rsid w:val="1D7E40DE"/>
    <w:rsid w:val="1EF1171F"/>
    <w:rsid w:val="1F996FAD"/>
    <w:rsid w:val="1FD47FE6"/>
    <w:rsid w:val="203E7B55"/>
    <w:rsid w:val="20511636"/>
    <w:rsid w:val="207B4F91"/>
    <w:rsid w:val="208C731F"/>
    <w:rsid w:val="20971013"/>
    <w:rsid w:val="20E55C2B"/>
    <w:rsid w:val="21867A05"/>
    <w:rsid w:val="218A7D25"/>
    <w:rsid w:val="220972CA"/>
    <w:rsid w:val="228C128A"/>
    <w:rsid w:val="229972C4"/>
    <w:rsid w:val="22CC31F6"/>
    <w:rsid w:val="232C271B"/>
    <w:rsid w:val="235817DC"/>
    <w:rsid w:val="237C4C1C"/>
    <w:rsid w:val="238826AD"/>
    <w:rsid w:val="23E46C65"/>
    <w:rsid w:val="24741D97"/>
    <w:rsid w:val="24F353B2"/>
    <w:rsid w:val="25675458"/>
    <w:rsid w:val="25D77FCC"/>
    <w:rsid w:val="25ED0053"/>
    <w:rsid w:val="2677791D"/>
    <w:rsid w:val="26CB7F1A"/>
    <w:rsid w:val="26E74AA2"/>
    <w:rsid w:val="27437A60"/>
    <w:rsid w:val="2751016E"/>
    <w:rsid w:val="278247CB"/>
    <w:rsid w:val="27E86D24"/>
    <w:rsid w:val="28857B35"/>
    <w:rsid w:val="29004B88"/>
    <w:rsid w:val="29121B7F"/>
    <w:rsid w:val="29AA1DB7"/>
    <w:rsid w:val="2A0C329C"/>
    <w:rsid w:val="2A1E37B1"/>
    <w:rsid w:val="2A306760"/>
    <w:rsid w:val="2A9E191C"/>
    <w:rsid w:val="2B6B08B1"/>
    <w:rsid w:val="2BC76C50"/>
    <w:rsid w:val="2BF23A18"/>
    <w:rsid w:val="2C1764C2"/>
    <w:rsid w:val="2C3D6F12"/>
    <w:rsid w:val="2C640943"/>
    <w:rsid w:val="2D0C3CE8"/>
    <w:rsid w:val="2D2B320F"/>
    <w:rsid w:val="2D484219"/>
    <w:rsid w:val="2E020414"/>
    <w:rsid w:val="2EF31870"/>
    <w:rsid w:val="2F185167"/>
    <w:rsid w:val="2F5B602D"/>
    <w:rsid w:val="2F754C15"/>
    <w:rsid w:val="2FD80CA3"/>
    <w:rsid w:val="30313232"/>
    <w:rsid w:val="303625F7"/>
    <w:rsid w:val="3082583C"/>
    <w:rsid w:val="30901D07"/>
    <w:rsid w:val="30EB518F"/>
    <w:rsid w:val="319B4E07"/>
    <w:rsid w:val="32630425"/>
    <w:rsid w:val="32B141B6"/>
    <w:rsid w:val="330662B0"/>
    <w:rsid w:val="3316226B"/>
    <w:rsid w:val="3352267B"/>
    <w:rsid w:val="3364747B"/>
    <w:rsid w:val="338B2C59"/>
    <w:rsid w:val="33DE0FDB"/>
    <w:rsid w:val="343E7C43"/>
    <w:rsid w:val="349F69BC"/>
    <w:rsid w:val="354362C5"/>
    <w:rsid w:val="35690D78"/>
    <w:rsid w:val="35BF4E3C"/>
    <w:rsid w:val="371B60A2"/>
    <w:rsid w:val="376A018F"/>
    <w:rsid w:val="37825684"/>
    <w:rsid w:val="37EB016A"/>
    <w:rsid w:val="386D560E"/>
    <w:rsid w:val="38726196"/>
    <w:rsid w:val="38CE5AC2"/>
    <w:rsid w:val="39277222"/>
    <w:rsid w:val="39406294"/>
    <w:rsid w:val="39965EB4"/>
    <w:rsid w:val="39D30B18"/>
    <w:rsid w:val="39EB4452"/>
    <w:rsid w:val="3A281202"/>
    <w:rsid w:val="3A661D2A"/>
    <w:rsid w:val="3B070E17"/>
    <w:rsid w:val="3B255741"/>
    <w:rsid w:val="3B5A188F"/>
    <w:rsid w:val="3B7A3CDF"/>
    <w:rsid w:val="3B847DCB"/>
    <w:rsid w:val="3BEC625F"/>
    <w:rsid w:val="3BEE647B"/>
    <w:rsid w:val="3C1A71B0"/>
    <w:rsid w:val="3C3A346E"/>
    <w:rsid w:val="3C9708C1"/>
    <w:rsid w:val="3D163594"/>
    <w:rsid w:val="3D581DFE"/>
    <w:rsid w:val="3D7529B0"/>
    <w:rsid w:val="3D8F3C3E"/>
    <w:rsid w:val="3E0B6E71"/>
    <w:rsid w:val="3E4821D0"/>
    <w:rsid w:val="3EAF4ABF"/>
    <w:rsid w:val="3F793A54"/>
    <w:rsid w:val="40084287"/>
    <w:rsid w:val="405F5252"/>
    <w:rsid w:val="40BC08F6"/>
    <w:rsid w:val="412A3AB2"/>
    <w:rsid w:val="417D143F"/>
    <w:rsid w:val="42581301"/>
    <w:rsid w:val="42996133"/>
    <w:rsid w:val="42A463CD"/>
    <w:rsid w:val="42BD3552"/>
    <w:rsid w:val="42E303BC"/>
    <w:rsid w:val="43E37D54"/>
    <w:rsid w:val="43F565F9"/>
    <w:rsid w:val="441E71D2"/>
    <w:rsid w:val="45361337"/>
    <w:rsid w:val="45576302"/>
    <w:rsid w:val="45CF69D6"/>
    <w:rsid w:val="470809A7"/>
    <w:rsid w:val="4770243A"/>
    <w:rsid w:val="47EA7812"/>
    <w:rsid w:val="482C45B3"/>
    <w:rsid w:val="486A6E89"/>
    <w:rsid w:val="486C49B0"/>
    <w:rsid w:val="489F68DE"/>
    <w:rsid w:val="48F350D1"/>
    <w:rsid w:val="496C41A4"/>
    <w:rsid w:val="497526AF"/>
    <w:rsid w:val="497734F1"/>
    <w:rsid w:val="49AD702E"/>
    <w:rsid w:val="4A8D520D"/>
    <w:rsid w:val="4ADA20A4"/>
    <w:rsid w:val="4AE36C66"/>
    <w:rsid w:val="4B69136D"/>
    <w:rsid w:val="4BD444F6"/>
    <w:rsid w:val="4BE90C39"/>
    <w:rsid w:val="4BFE0015"/>
    <w:rsid w:val="4C184159"/>
    <w:rsid w:val="4C4334E7"/>
    <w:rsid w:val="4CA02E7A"/>
    <w:rsid w:val="4CC254E6"/>
    <w:rsid w:val="4CD64AED"/>
    <w:rsid w:val="4D8E7176"/>
    <w:rsid w:val="4D9D385D"/>
    <w:rsid w:val="4DC62DB4"/>
    <w:rsid w:val="4DC64B62"/>
    <w:rsid w:val="4DD8667B"/>
    <w:rsid w:val="4E08619A"/>
    <w:rsid w:val="4E5B704B"/>
    <w:rsid w:val="4E740A62"/>
    <w:rsid w:val="4EE47996"/>
    <w:rsid w:val="4F1E5DE7"/>
    <w:rsid w:val="4F846A83"/>
    <w:rsid w:val="4F85110F"/>
    <w:rsid w:val="4FAC734A"/>
    <w:rsid w:val="4FE85264"/>
    <w:rsid w:val="50CB07C1"/>
    <w:rsid w:val="510D4856"/>
    <w:rsid w:val="52540079"/>
    <w:rsid w:val="52727DC1"/>
    <w:rsid w:val="529671F9"/>
    <w:rsid w:val="52E579D6"/>
    <w:rsid w:val="538C7084"/>
    <w:rsid w:val="53901E9A"/>
    <w:rsid w:val="53AC47FA"/>
    <w:rsid w:val="53C2401E"/>
    <w:rsid w:val="53D578AD"/>
    <w:rsid w:val="53EC2E48"/>
    <w:rsid w:val="54656DB3"/>
    <w:rsid w:val="54882B71"/>
    <w:rsid w:val="54E3249D"/>
    <w:rsid w:val="551952E3"/>
    <w:rsid w:val="55872E29"/>
    <w:rsid w:val="55911EF9"/>
    <w:rsid w:val="55D41DE6"/>
    <w:rsid w:val="561B17C3"/>
    <w:rsid w:val="56462CE4"/>
    <w:rsid w:val="56705FB3"/>
    <w:rsid w:val="570010E5"/>
    <w:rsid w:val="5714693E"/>
    <w:rsid w:val="57346FE0"/>
    <w:rsid w:val="57CB19DE"/>
    <w:rsid w:val="589C308F"/>
    <w:rsid w:val="58A3441E"/>
    <w:rsid w:val="58A9755A"/>
    <w:rsid w:val="58D2260D"/>
    <w:rsid w:val="597731B4"/>
    <w:rsid w:val="599476BF"/>
    <w:rsid w:val="5A1E1882"/>
    <w:rsid w:val="5A625C12"/>
    <w:rsid w:val="5A7056A7"/>
    <w:rsid w:val="5ABA3CA0"/>
    <w:rsid w:val="5ACE32A8"/>
    <w:rsid w:val="5AF21CB4"/>
    <w:rsid w:val="5B7F45A2"/>
    <w:rsid w:val="5BFB00CD"/>
    <w:rsid w:val="5C5958C8"/>
    <w:rsid w:val="5C693288"/>
    <w:rsid w:val="5CA97B29"/>
    <w:rsid w:val="5CEE6D21"/>
    <w:rsid w:val="5D0D6309"/>
    <w:rsid w:val="5D8774BB"/>
    <w:rsid w:val="5DA75153"/>
    <w:rsid w:val="5E547CF9"/>
    <w:rsid w:val="5E5979E0"/>
    <w:rsid w:val="5E6C7060"/>
    <w:rsid w:val="5E8C5954"/>
    <w:rsid w:val="5F3A0F0C"/>
    <w:rsid w:val="60115A67"/>
    <w:rsid w:val="60E47381"/>
    <w:rsid w:val="6155202D"/>
    <w:rsid w:val="618741B1"/>
    <w:rsid w:val="626A7D5A"/>
    <w:rsid w:val="628D57F7"/>
    <w:rsid w:val="62976675"/>
    <w:rsid w:val="62B611F1"/>
    <w:rsid w:val="62FB1290"/>
    <w:rsid w:val="63503522"/>
    <w:rsid w:val="637A3FCD"/>
    <w:rsid w:val="63BA479C"/>
    <w:rsid w:val="63D8361B"/>
    <w:rsid w:val="63FF0976"/>
    <w:rsid w:val="64E33DF4"/>
    <w:rsid w:val="652A37D1"/>
    <w:rsid w:val="65870C23"/>
    <w:rsid w:val="65A13A93"/>
    <w:rsid w:val="66B56DB2"/>
    <w:rsid w:val="67642FCA"/>
    <w:rsid w:val="677A27ED"/>
    <w:rsid w:val="677E1BB2"/>
    <w:rsid w:val="67C63C85"/>
    <w:rsid w:val="68DD74D8"/>
    <w:rsid w:val="6974326C"/>
    <w:rsid w:val="69EE301F"/>
    <w:rsid w:val="6A0C16F7"/>
    <w:rsid w:val="6A885221"/>
    <w:rsid w:val="6ABE50E7"/>
    <w:rsid w:val="6C5F0204"/>
    <w:rsid w:val="6C7A503E"/>
    <w:rsid w:val="6C861C34"/>
    <w:rsid w:val="6CFC78E9"/>
    <w:rsid w:val="6D3277F3"/>
    <w:rsid w:val="6D630B66"/>
    <w:rsid w:val="6D893768"/>
    <w:rsid w:val="6DCC18C9"/>
    <w:rsid w:val="6DE34BE2"/>
    <w:rsid w:val="6E492F1A"/>
    <w:rsid w:val="6F921546"/>
    <w:rsid w:val="70840695"/>
    <w:rsid w:val="71A86C91"/>
    <w:rsid w:val="71BB0B59"/>
    <w:rsid w:val="728269FA"/>
    <w:rsid w:val="72924216"/>
    <w:rsid w:val="747E1443"/>
    <w:rsid w:val="74AF129E"/>
    <w:rsid w:val="74CC21AE"/>
    <w:rsid w:val="75171A80"/>
    <w:rsid w:val="752B3379"/>
    <w:rsid w:val="754937FF"/>
    <w:rsid w:val="759E1500"/>
    <w:rsid w:val="75D73DE6"/>
    <w:rsid w:val="76393874"/>
    <w:rsid w:val="763B41A3"/>
    <w:rsid w:val="771D3195"/>
    <w:rsid w:val="773427EF"/>
    <w:rsid w:val="778925D9"/>
    <w:rsid w:val="77D548DA"/>
    <w:rsid w:val="78AC657F"/>
    <w:rsid w:val="78E0091E"/>
    <w:rsid w:val="78FC789E"/>
    <w:rsid w:val="790C78A0"/>
    <w:rsid w:val="79B37DE1"/>
    <w:rsid w:val="79FA674E"/>
    <w:rsid w:val="7A0643B5"/>
    <w:rsid w:val="7A067F11"/>
    <w:rsid w:val="7B2C7E4B"/>
    <w:rsid w:val="7B775554"/>
    <w:rsid w:val="7BC167E5"/>
    <w:rsid w:val="7BDE7397"/>
    <w:rsid w:val="7C0152CF"/>
    <w:rsid w:val="7C3945CD"/>
    <w:rsid w:val="7C3E119D"/>
    <w:rsid w:val="7C4A4A2C"/>
    <w:rsid w:val="7CE75F92"/>
    <w:rsid w:val="7CFD376D"/>
    <w:rsid w:val="7D641AFB"/>
    <w:rsid w:val="7D913F95"/>
    <w:rsid w:val="7DBE3D05"/>
    <w:rsid w:val="7E5D031B"/>
    <w:rsid w:val="7ECF1B17"/>
    <w:rsid w:val="7EEA3A51"/>
    <w:rsid w:val="7F1629A4"/>
    <w:rsid w:val="7F6F0306"/>
    <w:rsid w:val="7F9B6E3D"/>
    <w:rsid w:val="BBF54A57"/>
    <w:rsid w:val="DFCD97E7"/>
    <w:rsid w:val="FBC1D5BA"/>
    <w:rsid w:val="FCFE36B0"/>
    <w:rsid w:val="FEAF98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tabs>
        <w:tab w:val="left" w:pos="3360"/>
      </w:tabs>
      <w:snapToGrid w:val="0"/>
      <w:spacing w:before="312" w:beforeLines="100" w:after="156" w:afterLines="50" w:line="800" w:lineRule="atLeast"/>
      <w:jc w:val="center"/>
      <w:outlineLvl w:val="0"/>
    </w:pPr>
    <w:rPr>
      <w:rFonts w:eastAsia="黑体"/>
      <w:sz w:val="44"/>
    </w:rPr>
  </w:style>
  <w:style w:type="paragraph" w:styleId="4">
    <w:name w:val="heading 3"/>
    <w:basedOn w:val="1"/>
    <w:next w:val="1"/>
    <w:qFormat/>
    <w:uiPriority w:val="0"/>
    <w:pPr>
      <w:keepNext/>
      <w:keepLines/>
      <w:numPr>
        <w:ilvl w:val="2"/>
        <w:numId w:val="1"/>
      </w:numPr>
      <w:spacing w:before="120" w:line="360" w:lineRule="auto"/>
      <w:outlineLvl w:val="2"/>
    </w:pPr>
    <w:rPr>
      <w:rFonts w:ascii="微软雅黑" w:hAnsi="微软雅黑" w:eastAsia="微软雅黑"/>
      <w:b/>
      <w:bCs/>
      <w:kern w:val="0"/>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8"/>
    <w:qFormat/>
    <w:uiPriority w:val="99"/>
    <w:pPr>
      <w:spacing w:after="120"/>
    </w:pPr>
  </w:style>
  <w:style w:type="paragraph" w:styleId="5">
    <w:name w:val="Normal Indent"/>
    <w:basedOn w:val="1"/>
    <w:qFormat/>
    <w:uiPriority w:val="0"/>
    <w:pPr>
      <w:adjustRightInd w:val="0"/>
      <w:snapToGrid w:val="0"/>
      <w:spacing w:line="360" w:lineRule="auto"/>
      <w:ind w:firstLine="420"/>
    </w:pPr>
    <w:rPr>
      <w:sz w:val="24"/>
    </w:rPr>
  </w:style>
  <w:style w:type="paragraph" w:styleId="6">
    <w:name w:val="Body Text Indent"/>
    <w:basedOn w:val="1"/>
    <w:next w:val="7"/>
    <w:qFormat/>
    <w:uiPriority w:val="0"/>
    <w:pPr>
      <w:widowControl/>
      <w:spacing w:line="360" w:lineRule="auto"/>
      <w:ind w:firstLine="280" w:firstLineChars="100"/>
    </w:pPr>
    <w:rPr>
      <w:rFonts w:ascii="仿宋_GB2312" w:eastAsia="仿宋_GB2312"/>
      <w:kern w:val="0"/>
      <w:sz w:val="30"/>
      <w:szCs w:val="20"/>
    </w:rPr>
  </w:style>
  <w:style w:type="paragraph" w:styleId="7">
    <w:name w:val="envelope return"/>
    <w:basedOn w:val="1"/>
    <w:qFormat/>
    <w:uiPriority w:val="0"/>
    <w:pPr>
      <w:snapToGrid w:val="0"/>
    </w:pPr>
    <w:rPr>
      <w:rFonts w:ascii="Arial" w:hAnsi="Arial"/>
    </w:rPr>
  </w:style>
  <w:style w:type="paragraph" w:styleId="8">
    <w:name w:val="Plain Text"/>
    <w:basedOn w:val="1"/>
    <w:qFormat/>
    <w:uiPriority w:val="0"/>
    <w:rPr>
      <w:rFonts w:hAnsi="Courier New"/>
      <w:szCs w:val="20"/>
    </w:rPr>
  </w:style>
  <w:style w:type="paragraph" w:styleId="9">
    <w:name w:val="footer"/>
    <w:basedOn w:val="1"/>
    <w:unhideWhenUsed/>
    <w:qFormat/>
    <w:uiPriority w:val="99"/>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2">
    <w:name w:val="Body Text First Indent"/>
    <w:basedOn w:val="2"/>
    <w:qFormat/>
    <w:uiPriority w:val="0"/>
    <w:pPr>
      <w:ind w:firstLine="420" w:firstLineChars="100"/>
    </w:pPr>
    <w:rPr>
      <w:szCs w:val="24"/>
    </w:rPr>
  </w:style>
  <w:style w:type="paragraph" w:styleId="13">
    <w:name w:val="Body Text First Indent 2"/>
    <w:basedOn w:val="6"/>
    <w:qFormat/>
    <w:uiPriority w:val="0"/>
    <w:pPr>
      <w:spacing w:after="120"/>
      <w:ind w:left="420" w:leftChars="200" w:firstLine="420" w:firstLineChars="200"/>
    </w:pPr>
    <w:rPr>
      <w:rFonts w:ascii="Times New Roman" w:eastAsia="宋体"/>
      <w:sz w:val="21"/>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7">
    <w:name w:val="List Paragraph"/>
    <w:basedOn w:val="1"/>
    <w:qFormat/>
    <w:uiPriority w:val="99"/>
    <w:pPr>
      <w:ind w:firstLine="420" w:firstLineChars="200"/>
    </w:pPr>
  </w:style>
  <w:style w:type="character" w:customStyle="1" w:styleId="18">
    <w:name w:val="正文文本 字符"/>
    <w:basedOn w:val="16"/>
    <w:link w:val="2"/>
    <w:qFormat/>
    <w:uiPriority w:val="99"/>
    <w:rPr>
      <w:kern w:val="2"/>
      <w:sz w:val="21"/>
      <w:szCs w:val="24"/>
    </w:rPr>
  </w:style>
  <w:style w:type="paragraph" w:customStyle="1" w:styleId="19">
    <w:name w:val="*正文"/>
    <w:basedOn w:val="1"/>
    <w:qFormat/>
    <w:uiPriority w:val="0"/>
    <w:pPr>
      <w:spacing w:line="360" w:lineRule="auto"/>
      <w:ind w:firstLine="200" w:firstLineChars="200"/>
    </w:pPr>
    <w:rPr>
      <w:rFonts w:hint="default" w:ascii="宋体" w:hAnsi="宋体" w:eastAsia="仿宋_GB2312"/>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3047</Words>
  <Characters>3127</Characters>
  <Lines>20</Lines>
  <Paragraphs>5</Paragraphs>
  <TotalTime>4</TotalTime>
  <ScaleCrop>false</ScaleCrop>
  <LinksUpToDate>false</LinksUpToDate>
  <CharactersWithSpaces>3144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2022-09-16T15:18:00Z</dcterms:created>
  <dc:creator>完美懈梦</dc:creator>
  <cp:lastModifiedBy>周雨</cp:lastModifiedBy>
  <dcterms:modified xsi:type="dcterms:W3CDTF">2025-10-27T07:32:25Z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EF7E722BFAAE271496622A63598B1020</vt:lpwstr>
  </property>
  <property fmtid="{D5CDD505-2E9C-101B-9397-08002B2CF9AE}" pid="4" name="KSOSaveFontToCloudKey">
    <vt:lpwstr>444817304_cloud</vt:lpwstr>
  </property>
  <property fmtid="{D5CDD505-2E9C-101B-9397-08002B2CF9AE}" pid="5" name="KSOTemplateDocerSaveRecord">
    <vt:lpwstr>eyJoZGlkIjoiMzJmODM0MjU3OWJiNTgwNDc2OWYwOTY3ZGZmMWEwYTQiLCJ1c2VySWQiOiI0NDQ4MTczMDQifQ==</vt:lpwstr>
  </property>
</Properties>
</file>