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F0A62">
      <w:pPr>
        <w:pStyle w:val="2"/>
        <w:keepNext/>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70" w:lineRule="exact"/>
        <w:jc w:val="center"/>
        <w:textAlignment w:val="auto"/>
        <w:rPr>
          <w:rFonts w:hint="eastAsia" w:ascii="方正小标宋_GBK" w:hAnsi="方正小标宋_GBK" w:eastAsia="方正小标宋_GBK" w:cs="方正小标宋_GBK"/>
          <w:color w:val="auto"/>
          <w:spacing w:val="0"/>
          <w:kern w:val="0"/>
          <w:sz w:val="44"/>
          <w:szCs w:val="44"/>
          <w:highlight w:val="none"/>
          <w:lang w:val="en-US" w:eastAsia="zh-CN"/>
        </w:rPr>
      </w:pPr>
      <w:r>
        <w:rPr>
          <w:rFonts w:hint="eastAsia" w:ascii="方正小标宋_GBK" w:hAnsi="方正小标宋_GBK" w:eastAsia="方正小标宋_GBK" w:cs="方正小标宋_GBK"/>
          <w:color w:val="auto"/>
          <w:spacing w:val="0"/>
          <w:kern w:val="0"/>
          <w:sz w:val="44"/>
          <w:szCs w:val="44"/>
          <w:highlight w:val="none"/>
          <w:lang w:val="en-US" w:eastAsia="zh-CN"/>
        </w:rPr>
        <w:t>重庆市巴南区图书馆2026年全馆信息化硬件设备运行维修维护服务项目询价参数</w:t>
      </w:r>
    </w:p>
    <w:p w14:paraId="2918B963">
      <w:pPr>
        <w:pStyle w:val="2"/>
        <w:keepNext/>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70" w:lineRule="exact"/>
        <w:jc w:val="center"/>
        <w:textAlignment w:val="auto"/>
        <w:rPr>
          <w:rFonts w:hint="default"/>
          <w:lang w:val="en-US" w:eastAsia="zh-CN"/>
        </w:rPr>
      </w:pPr>
    </w:p>
    <w:p w14:paraId="364F0D8F">
      <w:pPr>
        <w:spacing w:line="570" w:lineRule="exact"/>
        <w:rPr>
          <w:rFonts w:hint="eastAsia" w:ascii="方正黑体_GBK" w:hAnsi="Times New Roman" w:eastAsia="方正黑体_GBK" w:cs="Times New Roman"/>
          <w:sz w:val="32"/>
          <w:szCs w:val="32"/>
          <w:lang w:val="en-US" w:eastAsia="zh-CN"/>
        </w:rPr>
      </w:pPr>
      <w:r>
        <w:rPr>
          <w:rFonts w:hint="eastAsia" w:ascii="方正黑体_GBK" w:eastAsia="方正黑体_GBK" w:cs="Times New Roman"/>
          <w:sz w:val="32"/>
          <w:szCs w:val="32"/>
          <w:lang w:val="en-US" w:eastAsia="zh-CN"/>
        </w:rPr>
        <w:t>一</w:t>
      </w:r>
      <w:r>
        <w:rPr>
          <w:rFonts w:hint="eastAsia" w:ascii="方正黑体_GBK" w:hAnsi="Times New Roman" w:eastAsia="方正黑体_GBK" w:cs="Times New Roman"/>
          <w:sz w:val="32"/>
          <w:szCs w:val="32"/>
          <w:lang w:val="en-US" w:eastAsia="zh-CN"/>
        </w:rPr>
        <w:t>、项目名称</w:t>
      </w:r>
    </w:p>
    <w:p w14:paraId="2D3B07C0">
      <w:pPr>
        <w:pStyle w:val="2"/>
        <w:keepNext/>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重庆市巴南区图书馆2026年全馆信息化硬件设备运行维修维护服务</w:t>
      </w:r>
    </w:p>
    <w:p w14:paraId="63BA314B">
      <w:pPr>
        <w:spacing w:line="570" w:lineRule="exact"/>
        <w:rPr>
          <w:rFonts w:ascii="方正仿宋_GBK" w:hAnsi="方正仿宋_GBK" w:eastAsia="方正黑体_GBK" w:cs="方正仿宋_GBK"/>
          <w:sz w:val="32"/>
          <w:szCs w:val="32"/>
        </w:rPr>
      </w:pPr>
      <w:r>
        <w:rPr>
          <w:rFonts w:hint="eastAsia" w:ascii="方正黑体_GBK" w:hAnsi="Times New Roman" w:eastAsia="方正黑体_GBK" w:cs="Times New Roman"/>
          <w:sz w:val="32"/>
          <w:szCs w:val="32"/>
        </w:rPr>
        <w:t>二、</w:t>
      </w:r>
      <w:r>
        <w:rPr>
          <w:rFonts w:ascii="方正黑体_GBK" w:hAnsi="Times New Roman" w:eastAsia="方正黑体_GBK" w:cs="Times New Roman"/>
          <w:sz w:val="32"/>
          <w:szCs w:val="32"/>
        </w:rPr>
        <w:t>商务参数</w:t>
      </w:r>
      <w:r>
        <w:rPr>
          <w:rFonts w:hint="eastAsia" w:ascii="方正黑体_GBK" w:hAnsi="Times New Roman" w:eastAsia="方正黑体_GBK" w:cs="Times New Roman"/>
          <w:sz w:val="32"/>
          <w:szCs w:val="32"/>
        </w:rPr>
        <w:t>和资格条件</w:t>
      </w:r>
    </w:p>
    <w:p w14:paraId="29C5669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1.具有独立承担民事责任的能力；</w:t>
      </w:r>
    </w:p>
    <w:p w14:paraId="1A73C495">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2.具有良好的商业信誉和健全的财务会计制度；</w:t>
      </w:r>
    </w:p>
    <w:p w14:paraId="7C654FE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3.具有履行合同所必需的设备和专业技术能力；</w:t>
      </w:r>
    </w:p>
    <w:p w14:paraId="2E56A03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4.有依法缴纳税收和社会保障资金的良好记录；</w:t>
      </w:r>
    </w:p>
    <w:p w14:paraId="6BC417FF">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5.参加政府采购活动前三年内，在经营活动中没有重大违法记录；</w:t>
      </w:r>
    </w:p>
    <w:p w14:paraId="3F41EB5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6.法律、行政法规规定的其他条件。</w:t>
      </w:r>
    </w:p>
    <w:p w14:paraId="22D8F0AC">
      <w:pPr>
        <w:spacing w:line="570" w:lineRule="exact"/>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w:t>
      </w:r>
      <w:r>
        <w:rPr>
          <w:rFonts w:ascii="方正黑体_GBK" w:hAnsi="Times New Roman" w:eastAsia="方正黑体_GBK" w:cs="Times New Roman"/>
          <w:sz w:val="32"/>
          <w:szCs w:val="32"/>
        </w:rPr>
        <w:t>技术参数</w:t>
      </w:r>
      <w:r>
        <w:rPr>
          <w:rFonts w:hint="eastAsia" w:ascii="方正黑体_GBK" w:hAnsi="Times New Roman" w:eastAsia="方正黑体_GBK" w:cs="Times New Roman"/>
          <w:sz w:val="32"/>
          <w:szCs w:val="32"/>
        </w:rPr>
        <w:t>和服务要求</w:t>
      </w:r>
    </w:p>
    <w:p w14:paraId="776AC98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（一）实施地点：重庆市巴南区图书馆</w:t>
      </w:r>
    </w:p>
    <w:p w14:paraId="78A3A99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巴南区图书馆，包括龙洲湾巴南文化艺术中心总馆（以下简称总馆）、李家沱直属分馆、鱼洞直属分馆以及总馆下设的7个24小时自助图书馆室内自动化、信息化设备（清单附后）的日常运行维护和故障处置。</w:t>
      </w:r>
    </w:p>
    <w:p w14:paraId="5035ABE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（二）维保人员要求</w:t>
      </w:r>
    </w:p>
    <w:p w14:paraId="63CA6B6B">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中标供应商需派驻3名驻巴南区图书馆</w:t>
      </w:r>
      <w:r>
        <w:rPr>
          <w:rFonts w:hint="eastAsia" w:ascii="方正仿宋_GBK" w:hAnsi="方正仿宋_GBK" w:eastAsia="方正仿宋_GBK" w:cs="方正仿宋_GBK"/>
          <w:sz w:val="32"/>
          <w:szCs w:val="32"/>
          <w:lang w:val="en-US" w:eastAsia="zh-CN"/>
        </w:rPr>
        <w:t>总馆</w:t>
      </w:r>
      <w:r>
        <w:rPr>
          <w:rFonts w:hint="default" w:ascii="方正仿宋_GBK" w:hAnsi="方正仿宋_GBK" w:eastAsia="方正仿宋_GBK" w:cs="方正仿宋_GBK"/>
          <w:sz w:val="32"/>
          <w:szCs w:val="32"/>
          <w:lang w:val="en-US" w:eastAsia="zh-CN"/>
        </w:rPr>
        <w:t>现场技术服务人员（简称“驻场人员”），驻场技术服务人员需具有计算机、网络、图书自助借还等设备维护5年以上经验。驻场人员工作时间、考勤纪律与本馆行政上班人员要求一致。（签订合同之前，中标供应商应出具</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名单，</w:t>
      </w:r>
      <w:r>
        <w:rPr>
          <w:rFonts w:hint="eastAsia" w:ascii="方正仿宋_GBK" w:hAnsi="方正仿宋_GBK" w:eastAsia="方正仿宋_GBK" w:cs="方正仿宋_GBK"/>
          <w:sz w:val="32"/>
          <w:szCs w:val="32"/>
          <w:lang w:val="en-US" w:eastAsia="zh-CN"/>
        </w:rPr>
        <w:t>其在中标供应商的</w:t>
      </w:r>
      <w:r>
        <w:rPr>
          <w:rFonts w:hint="default" w:ascii="方正仿宋_GBK" w:hAnsi="方正仿宋_GBK" w:eastAsia="方正仿宋_GBK" w:cs="方正仿宋_GBK"/>
          <w:sz w:val="32"/>
          <w:szCs w:val="32"/>
          <w:lang w:val="en-US" w:eastAsia="zh-CN"/>
        </w:rPr>
        <w:t>社保</w:t>
      </w:r>
      <w:r>
        <w:rPr>
          <w:rFonts w:hint="eastAsia" w:ascii="方正仿宋_GBK" w:hAnsi="方正仿宋_GBK" w:eastAsia="方正仿宋_GBK" w:cs="方正仿宋_GBK"/>
          <w:sz w:val="32"/>
          <w:szCs w:val="32"/>
          <w:lang w:val="en-US" w:eastAsia="zh-CN"/>
        </w:rPr>
        <w:t>资质、专业技术资质</w:t>
      </w:r>
      <w:r>
        <w:rPr>
          <w:rFonts w:hint="default" w:ascii="方正仿宋_GBK" w:hAnsi="方正仿宋_GBK" w:eastAsia="方正仿宋_GBK" w:cs="方正仿宋_GBK"/>
          <w:sz w:val="32"/>
          <w:szCs w:val="32"/>
          <w:lang w:val="en-US" w:eastAsia="zh-CN"/>
        </w:rPr>
        <w:t>，否则采购方有权单方面拒绝签订合同）。</w:t>
      </w:r>
    </w:p>
    <w:p w14:paraId="7053A5CB">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须具备相应的技术能力和应急处置能力，处理和协调各种PC、多媒体平台、常用操作系统及软硬件基本故障及突发的系统事件，熟悉Windows操作系统及常用办公软件、熟悉计算机硬件安装调试，具有较强的沟通能力和保密意识。在协议期内将与用户方签订保密协议</w:t>
      </w:r>
      <w:r>
        <w:rPr>
          <w:rFonts w:hint="eastAsia" w:ascii="方正仿宋_GBK" w:hAnsi="方正仿宋_GBK" w:eastAsia="方正仿宋_GBK" w:cs="方正仿宋_GBK"/>
          <w:sz w:val="32"/>
          <w:szCs w:val="32"/>
          <w:lang w:val="en-US" w:eastAsia="zh-CN"/>
        </w:rPr>
        <w:t>；</w:t>
      </w:r>
    </w:p>
    <w:p w14:paraId="2D2A6299">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在没有提前告知的情况下，不得无故缺勤；</w:t>
      </w:r>
    </w:p>
    <w:p w14:paraId="4DF6A067">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必须对机房及设备进行必要的巡查，做好巡查日志记录；</w:t>
      </w:r>
    </w:p>
    <w:p w14:paraId="25FFB4EB">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严禁将电脑病毒带入监管电脑；</w:t>
      </w:r>
    </w:p>
    <w:p w14:paraId="02EAFAD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在检查到或接到故障报警时，根据故障实际情况，通知对应的专业人员即时进行处理</w:t>
      </w:r>
      <w:r>
        <w:rPr>
          <w:rFonts w:hint="eastAsia" w:ascii="方正仿宋_GBK" w:hAnsi="方正仿宋_GBK" w:eastAsia="方正仿宋_GBK" w:cs="方正仿宋_GBK"/>
          <w:sz w:val="32"/>
          <w:szCs w:val="32"/>
          <w:lang w:val="en-US" w:eastAsia="zh-CN"/>
        </w:rPr>
        <w:t>。</w:t>
      </w:r>
    </w:p>
    <w:p w14:paraId="26F2EE88">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（三）维保服务要求</w:t>
      </w:r>
    </w:p>
    <w:p w14:paraId="2FEABE05">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运维流程</w:t>
      </w:r>
    </w:p>
    <w:p w14:paraId="3AD39FD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（1）指导进行常规检查，处理一般故障</w:t>
      </w:r>
    </w:p>
    <w:p w14:paraId="0906351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（2）判断故障范围，根据故障难度调度维护人员现场服务</w:t>
      </w:r>
    </w:p>
    <w:p w14:paraId="4D1E6A5A">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（3）查看现场，判断类别，报告相关技术问题</w:t>
      </w:r>
    </w:p>
    <w:p w14:paraId="225B854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（4）解决故障，完毕后清理现场，有始有终</w:t>
      </w:r>
    </w:p>
    <w:p w14:paraId="56EA59D9">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（5）合同生效后，公司将根据工作内容安排专业的维护人员为图书馆进行全面的服务，并且为图书馆提供体统升级、扩展、设备选型方面的咨询服务。</w:t>
      </w:r>
    </w:p>
    <w:p w14:paraId="2C1C87CE">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（6）图书馆设备出现问题或故障，通过电话及邮件方式申报故障；</w:t>
      </w:r>
    </w:p>
    <w:p w14:paraId="36B6058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（7）故障受理后维护人员在规定时间内做出响应；</w:t>
      </w:r>
    </w:p>
    <w:p w14:paraId="53A6BFB8">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（8）先通过电话指导进行常规检查，处理一般故障；</w:t>
      </w:r>
    </w:p>
    <w:p w14:paraId="243D669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（9）判断故障范围，根据故障难度调度维护人员现场服务；</w:t>
      </w:r>
    </w:p>
    <w:p w14:paraId="62D91C58">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（10）查看现场，判断类别，报告相关技术问题；</w:t>
      </w:r>
    </w:p>
    <w:p w14:paraId="13579A20">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（11）解决故障，完毕后清理现场，有始有终。</w:t>
      </w:r>
    </w:p>
    <w:p w14:paraId="39C55C97">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维护内容</w:t>
      </w:r>
    </w:p>
    <w:p w14:paraId="7096EBA1">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（1）对本馆信息机房内服务器和存储设备提供原厂硬件质量延保服务（清单附后）。</w:t>
      </w:r>
    </w:p>
    <w:p w14:paraId="4F9B0CE2">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2</w:t>
      </w:r>
      <w:r>
        <w:rPr>
          <w:rFonts w:hint="default" w:ascii="方正仿宋_GBK" w:hAnsi="方正仿宋_GBK" w:eastAsia="方正仿宋_GBK" w:cs="方正仿宋_GBK"/>
          <w:sz w:val="32"/>
          <w:szCs w:val="32"/>
          <w:lang w:val="en-US" w:eastAsia="zh-CN"/>
        </w:rPr>
        <w:t>）有线网络、电话以及路由器、交换机、电话交换机等相关设备运维。</w:t>
      </w:r>
    </w:p>
    <w:p w14:paraId="54D11FF1">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有线网的线路进行维护，定期检查路由器、交换机是否正常运行，若发生故障，质保期类的设备应立即联系质保单位派人前来解决故障，保证图书馆正常办公、使用。负责对图书馆大楼内所有强电、弱电线路、ODF架、电话配线架等设备和线路按要求进行维护，确保线路走线规范、标识清晰。负责对图书馆大楼所有办公室内的面板、网络模块等设施进行运维管理。对所有网线按要求分类贴标签，确保线路和标签规范整洁。</w:t>
      </w:r>
    </w:p>
    <w:p w14:paraId="7377D9C4">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核心路由器、交换机故障，立即响应并在1个小时内修复；对于楼层交换机鱼洞、李家沱分馆交换机故障，立即响应并在2个小时内修复。图书馆大楼内部线路故障，在1个小时内恢复；鱼洞、李家沱分馆线路故障，在2小时内恢复(注:运营商线路部分由运营商负责)。</w:t>
      </w:r>
    </w:p>
    <w:p w14:paraId="06E2D34D">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3</w:t>
      </w:r>
      <w:r>
        <w:rPr>
          <w:rFonts w:hint="default" w:ascii="方正仿宋_GBK" w:hAnsi="方正仿宋_GBK" w:eastAsia="方正仿宋_GBK" w:cs="方正仿宋_GBK"/>
          <w:sz w:val="32"/>
          <w:szCs w:val="32"/>
          <w:lang w:val="en-US" w:eastAsia="zh-CN"/>
        </w:rPr>
        <w:t>）电话及相关设备维护</w:t>
      </w:r>
    </w:p>
    <w:p w14:paraId="432E444F">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负责对图书馆所有号码进行分配管理，确保各单位号码分配合理。负责对图书馆大楼电话、线路等与电话相关的信息设备进行维护，并按要求完成各部门电话的新装、调试、改造、迁移及管理等工作。</w:t>
      </w:r>
    </w:p>
    <w:p w14:paraId="08DF0415">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对于图书馆大楼，电话设备发生故障承诺在0.5个小时内响应，对于鱼洞分馆、李家沱分馆电话设备发生故障，承诺在1小时内响应。</w:t>
      </w:r>
    </w:p>
    <w:p w14:paraId="2A60570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4</w:t>
      </w:r>
      <w:r>
        <w:rPr>
          <w:rFonts w:hint="default" w:ascii="方正仿宋_GBK" w:hAnsi="方正仿宋_GBK" w:eastAsia="方正仿宋_GBK" w:cs="方正仿宋_GBK"/>
          <w:sz w:val="32"/>
          <w:szCs w:val="32"/>
          <w:lang w:val="en-US" w:eastAsia="zh-CN"/>
        </w:rPr>
        <w:t>）电脑、打印机、扫描仪等办公设备终端运维</w:t>
      </w:r>
    </w:p>
    <w:p w14:paraId="5DC1CAFE">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负责图书馆大楼内计算机、打印机、扫描仪、电视机、等设备的安装调试、故障处理、工位迁移及设备配置调整、使用技术支持、设备维修等服务。计算机操作系统及常用办公软件维护：包含图书馆所有已有或新增计算机的操作系统、办公软件、浏览器、输入法及字体安装、杀毒软件安装、配置、故障诊断和处理、程序升级等服务。办公设备资产辅助管理：协助图书馆相关部门开展计算机及外设等设备设施清点、贴标、报废检查等工作，并定期更新相关设备台账。</w:t>
      </w:r>
    </w:p>
    <w:p w14:paraId="0438E5CF">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5</w:t>
      </w:r>
      <w:r>
        <w:rPr>
          <w:rFonts w:hint="default" w:ascii="方正仿宋_GBK" w:hAnsi="方正仿宋_GBK" w:eastAsia="方正仿宋_GBK" w:cs="方正仿宋_GBK"/>
          <w:sz w:val="32"/>
          <w:szCs w:val="32"/>
          <w:lang w:val="en-US" w:eastAsia="zh-CN"/>
        </w:rPr>
        <w:t>）其他运维工作</w:t>
      </w:r>
    </w:p>
    <w:p w14:paraId="637222B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根据</w:t>
      </w:r>
      <w:r>
        <w:rPr>
          <w:rFonts w:hint="eastAsia" w:ascii="方正仿宋_GBK" w:hAnsi="方正仿宋_GBK" w:eastAsia="方正仿宋_GBK" w:cs="方正仿宋_GBK"/>
          <w:sz w:val="32"/>
          <w:szCs w:val="32"/>
          <w:lang w:val="en-US" w:eastAsia="zh-CN"/>
        </w:rPr>
        <w:t>巴南区</w:t>
      </w:r>
      <w:r>
        <w:rPr>
          <w:rFonts w:hint="default" w:ascii="方正仿宋_GBK" w:hAnsi="方正仿宋_GBK" w:eastAsia="方正仿宋_GBK" w:cs="方正仿宋_GBK"/>
          <w:sz w:val="32"/>
          <w:szCs w:val="32"/>
          <w:lang w:val="en-US" w:eastAsia="zh-CN"/>
        </w:rPr>
        <w:t>图书馆提出的终端维护要求，中标供应商应作出如下响应：</w:t>
      </w:r>
    </w:p>
    <w:p w14:paraId="03B1790C">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图书馆总馆、鱼洞</w:t>
      </w:r>
      <w:r>
        <w:rPr>
          <w:rFonts w:hint="eastAsia" w:ascii="方正仿宋_GBK" w:hAnsi="方正仿宋_GBK" w:eastAsia="方正仿宋_GBK" w:cs="方正仿宋_GBK"/>
          <w:sz w:val="32"/>
          <w:szCs w:val="32"/>
          <w:lang w:val="en-US" w:eastAsia="zh-CN"/>
        </w:rPr>
        <w:t>直属</w:t>
      </w:r>
      <w:r>
        <w:rPr>
          <w:rFonts w:hint="default" w:ascii="方正仿宋_GBK" w:hAnsi="方正仿宋_GBK" w:eastAsia="方正仿宋_GBK" w:cs="方正仿宋_GBK"/>
          <w:sz w:val="32"/>
          <w:szCs w:val="32"/>
          <w:lang w:val="en-US" w:eastAsia="zh-CN"/>
        </w:rPr>
        <w:t>分馆、李家沱</w:t>
      </w:r>
      <w:r>
        <w:rPr>
          <w:rFonts w:hint="eastAsia" w:ascii="方正仿宋_GBK" w:hAnsi="方正仿宋_GBK" w:eastAsia="方正仿宋_GBK" w:cs="方正仿宋_GBK"/>
          <w:sz w:val="32"/>
          <w:szCs w:val="32"/>
          <w:lang w:val="en-US" w:eastAsia="zh-CN"/>
        </w:rPr>
        <w:t>直属</w:t>
      </w:r>
      <w:r>
        <w:rPr>
          <w:rFonts w:hint="default" w:ascii="方正仿宋_GBK" w:hAnsi="方正仿宋_GBK" w:eastAsia="方正仿宋_GBK" w:cs="方正仿宋_GBK"/>
          <w:sz w:val="32"/>
          <w:szCs w:val="32"/>
          <w:lang w:val="en-US" w:eastAsia="zh-CN"/>
        </w:rPr>
        <w:t>分馆各类办公设备和网络维修、安装及时上门服务。</w:t>
      </w:r>
    </w:p>
    <w:p w14:paraId="7288D2E1">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图书馆总馆内的各类办公设备和网络在1个小时内解决故障，保证正常办公；鱼洞直属分馆、李家沱直属分馆的电脑等设备故障导致不能正常办公和上网的的情况，1个小时内赶到现场维修，2个小时之内解决故障，保证正常办公。</w:t>
      </w:r>
    </w:p>
    <w:p w14:paraId="5261CA9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对于无法修复，经过图书馆报废的设备不予更换硬件设备。</w:t>
      </w:r>
    </w:p>
    <w:p w14:paraId="67DCCC55">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说明：对上述故障处理，软件故障予以免费维修，硬件故障需要更换硬件解决的经中标供应商和图书馆同意后进行，更换费用由图书馆支付。</w:t>
      </w:r>
    </w:p>
    <w:p w14:paraId="2AEF049E">
      <w:pPr>
        <w:keepNext w:val="0"/>
        <w:keepLines w:val="0"/>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四、</w:t>
      </w:r>
      <w:r>
        <w:rPr>
          <w:rFonts w:ascii="方正黑体_GBK" w:hAnsi="Times New Roman" w:eastAsia="方正黑体_GBK" w:cs="Times New Roman"/>
          <w:sz w:val="32"/>
          <w:szCs w:val="32"/>
        </w:rPr>
        <w:t>采购</w:t>
      </w:r>
      <w:r>
        <w:rPr>
          <w:rFonts w:hint="eastAsia" w:ascii="方正黑体_GBK" w:hAnsi="Times New Roman" w:eastAsia="方正黑体_GBK" w:cs="Times New Roman"/>
          <w:sz w:val="32"/>
          <w:szCs w:val="32"/>
        </w:rPr>
        <w:t>清单</w:t>
      </w:r>
    </w:p>
    <w:p w14:paraId="58D7E0B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1.常规硬件设备维护清单</w:t>
      </w:r>
    </w:p>
    <w:tbl>
      <w:tblPr>
        <w:tblStyle w:val="10"/>
        <w:tblW w:w="88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4"/>
        <w:gridCol w:w="1828"/>
        <w:gridCol w:w="6439"/>
      </w:tblGrid>
      <w:tr w14:paraId="0EBCC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53B6909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序号</w:t>
            </w:r>
          </w:p>
        </w:tc>
        <w:tc>
          <w:tcPr>
            <w:tcW w:w="1828" w:type="dxa"/>
            <w:tcBorders>
              <w:top w:val="single" w:color="000000" w:sz="4" w:space="0"/>
              <w:left w:val="single" w:color="000000" w:sz="4" w:space="0"/>
              <w:bottom w:val="single" w:color="000000" w:sz="4" w:space="0"/>
              <w:right w:val="single" w:color="000000" w:sz="4" w:space="0"/>
            </w:tcBorders>
            <w:vAlign w:val="center"/>
          </w:tcPr>
          <w:p w14:paraId="355567C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品名</w:t>
            </w:r>
          </w:p>
        </w:tc>
        <w:tc>
          <w:tcPr>
            <w:tcW w:w="6439" w:type="dxa"/>
            <w:tcBorders>
              <w:top w:val="single" w:color="000000" w:sz="4" w:space="0"/>
              <w:left w:val="single" w:color="000000" w:sz="4" w:space="0"/>
              <w:bottom w:val="single" w:color="000000" w:sz="4" w:space="0"/>
              <w:right w:val="single" w:color="000000" w:sz="4" w:space="0"/>
            </w:tcBorders>
            <w:vAlign w:val="center"/>
          </w:tcPr>
          <w:p w14:paraId="748B787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服务内容项目</w:t>
            </w:r>
          </w:p>
        </w:tc>
      </w:tr>
      <w:tr w14:paraId="634DD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21C72A41">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w:t>
            </w:r>
          </w:p>
        </w:tc>
        <w:tc>
          <w:tcPr>
            <w:tcW w:w="1828" w:type="dxa"/>
            <w:tcBorders>
              <w:top w:val="single" w:color="000000" w:sz="4" w:space="0"/>
              <w:left w:val="single" w:color="000000" w:sz="4" w:space="0"/>
              <w:bottom w:val="single" w:color="000000" w:sz="4" w:space="0"/>
              <w:right w:val="single" w:color="000000" w:sz="4" w:space="0"/>
            </w:tcBorders>
            <w:vAlign w:val="center"/>
          </w:tcPr>
          <w:p w14:paraId="2B29BC1E">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计算机通用类维护内容</w:t>
            </w:r>
          </w:p>
        </w:tc>
        <w:tc>
          <w:tcPr>
            <w:tcW w:w="6439" w:type="dxa"/>
            <w:tcBorders>
              <w:top w:val="single" w:color="000000" w:sz="4" w:space="0"/>
              <w:left w:val="single" w:color="000000" w:sz="4" w:space="0"/>
              <w:bottom w:val="single" w:color="000000" w:sz="4" w:space="0"/>
              <w:right w:val="single" w:color="000000" w:sz="4" w:space="0"/>
            </w:tcBorders>
            <w:vAlign w:val="center"/>
          </w:tcPr>
          <w:p w14:paraId="581285F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1.全馆所有办公用电脑软硬故障、提供给读者使用的电脑等硬件设备故障处理；</w:t>
            </w:r>
          </w:p>
          <w:p w14:paraId="15997F7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2.windows,linux操作系统的安装与优化；</w:t>
            </w:r>
          </w:p>
          <w:p w14:paraId="2E365B7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3.全馆打印机（激光、针式、条码）网络共享打印、打印机硬件故障处理等维护；</w:t>
            </w:r>
          </w:p>
          <w:p w14:paraId="0BB7D39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4.windows操作系统工作组与域的维护；</w:t>
            </w:r>
          </w:p>
          <w:p w14:paraId="42499611">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5.杀毒软件的安装与病毒查杀防护；</w:t>
            </w:r>
          </w:p>
          <w:p w14:paraId="415869BB">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6.内部局域网的布线和维护；</w:t>
            </w:r>
          </w:p>
          <w:p w14:paraId="4C348AF8">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7.有线网络、电话以及路由器、交换机、电话交换机等相关设备；</w:t>
            </w:r>
          </w:p>
          <w:p w14:paraId="4E9138D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8.业务数据服务器、机房交换机、无线网设备；</w:t>
            </w:r>
          </w:p>
          <w:p w14:paraId="44B15FE5">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9.国产正版化软件安装、维护；</w:t>
            </w:r>
          </w:p>
          <w:p w14:paraId="007C36C6">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default"/>
                <w:sz w:val="21"/>
                <w:szCs w:val="21"/>
                <w:lang w:val="en-US" w:eastAsia="zh-CN"/>
              </w:rPr>
            </w:pPr>
            <w:r>
              <w:rPr>
                <w:rFonts w:hint="eastAsia" w:ascii="方正仿宋_GBK" w:hAnsi="方正仿宋_GBK" w:eastAsia="方正仿宋_GBK" w:cs="方正仿宋_GBK"/>
                <w:color w:val="auto"/>
                <w:sz w:val="21"/>
                <w:szCs w:val="21"/>
                <w:highlight w:val="none"/>
                <w:lang w:val="en-US" w:eastAsia="zh-CN"/>
              </w:rPr>
              <w:t>10.采购人管理的其他涉信息化、计算机类相关设备设施维护。</w:t>
            </w:r>
          </w:p>
        </w:tc>
      </w:tr>
      <w:tr w14:paraId="260B2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10A0DB6F">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w:t>
            </w:r>
          </w:p>
        </w:tc>
        <w:tc>
          <w:tcPr>
            <w:tcW w:w="1828" w:type="dxa"/>
            <w:tcBorders>
              <w:top w:val="single" w:color="000000" w:sz="4" w:space="0"/>
              <w:left w:val="single" w:color="000000" w:sz="4" w:space="0"/>
              <w:bottom w:val="single" w:color="000000" w:sz="4" w:space="0"/>
              <w:right w:val="single" w:color="000000" w:sz="4" w:space="0"/>
            </w:tcBorders>
            <w:vAlign w:val="center"/>
          </w:tcPr>
          <w:p w14:paraId="2B6F8782">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图书馆信息系统维护内容</w:t>
            </w:r>
          </w:p>
        </w:tc>
        <w:tc>
          <w:tcPr>
            <w:tcW w:w="6439" w:type="dxa"/>
            <w:tcBorders>
              <w:top w:val="single" w:color="000000" w:sz="4" w:space="0"/>
              <w:left w:val="single" w:color="000000" w:sz="4" w:space="0"/>
              <w:bottom w:val="single" w:color="000000" w:sz="4" w:space="0"/>
              <w:right w:val="single" w:color="000000" w:sz="4" w:space="0"/>
            </w:tcBorders>
            <w:vAlign w:val="center"/>
          </w:tcPr>
          <w:p w14:paraId="3A6C0A7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1.LED屏、电子触摸屏、数据大屏等；</w:t>
            </w:r>
          </w:p>
          <w:p w14:paraId="581021E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2.自助借还书机、自助办证机等读者自助使用设备；</w:t>
            </w:r>
          </w:p>
          <w:p w14:paraId="11C73FB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3.电子白板；</w:t>
            </w:r>
          </w:p>
          <w:p w14:paraId="311C795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4.二维码借阅机；</w:t>
            </w:r>
          </w:p>
          <w:p w14:paraId="718381A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5.广播系统设备；</w:t>
            </w:r>
          </w:p>
          <w:p w14:paraId="7FC07F7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6.视听设备；</w:t>
            </w:r>
          </w:p>
          <w:p w14:paraId="1989D08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7.放大仪；</w:t>
            </w:r>
          </w:p>
          <w:p w14:paraId="16540F2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8.盲人阅读机；</w:t>
            </w:r>
          </w:p>
          <w:p w14:paraId="6DB380C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9.门禁和闸机设备、自动门、刷卡立柱；</w:t>
            </w:r>
          </w:p>
          <w:p w14:paraId="3ED4043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10.互动体验桌；</w:t>
            </w:r>
          </w:p>
          <w:p w14:paraId="2129E9D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11.VR体验设备；</w:t>
            </w:r>
          </w:p>
          <w:p w14:paraId="54E5A26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12.会议音响投影设备；</w:t>
            </w:r>
          </w:p>
          <w:p w14:paraId="37F5DAC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13.采购人管理和维护的其它信息系统。</w:t>
            </w:r>
          </w:p>
        </w:tc>
      </w:tr>
      <w:tr w14:paraId="61084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34C347AD">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w:t>
            </w:r>
          </w:p>
        </w:tc>
        <w:tc>
          <w:tcPr>
            <w:tcW w:w="1828" w:type="dxa"/>
            <w:tcBorders>
              <w:top w:val="single" w:color="000000" w:sz="4" w:space="0"/>
              <w:left w:val="single" w:color="000000" w:sz="4" w:space="0"/>
              <w:bottom w:val="single" w:color="000000" w:sz="4" w:space="0"/>
              <w:right w:val="single" w:color="000000" w:sz="4" w:space="0"/>
            </w:tcBorders>
            <w:vAlign w:val="center"/>
          </w:tcPr>
          <w:p w14:paraId="71462F04">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办公和读者用计算机终端安全管理系统</w:t>
            </w:r>
          </w:p>
        </w:tc>
        <w:tc>
          <w:tcPr>
            <w:tcW w:w="6439" w:type="dxa"/>
            <w:tcBorders>
              <w:top w:val="single" w:color="000000" w:sz="4" w:space="0"/>
              <w:left w:val="single" w:color="000000" w:sz="4" w:space="0"/>
              <w:bottom w:val="single" w:color="000000" w:sz="4" w:space="0"/>
              <w:right w:val="single" w:color="000000" w:sz="4" w:space="0"/>
            </w:tcBorders>
            <w:vAlign w:val="center"/>
          </w:tcPr>
          <w:p w14:paraId="4EFE2266">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1.产品采用控制端+客户端架构，通过统一控制中心实现对各客户端统一策略下发、运行管理、全网健康状态监测、统一杀毒等、统一补丁功能。</w:t>
            </w:r>
          </w:p>
          <w:p w14:paraId="6987E6D9">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2.全功能支持中英文自由切换。</w:t>
            </w:r>
          </w:p>
          <w:p w14:paraId="2FFCC71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3.支持对终端当扫描到感染型病毒、顽固木马时，自动进入深度查模式，可设置禁止终端用户管理路径或文件白名单、禁止终端用户管理扩展名白名单、扫描时不允许终端用户暂停或停止扫描任务。</w:t>
            </w:r>
          </w:p>
          <w:p w14:paraId="1808DB6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4.支持僵尸网络攻击防护，对流出本机的网络包数据和行为进行检测，根据策略在网络层拦截后门攻击、C2连接等威胁。</w:t>
            </w:r>
          </w:p>
          <w:p w14:paraId="2637DB0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5.支持终端用户和管理员是一套账号管理系统，简化账号管理复杂度，一个账号解决所有身份认证，既可以用于终端登录，也可以用于管理管理中心。</w:t>
            </w:r>
          </w:p>
          <w:p w14:paraId="41B6159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6.支持对Windows操作系统、IE、.NET Framework、Office、Adobe Flash Player、Adobe Acrobat和Adobe Acrobat Reader DC、硬件驱动更新等软件进行补丁修复.</w:t>
            </w:r>
          </w:p>
          <w:p w14:paraId="5CA2A59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7.支持开启自动修复漏洞，包括开机时修复，并支持随机延迟执行、间隔修复和按时间段修复，可设置延迟时间、间隔修复时间和修复时间段。</w:t>
            </w:r>
          </w:p>
          <w:p w14:paraId="1AEF447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8.支持软件分发功能，支持一次分发多款有依赖的软件。支持多个管理员同时对一台终端分发软件，终端可以并发安装。</w:t>
            </w:r>
          </w:p>
          <w:p w14:paraId="7B80287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9.支持终端进程红名单、黑名单、白名单功能。可设置核心进程必须运行，也可保护核心进程不被结束，违规并告警。</w:t>
            </w:r>
          </w:p>
          <w:p w14:paraId="6F624AA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10.支持多策略规则组合中，提高敏感数据识别效果，降低误报率（如姓名、银行卡、身份证、手机号、住址等数据分别命中的次数）。</w:t>
            </w:r>
          </w:p>
          <w:p w14:paraId="312ED67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11.支持主机防火墙功能，通过添加IP、域名规则、支持允许/拒绝规则、支持任意流向拦截和允许，支持TCP、UDP、TCP+UDP、ICMP、多播和组播，支持自定义端口范围、支持自定义目标IP，支持输入IP范围。</w:t>
            </w:r>
          </w:p>
          <w:p w14:paraId="653CC8E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12.支持跟威胁感知系统类设备进行处置联动，联动接口处置接口包含：终端隔离、取消隔离、全盘扫描。</w:t>
            </w:r>
          </w:p>
          <w:p w14:paraId="6534065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13.支持对压缩包内的病毒扫描，支持多层压缩包的扫描，可自定义配置压缩包的扫描层数，至少大约10层模式下的扫描。</w:t>
            </w:r>
          </w:p>
          <w:p w14:paraId="397AD6C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14.为确保产品的数据安全防护能力，以及证明厂商的安全服务能力，要求厂商具备数据安全服务能力评定资格证书-数据安全建设（二级）；具备CCRC信息安全服务资质-软件安全开发（一级)（提供以上2项资质证明材料件并加盖制造厂商公章）。</w:t>
            </w:r>
          </w:p>
          <w:p w14:paraId="412B034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15.为体现软件制造商具备漏洞挖掘与安全防护的能力，要求产品生产厂商具有独立运营的漏洞响应平台，同时2024年期间向国家漏洞信息共享平台（CNVD）提交的原创漏洞数量应不少于200000条（提供网站URL链接、计算机软件著作权登记证书等证明材料并加盖制造厂商公章）。</w:t>
            </w:r>
          </w:p>
          <w:p w14:paraId="7ABAACD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16.产品须具备中国网络安全审查技术与认证中心颁发的IT产品信息安全认证证书（提供证书扫描件并加盖制造厂商公章）。</w:t>
            </w:r>
          </w:p>
        </w:tc>
      </w:tr>
    </w:tbl>
    <w:p w14:paraId="4752155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2.信息机房硬件设备质量延保服务清单</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9"/>
        <w:gridCol w:w="1914"/>
        <w:gridCol w:w="5286"/>
        <w:gridCol w:w="955"/>
      </w:tblGrid>
      <w:tr w14:paraId="06FF8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213F144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序号</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C73950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品名</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72344DC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硬件设备参数</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7EFB701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数量</w:t>
            </w:r>
          </w:p>
        </w:tc>
      </w:tr>
      <w:tr w14:paraId="538B4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0108FDE">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9D10B3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IBM System x3650M3</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756217E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CPU：1 Intel 至强5500，CPU型号 Xeon E5506</w:t>
            </w:r>
          </w:p>
          <w:p w14:paraId="6234563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内存：4GB DDR3</w:t>
            </w:r>
          </w:p>
          <w:p w14:paraId="34146E0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硬盘：146GB</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2ABE3AD6">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2台</w:t>
            </w:r>
          </w:p>
        </w:tc>
      </w:tr>
      <w:tr w14:paraId="070D3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2E85A3B1">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0E2535F1">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Lenovo RD630</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69F8C5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CPU：1 Intel(R) Xeon E5-2600</w:t>
            </w:r>
          </w:p>
          <w:p w14:paraId="704431D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内存：4GB DDR3</w:t>
            </w:r>
          </w:p>
          <w:p w14:paraId="336E99E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硬盘：SATAⅢ2T</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62D27144">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2台</w:t>
            </w:r>
          </w:p>
        </w:tc>
      </w:tr>
      <w:tr w14:paraId="3A37F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368B688C">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55962C4">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HP Proliant DL580 G7</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0746785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CPU：4 Inter(R) Xeon(R)E7-4820@2.00GHz</w:t>
            </w:r>
          </w:p>
          <w:p w14:paraId="5096946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内存：96GB DDR3</w:t>
            </w:r>
          </w:p>
          <w:p w14:paraId="18BB331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 180G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008CA7D6">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3台</w:t>
            </w:r>
          </w:p>
        </w:tc>
      </w:tr>
      <w:tr w14:paraId="65BBD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0"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70D6792C">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0ADC9342">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HP Proliant DL388 Gen8</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7842953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CPU：2 Inter(R) Xeon(R)E5-2609@2.40GHz</w:t>
            </w:r>
          </w:p>
          <w:p w14:paraId="5AAF2B5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内存：32GB DDR3</w:t>
            </w:r>
          </w:p>
          <w:p w14:paraId="7DDA097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 180G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680BA07B">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6台</w:t>
            </w:r>
          </w:p>
        </w:tc>
      </w:tr>
      <w:tr w14:paraId="70061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7141215">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46091DF0">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HP Proliant DL388 Gen8</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611D49C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CPU：2 Inter(R) Xeon(R)E5-2609@2.40GHz</w:t>
            </w:r>
          </w:p>
          <w:p w14:paraId="6E6AA46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内存：64GB DDR3</w:t>
            </w:r>
          </w:p>
          <w:p w14:paraId="691B78E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 180G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38200C20">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3台</w:t>
            </w:r>
          </w:p>
        </w:tc>
      </w:tr>
      <w:tr w14:paraId="151D0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16C878B8">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01D2CAE">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EMC NX5400</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463F832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Active-Active双控制器，2颗4核Intel控制器CPU,具备MCx多核优化功能；</w:t>
            </w:r>
          </w:p>
          <w:p w14:paraId="7352EE4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32GB Cache容量；</w:t>
            </w:r>
          </w:p>
          <w:p w14:paraId="0F2963BB">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最大总端口数36，支持光纤端口，1Gb/s iSCSI端口、10Gb/s iSCSI端口、10Gb/s iSCSI端口和FCoE端口；</w:t>
            </w:r>
          </w:p>
          <w:p w14:paraId="50ECD971">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主机光纤通道数8，速率8Gb/s，可以升级扩展至32端口；</w:t>
            </w:r>
          </w:p>
          <w:p w14:paraId="2462B6A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8块600GB 15k转 SAS2.0硬盘；</w:t>
            </w:r>
          </w:p>
          <w:p w14:paraId="5923BBD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15块3TB 7200转SATA磁盘；支持3.5英寸和2.5英寸SAS驱动器，支持SSD/SAS/SATA硬盘混插，主机机头带15块300G 15K的SAS硬盘；</w:t>
            </w:r>
          </w:p>
          <w:p w14:paraId="7AD59B4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同时支持IBM AIXHP-UX、Linux、Windows系统。</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227C10E9">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3C2C5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61AA815D">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0D81661D">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F72D29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Dpominion KX2-416 数字式切换器，单台支持多大5用户通道和16个IT设备通道，支持双电源，双千兆以太网口，支持管理多平台KVM设备，支持电源控制整合。</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10AFB418">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5EF51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28C7DC5">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752A3176">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14C0F78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D2CIM-VUSB 计算机接口模块，服务器接口类型VGA显示器，支持鼠标绝对同步和虚拟媒体功能。</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48DE10FB">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51D9D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1B646FFF">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4B68F59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9D16A3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DFS-KVM1200 KVM操作审计系统，全硬件构架，实现双机冗余功能，单台支持最多12个并发用户数，最大4路并发回放路数、内置500G企业级SATA硬盘用于存放录制数据存储。</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6B64B7B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74C91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9ED7710">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ED09C9F">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D0B5C1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 xml:space="preserve">DSXA-32-DL 数字式串口切换器，单台支持32个IT设备通道，每个通道支持10个用户。 </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0AF4965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bl>
    <w:p w14:paraId="2D9B2F40">
      <w:pPr>
        <w:pStyle w:val="5"/>
        <w:rPr>
          <w:rFonts w:hint="eastAsia"/>
          <w:lang w:val="en-US" w:eastAsia="zh-CN"/>
        </w:rPr>
      </w:pPr>
    </w:p>
    <w:p w14:paraId="35C3E4A5">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黑体_GBK" w:eastAsia="方正黑体_GBK" w:cs="Times New Roman"/>
          <w:sz w:val="32"/>
          <w:szCs w:val="32"/>
          <w:lang w:val="en-US" w:eastAsia="zh-CN"/>
        </w:rPr>
        <w:t>五</w:t>
      </w:r>
      <w:r>
        <w:rPr>
          <w:rFonts w:hint="eastAsia" w:ascii="方正黑体_GBK" w:hAnsi="Times New Roman" w:eastAsia="方正黑体_GBK" w:cs="Times New Roman"/>
          <w:sz w:val="32"/>
          <w:szCs w:val="32"/>
          <w:lang w:val="en-US" w:eastAsia="zh-CN"/>
        </w:rPr>
        <w:t>、商务要求</w:t>
      </w:r>
    </w:p>
    <w:p w14:paraId="23EA4AFF">
      <w:pPr>
        <w:snapToGrid w:val="0"/>
        <w:spacing w:line="570" w:lineRule="exact"/>
        <w:ind w:firstLine="640" w:firstLineChars="200"/>
        <w:rPr>
          <w:rFonts w:hint="eastAsia" w:ascii="方正仿宋_GBK" w:hAnsi="方正仿宋_GBK" w:eastAsia="方正仿宋_GBK" w:cs="方正仿宋_GBK"/>
          <w:sz w:val="32"/>
          <w:szCs w:val="32"/>
          <w:lang w:val="en-US" w:eastAsia="zh-CN"/>
        </w:rPr>
      </w:pPr>
      <w:bookmarkStart w:id="0" w:name="_Toc267320049"/>
      <w:r>
        <w:rPr>
          <w:rFonts w:hint="eastAsia" w:ascii="方正仿宋_GBK" w:hAnsi="方正仿宋_GBK" w:eastAsia="方正仿宋_GBK" w:cs="方正仿宋_GBK"/>
          <w:sz w:val="32"/>
          <w:szCs w:val="32"/>
          <w:lang w:val="en-US" w:eastAsia="zh-CN"/>
        </w:rPr>
        <w:t>（一）服务时间地点和验收</w:t>
      </w:r>
      <w:bookmarkEnd w:id="0"/>
    </w:p>
    <w:p w14:paraId="46164D2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1.服务时间：2026年1月1日至2026年12月31日。</w:t>
      </w:r>
    </w:p>
    <w:p w14:paraId="2F62C91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2.实施地点：重庆市巴南区图书馆指定。</w:t>
      </w:r>
    </w:p>
    <w:p w14:paraId="03DAD11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3.验收方式：</w:t>
      </w:r>
    </w:p>
    <w:p w14:paraId="4AB50AC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（1）材料设备到达现场后，中标供应商应在使用单位人员在场情况下当面开箱，共同清点、检查外观，作出开箱记录，双方签字确认。</w:t>
      </w:r>
    </w:p>
    <w:p w14:paraId="2589F108">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（2）中标供应商应保证材料设备到达采购人所在地完好无损，如有缺漏、损坏，由中标供应商负责调换、补齐或赔偿。</w:t>
      </w:r>
    </w:p>
    <w:p w14:paraId="1467E899">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（3）中标供应商应提供完备的技术资料、装箱单和合格证等，并派遣专业技术人员进行现场安装调试。验收合格条件如下：</w:t>
      </w:r>
    </w:p>
    <w:p w14:paraId="2C865C5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1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①</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工程材料设备技术参数与合同一致，性能指标达到规定的标准。</w:t>
      </w:r>
    </w:p>
    <w:p w14:paraId="65DD519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2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②</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工程材料设备技术资料、装箱单、合格证等资料齐全。</w:t>
      </w:r>
    </w:p>
    <w:p w14:paraId="4161A4EB">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3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③</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在系统试运行期间所出现的问题得到解决，并运行正常。</w:t>
      </w:r>
    </w:p>
    <w:p w14:paraId="24EDA7E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4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④</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在规定时间内完成工程并验收，并经采购人确认。</w:t>
      </w:r>
    </w:p>
    <w:p w14:paraId="0E5A5D9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（4）所有服务完成2个月，且符合要求后，才作为最终验收。</w:t>
      </w:r>
    </w:p>
    <w:p w14:paraId="09598C20">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（5）中标供应商提供的工程材料设备未达到招标文件规定要求，且对采购人造成损失的，由中标供应商承担一切责任，并赔偿所造成的损失。</w:t>
      </w:r>
    </w:p>
    <w:p w14:paraId="2888506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（6）大型或者复杂的子系统工程，中标供应商应当邀请国家认可的质量检测机构参加验收工作。</w:t>
      </w:r>
    </w:p>
    <w:p w14:paraId="6312318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（7）采购人需要制造商对中标供应商交付的材料设备（包括质量、技术参数等）进行确认的，制造商应予以配合，并出具书面意见。</w:t>
      </w:r>
    </w:p>
    <w:p w14:paraId="7A3DFECB">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（8）设备包装材料归采购人所有。</w:t>
      </w:r>
    </w:p>
    <w:p w14:paraId="4F3FB0DA">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（二）过程保障</w:t>
      </w:r>
    </w:p>
    <w:p w14:paraId="769C06F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1.技术支持商应提供电话服务、QQ服务、手机短信服务即时响应，一般技术故障可通过电话、QQ服务、手机信息告知等方式实时予以解决。</w:t>
      </w:r>
    </w:p>
    <w:p w14:paraId="01F0EEF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2.对于因突发状况造成的故障，应能及时（2 小时内）提供技术支持和响应，通过电话、在线或现场服务等方式提供技术支持，以不影响业务的正常运行。</w:t>
      </w:r>
    </w:p>
    <w:p w14:paraId="7332266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3.原厂技术服务能够提供异常情况下的免费上门服务（24 小时内到现场）。</w:t>
      </w:r>
    </w:p>
    <w:p w14:paraId="6716015A">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4.提供质保期内的技术支持和运维服务。</w:t>
      </w:r>
    </w:p>
    <w:p w14:paraId="2E1F519B">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（1）电话咨询：供方和制造商应当为采购人提供技术援助电话，解答采购人在使用中遇到的问题，及时为采购人提出解决问题的建议。</w:t>
      </w:r>
    </w:p>
    <w:p w14:paraId="7020B51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现场响应：采购方遇到使用及技术问题，电话咨询不能解决的，供方和制造商应在4小时内到达现场（远郊区6小时内到达现场）进行处理，确保产品正常工作；无法在24小时内解决的，应在24小时内提供备用产品，使采购人能够正常使用。</w:t>
      </w:r>
    </w:p>
    <w:p w14:paraId="2E1A702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（3）技术服务：在质保期内，如果供方和制造商的产品技术升级，供方应及时通知采购人，如采购人有相应要求，供方和制造商应对采购人购买的产品进行升级服务。</w:t>
      </w:r>
    </w:p>
    <w:p w14:paraId="2B8A762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（三）其他服务及要求</w:t>
      </w:r>
    </w:p>
    <w:p w14:paraId="4872408F">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1.技术服务：在施工期限、实施时间内按要求完成设备的安装调试，并提供设备或服务后期使用的技术支持。</w:t>
      </w:r>
    </w:p>
    <w:p w14:paraId="1B8DCAC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2.提供设备说明书及操作培训。</w:t>
      </w:r>
    </w:p>
    <w:p w14:paraId="0C3F2D9C">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方正黑体_GBK" w:hAnsi="Times New Roman" w:eastAsia="方正黑体_GBK" w:cs="Times New Roman"/>
          <w:sz w:val="32"/>
          <w:szCs w:val="32"/>
          <w:lang w:val="en-US" w:eastAsia="zh-CN"/>
        </w:rPr>
      </w:pPr>
      <w:r>
        <w:rPr>
          <w:rFonts w:hint="eastAsia" w:ascii="方正黑体_GBK" w:eastAsia="方正黑体_GBK" w:cs="Times New Roman"/>
          <w:sz w:val="32"/>
          <w:szCs w:val="32"/>
          <w:lang w:val="en-US" w:eastAsia="zh-CN"/>
        </w:rPr>
        <w:t>六</w:t>
      </w:r>
      <w:r>
        <w:rPr>
          <w:rFonts w:hint="eastAsia" w:ascii="方正黑体_GBK" w:hAnsi="Times New Roman" w:eastAsia="方正黑体_GBK" w:cs="Times New Roman"/>
          <w:sz w:val="32"/>
          <w:szCs w:val="32"/>
          <w:lang w:val="en-US" w:eastAsia="zh-CN"/>
        </w:rPr>
        <w:t>、报价要求</w:t>
      </w:r>
    </w:p>
    <w:p w14:paraId="4C29CD98">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1.报价要求</w:t>
      </w:r>
    </w:p>
    <w:p w14:paraId="6671FD83">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（1）供应商须保证本次提供报价的产品或服务是最新且完备的，且完全与询价要求相符。</w:t>
      </w:r>
    </w:p>
    <w:p w14:paraId="08EC246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（2）报价产品或服务必须是符合国家技术规范和质量标准的合格产品和服务，能满足采购单位的使用需求，并具有可靠的售后服务体系，质量可靠、使用安全。</w:t>
      </w:r>
    </w:p>
    <w:p w14:paraId="0D52FE2C">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（3）供应商须保证其提供的产品和服务均为具有合法版权或使用权的正版软件和服务。</w:t>
      </w:r>
    </w:p>
    <w:p w14:paraId="43B79F1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（4）报价人应充分理解并明确响应本项目中采购单位的建设需求，不允许片面响应或故意曲解项目建设内容，不允许妨害采购单位的设备、应用及数据接口的功能完整性，否则将视为无效报价。</w:t>
      </w:r>
    </w:p>
    <w:p w14:paraId="67D8AB0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（5）本次询价无论最终报价结果，都将不作为本项目最终采购定价，只作为本单位对该项目后期采购的价格参考，同时本单位保留后期在实际采购中修改调整采购商品和服务相关参数及要求的权利。</w:t>
      </w:r>
    </w:p>
    <w:p w14:paraId="3116925A">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供应商应自行踏勘现场。供应商应对勘察中获取的现场资料负责。无论供应商是否勘察过现场，均认为在递交投标响应文件之前已勘察过现场，对本项目的风险和义务十分了解，并在其投标响应文件中充分考虑现场和环境条件。</w:t>
      </w:r>
    </w:p>
    <w:p w14:paraId="2850DB22">
      <w:pPr>
        <w:snapToGrid w:val="0"/>
        <w:spacing w:line="57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.报价表格式</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可自拟</w:t>
      </w:r>
      <w:r>
        <w:rPr>
          <w:rFonts w:hint="eastAsia" w:ascii="方正仿宋_GBK" w:hAnsi="方正仿宋_GBK" w:eastAsia="方正仿宋_GBK" w:cs="方正仿宋_GBK"/>
          <w:sz w:val="32"/>
          <w:szCs w:val="32"/>
          <w:lang w:eastAsia="zh-CN"/>
        </w:rPr>
        <w:t>）</w:t>
      </w:r>
    </w:p>
    <w:tbl>
      <w:tblPr>
        <w:tblStyle w:val="11"/>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629"/>
        <w:gridCol w:w="1350"/>
        <w:gridCol w:w="725"/>
        <w:gridCol w:w="780"/>
        <w:gridCol w:w="735"/>
        <w:gridCol w:w="1005"/>
        <w:gridCol w:w="1251"/>
      </w:tblGrid>
      <w:tr w14:paraId="02CA6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13" w:type="dxa"/>
            <w:vAlign w:val="center"/>
          </w:tcPr>
          <w:p w14:paraId="3051FAE7">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序号</w:t>
            </w:r>
          </w:p>
        </w:tc>
        <w:tc>
          <w:tcPr>
            <w:tcW w:w="1629" w:type="dxa"/>
            <w:vAlign w:val="center"/>
          </w:tcPr>
          <w:p w14:paraId="08BF9A44">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服务物品名称</w:t>
            </w:r>
          </w:p>
        </w:tc>
        <w:tc>
          <w:tcPr>
            <w:tcW w:w="1350" w:type="dxa"/>
            <w:vAlign w:val="center"/>
          </w:tcPr>
          <w:p w14:paraId="30BBC315">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参数及要求</w:t>
            </w:r>
          </w:p>
        </w:tc>
        <w:tc>
          <w:tcPr>
            <w:tcW w:w="725" w:type="dxa"/>
            <w:vAlign w:val="center"/>
          </w:tcPr>
          <w:p w14:paraId="7B8845FF">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单位</w:t>
            </w:r>
          </w:p>
        </w:tc>
        <w:tc>
          <w:tcPr>
            <w:tcW w:w="780" w:type="dxa"/>
            <w:vAlign w:val="center"/>
          </w:tcPr>
          <w:p w14:paraId="48964382">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数量</w:t>
            </w:r>
          </w:p>
        </w:tc>
        <w:tc>
          <w:tcPr>
            <w:tcW w:w="735" w:type="dxa"/>
            <w:vAlign w:val="center"/>
          </w:tcPr>
          <w:p w14:paraId="1FD7DD9D">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单价</w:t>
            </w:r>
          </w:p>
        </w:tc>
        <w:tc>
          <w:tcPr>
            <w:tcW w:w="1005" w:type="dxa"/>
            <w:vAlign w:val="center"/>
          </w:tcPr>
          <w:p w14:paraId="1A189F46">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总价</w:t>
            </w:r>
          </w:p>
        </w:tc>
        <w:tc>
          <w:tcPr>
            <w:tcW w:w="1251" w:type="dxa"/>
            <w:vAlign w:val="center"/>
          </w:tcPr>
          <w:p w14:paraId="247453CF">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备注信息</w:t>
            </w:r>
          </w:p>
        </w:tc>
      </w:tr>
      <w:tr w14:paraId="7BF07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159F0B00">
            <w:pPr>
              <w:pStyle w:val="5"/>
              <w:jc w:val="center"/>
            </w:pPr>
            <w:r>
              <w:rPr>
                <w:rFonts w:hint="eastAsia"/>
              </w:rPr>
              <w:t>1</w:t>
            </w:r>
          </w:p>
        </w:tc>
        <w:tc>
          <w:tcPr>
            <w:tcW w:w="1629" w:type="dxa"/>
            <w:vAlign w:val="center"/>
          </w:tcPr>
          <w:p w14:paraId="0C5AF7D1">
            <w:pPr>
              <w:pStyle w:val="5"/>
              <w:jc w:val="center"/>
            </w:pPr>
          </w:p>
        </w:tc>
        <w:tc>
          <w:tcPr>
            <w:tcW w:w="1350" w:type="dxa"/>
            <w:vAlign w:val="center"/>
          </w:tcPr>
          <w:p w14:paraId="5D3D1D43">
            <w:pPr>
              <w:pStyle w:val="5"/>
              <w:jc w:val="center"/>
            </w:pPr>
          </w:p>
        </w:tc>
        <w:tc>
          <w:tcPr>
            <w:tcW w:w="725" w:type="dxa"/>
            <w:vAlign w:val="center"/>
          </w:tcPr>
          <w:p w14:paraId="36FADD07">
            <w:pPr>
              <w:pStyle w:val="5"/>
              <w:jc w:val="center"/>
            </w:pPr>
          </w:p>
        </w:tc>
        <w:tc>
          <w:tcPr>
            <w:tcW w:w="780" w:type="dxa"/>
            <w:vAlign w:val="center"/>
          </w:tcPr>
          <w:p w14:paraId="0C059960">
            <w:pPr>
              <w:pStyle w:val="5"/>
              <w:jc w:val="center"/>
            </w:pPr>
          </w:p>
        </w:tc>
        <w:tc>
          <w:tcPr>
            <w:tcW w:w="735" w:type="dxa"/>
            <w:vAlign w:val="center"/>
          </w:tcPr>
          <w:p w14:paraId="753B70AD">
            <w:pPr>
              <w:pStyle w:val="5"/>
              <w:jc w:val="center"/>
            </w:pPr>
          </w:p>
        </w:tc>
        <w:tc>
          <w:tcPr>
            <w:tcW w:w="1005" w:type="dxa"/>
            <w:vAlign w:val="center"/>
          </w:tcPr>
          <w:p w14:paraId="2D593208">
            <w:pPr>
              <w:pStyle w:val="5"/>
              <w:jc w:val="center"/>
            </w:pPr>
          </w:p>
        </w:tc>
        <w:tc>
          <w:tcPr>
            <w:tcW w:w="1251" w:type="dxa"/>
            <w:vAlign w:val="center"/>
          </w:tcPr>
          <w:p w14:paraId="73A92290">
            <w:pPr>
              <w:pStyle w:val="5"/>
              <w:jc w:val="center"/>
            </w:pPr>
          </w:p>
        </w:tc>
      </w:tr>
      <w:tr w14:paraId="6036B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470F0494">
            <w:pPr>
              <w:pStyle w:val="5"/>
              <w:jc w:val="center"/>
            </w:pPr>
            <w:r>
              <w:rPr>
                <w:rFonts w:hint="eastAsia"/>
              </w:rPr>
              <w:t>2</w:t>
            </w:r>
          </w:p>
        </w:tc>
        <w:tc>
          <w:tcPr>
            <w:tcW w:w="1629" w:type="dxa"/>
            <w:vAlign w:val="center"/>
          </w:tcPr>
          <w:p w14:paraId="4F48AD3E">
            <w:pPr>
              <w:pStyle w:val="5"/>
              <w:jc w:val="center"/>
            </w:pPr>
          </w:p>
        </w:tc>
        <w:tc>
          <w:tcPr>
            <w:tcW w:w="1350" w:type="dxa"/>
            <w:vAlign w:val="center"/>
          </w:tcPr>
          <w:p w14:paraId="285BDE32">
            <w:pPr>
              <w:pStyle w:val="5"/>
              <w:jc w:val="center"/>
            </w:pPr>
          </w:p>
        </w:tc>
        <w:tc>
          <w:tcPr>
            <w:tcW w:w="725" w:type="dxa"/>
            <w:vAlign w:val="center"/>
          </w:tcPr>
          <w:p w14:paraId="69614AEE">
            <w:pPr>
              <w:pStyle w:val="5"/>
              <w:jc w:val="center"/>
            </w:pPr>
          </w:p>
        </w:tc>
        <w:tc>
          <w:tcPr>
            <w:tcW w:w="780" w:type="dxa"/>
            <w:vAlign w:val="center"/>
          </w:tcPr>
          <w:p w14:paraId="3E21F099">
            <w:pPr>
              <w:pStyle w:val="5"/>
              <w:jc w:val="center"/>
            </w:pPr>
          </w:p>
        </w:tc>
        <w:tc>
          <w:tcPr>
            <w:tcW w:w="735" w:type="dxa"/>
            <w:vAlign w:val="center"/>
          </w:tcPr>
          <w:p w14:paraId="733F6F9C">
            <w:pPr>
              <w:pStyle w:val="5"/>
              <w:jc w:val="center"/>
            </w:pPr>
          </w:p>
        </w:tc>
        <w:tc>
          <w:tcPr>
            <w:tcW w:w="1005" w:type="dxa"/>
            <w:vAlign w:val="center"/>
          </w:tcPr>
          <w:p w14:paraId="34FFC227">
            <w:pPr>
              <w:pStyle w:val="5"/>
              <w:jc w:val="center"/>
            </w:pPr>
          </w:p>
        </w:tc>
        <w:tc>
          <w:tcPr>
            <w:tcW w:w="1251" w:type="dxa"/>
            <w:vAlign w:val="center"/>
          </w:tcPr>
          <w:p w14:paraId="42EDDB6F">
            <w:pPr>
              <w:pStyle w:val="5"/>
              <w:jc w:val="center"/>
            </w:pPr>
          </w:p>
        </w:tc>
      </w:tr>
      <w:tr w14:paraId="57B59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4276A5A4">
            <w:pPr>
              <w:pStyle w:val="5"/>
              <w:jc w:val="center"/>
            </w:pPr>
            <w:r>
              <w:rPr>
                <w:rFonts w:hint="eastAsia"/>
              </w:rPr>
              <w:t>3</w:t>
            </w:r>
          </w:p>
        </w:tc>
        <w:tc>
          <w:tcPr>
            <w:tcW w:w="1629" w:type="dxa"/>
            <w:vAlign w:val="center"/>
          </w:tcPr>
          <w:p w14:paraId="5A0CEA02">
            <w:pPr>
              <w:pStyle w:val="5"/>
              <w:jc w:val="center"/>
            </w:pPr>
          </w:p>
        </w:tc>
        <w:tc>
          <w:tcPr>
            <w:tcW w:w="1350" w:type="dxa"/>
            <w:vAlign w:val="center"/>
          </w:tcPr>
          <w:p w14:paraId="5559D2FF">
            <w:pPr>
              <w:pStyle w:val="5"/>
              <w:jc w:val="center"/>
            </w:pPr>
          </w:p>
        </w:tc>
        <w:tc>
          <w:tcPr>
            <w:tcW w:w="725" w:type="dxa"/>
            <w:vAlign w:val="center"/>
          </w:tcPr>
          <w:p w14:paraId="1CBBB289">
            <w:pPr>
              <w:pStyle w:val="5"/>
              <w:jc w:val="center"/>
            </w:pPr>
          </w:p>
        </w:tc>
        <w:tc>
          <w:tcPr>
            <w:tcW w:w="780" w:type="dxa"/>
            <w:vAlign w:val="center"/>
          </w:tcPr>
          <w:p w14:paraId="786D3D89">
            <w:pPr>
              <w:pStyle w:val="5"/>
              <w:jc w:val="center"/>
            </w:pPr>
          </w:p>
        </w:tc>
        <w:tc>
          <w:tcPr>
            <w:tcW w:w="735" w:type="dxa"/>
            <w:vAlign w:val="center"/>
          </w:tcPr>
          <w:p w14:paraId="079F004A">
            <w:pPr>
              <w:pStyle w:val="5"/>
              <w:jc w:val="center"/>
            </w:pPr>
          </w:p>
        </w:tc>
        <w:tc>
          <w:tcPr>
            <w:tcW w:w="1005" w:type="dxa"/>
            <w:vAlign w:val="center"/>
          </w:tcPr>
          <w:p w14:paraId="7F2AD903">
            <w:pPr>
              <w:pStyle w:val="5"/>
              <w:jc w:val="center"/>
            </w:pPr>
          </w:p>
        </w:tc>
        <w:tc>
          <w:tcPr>
            <w:tcW w:w="1251" w:type="dxa"/>
            <w:vAlign w:val="center"/>
          </w:tcPr>
          <w:p w14:paraId="68B5557E">
            <w:pPr>
              <w:pStyle w:val="5"/>
              <w:jc w:val="center"/>
            </w:pPr>
          </w:p>
        </w:tc>
      </w:tr>
      <w:tr w14:paraId="4545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6345574C">
            <w:pPr>
              <w:pStyle w:val="5"/>
              <w:jc w:val="center"/>
            </w:pPr>
            <w:r>
              <w:rPr>
                <w:rFonts w:hint="eastAsia"/>
              </w:rPr>
              <w:t>...</w:t>
            </w:r>
          </w:p>
        </w:tc>
        <w:tc>
          <w:tcPr>
            <w:tcW w:w="1629" w:type="dxa"/>
            <w:vAlign w:val="center"/>
          </w:tcPr>
          <w:p w14:paraId="6212D625">
            <w:pPr>
              <w:pStyle w:val="5"/>
              <w:jc w:val="center"/>
            </w:pPr>
          </w:p>
        </w:tc>
        <w:tc>
          <w:tcPr>
            <w:tcW w:w="1350" w:type="dxa"/>
            <w:vAlign w:val="center"/>
          </w:tcPr>
          <w:p w14:paraId="2EC1F59D">
            <w:pPr>
              <w:pStyle w:val="5"/>
              <w:jc w:val="center"/>
            </w:pPr>
          </w:p>
        </w:tc>
        <w:tc>
          <w:tcPr>
            <w:tcW w:w="725" w:type="dxa"/>
            <w:vAlign w:val="center"/>
          </w:tcPr>
          <w:p w14:paraId="089BD62D">
            <w:pPr>
              <w:pStyle w:val="5"/>
              <w:jc w:val="center"/>
            </w:pPr>
          </w:p>
        </w:tc>
        <w:tc>
          <w:tcPr>
            <w:tcW w:w="780" w:type="dxa"/>
            <w:vAlign w:val="center"/>
          </w:tcPr>
          <w:p w14:paraId="684F5E86">
            <w:pPr>
              <w:pStyle w:val="5"/>
              <w:jc w:val="center"/>
            </w:pPr>
          </w:p>
        </w:tc>
        <w:tc>
          <w:tcPr>
            <w:tcW w:w="735" w:type="dxa"/>
            <w:vAlign w:val="center"/>
          </w:tcPr>
          <w:p w14:paraId="2B1DC3DA">
            <w:pPr>
              <w:pStyle w:val="5"/>
              <w:jc w:val="center"/>
            </w:pPr>
          </w:p>
        </w:tc>
        <w:tc>
          <w:tcPr>
            <w:tcW w:w="1005" w:type="dxa"/>
            <w:vAlign w:val="center"/>
          </w:tcPr>
          <w:p w14:paraId="467EA18A">
            <w:pPr>
              <w:pStyle w:val="5"/>
              <w:jc w:val="center"/>
            </w:pPr>
          </w:p>
        </w:tc>
        <w:tc>
          <w:tcPr>
            <w:tcW w:w="1251" w:type="dxa"/>
            <w:vAlign w:val="center"/>
          </w:tcPr>
          <w:p w14:paraId="0152C10F">
            <w:pPr>
              <w:pStyle w:val="5"/>
              <w:jc w:val="center"/>
            </w:pPr>
          </w:p>
        </w:tc>
      </w:tr>
      <w:tr w14:paraId="660AC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2" w:type="dxa"/>
            <w:gridSpan w:val="6"/>
            <w:vAlign w:val="center"/>
          </w:tcPr>
          <w:p w14:paraId="676DB098">
            <w:pPr>
              <w:pStyle w:val="5"/>
              <w:jc w:val="right"/>
            </w:pPr>
            <w:r>
              <w:rPr>
                <w:rFonts w:hint="eastAsia"/>
                <w:b/>
                <w:bCs/>
              </w:rPr>
              <w:t>合计</w:t>
            </w:r>
          </w:p>
        </w:tc>
        <w:tc>
          <w:tcPr>
            <w:tcW w:w="1005" w:type="dxa"/>
            <w:vAlign w:val="center"/>
          </w:tcPr>
          <w:p w14:paraId="097A4464">
            <w:pPr>
              <w:pStyle w:val="5"/>
              <w:jc w:val="center"/>
            </w:pPr>
          </w:p>
        </w:tc>
        <w:tc>
          <w:tcPr>
            <w:tcW w:w="1251" w:type="dxa"/>
            <w:vAlign w:val="center"/>
          </w:tcPr>
          <w:p w14:paraId="3A87397B">
            <w:pPr>
              <w:pStyle w:val="5"/>
              <w:jc w:val="center"/>
            </w:pPr>
          </w:p>
        </w:tc>
      </w:tr>
    </w:tbl>
    <w:p w14:paraId="4CDBFF12">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3.报价文件（扫描电子版）请发送</w:t>
      </w:r>
      <w:r>
        <w:rPr>
          <w:rFonts w:hint="default" w:ascii="方正仿宋_GBK" w:hAnsi="方正仿宋_GBK" w:eastAsia="方正仿宋_GBK" w:cs="方正仿宋_GBK"/>
          <w:color w:val="auto"/>
          <w:sz w:val="32"/>
          <w:szCs w:val="32"/>
          <w:highlight w:val="none"/>
          <w:lang w:val="en-US" w:eastAsia="zh-CN"/>
        </w:rPr>
        <w:fldChar w:fldCharType="begin"/>
      </w:r>
      <w:r>
        <w:rPr>
          <w:rFonts w:hint="default" w:ascii="方正仿宋_GBK" w:hAnsi="方正仿宋_GBK" w:eastAsia="方正仿宋_GBK" w:cs="方正仿宋_GBK"/>
          <w:color w:val="auto"/>
          <w:sz w:val="32"/>
          <w:szCs w:val="32"/>
          <w:highlight w:val="none"/>
          <w:lang w:val="en-US" w:eastAsia="zh-CN"/>
        </w:rPr>
        <w:instrText xml:space="preserve"> HYPERLINK "mailto:mail@bnlib.cn" </w:instrText>
      </w:r>
      <w:r>
        <w:rPr>
          <w:rFonts w:hint="default" w:ascii="方正仿宋_GBK" w:hAnsi="方正仿宋_GBK" w:eastAsia="方正仿宋_GBK" w:cs="方正仿宋_GBK"/>
          <w:color w:val="auto"/>
          <w:sz w:val="32"/>
          <w:szCs w:val="32"/>
          <w:highlight w:val="none"/>
          <w:lang w:val="en-US" w:eastAsia="zh-CN"/>
        </w:rPr>
        <w:fldChar w:fldCharType="separate"/>
      </w:r>
      <w:r>
        <w:rPr>
          <w:rFonts w:hint="default" w:ascii="方正仿宋_GBK" w:hAnsi="方正仿宋_GBK" w:eastAsia="方正仿宋_GBK" w:cs="方正仿宋_GBK"/>
          <w:color w:val="auto"/>
          <w:sz w:val="32"/>
          <w:szCs w:val="32"/>
          <w:highlight w:val="none"/>
          <w:lang w:val="en-US" w:eastAsia="zh-CN"/>
        </w:rPr>
        <w:t>mail@bnlib.cn</w:t>
      </w:r>
      <w:r>
        <w:rPr>
          <w:rFonts w:hint="default" w:ascii="方正仿宋_GBK" w:hAnsi="方正仿宋_GBK" w:eastAsia="方正仿宋_GBK" w:cs="方正仿宋_GBK"/>
          <w:color w:val="auto"/>
          <w:sz w:val="32"/>
          <w:szCs w:val="32"/>
          <w:highlight w:val="none"/>
          <w:lang w:val="en-US" w:eastAsia="zh-CN"/>
        </w:rPr>
        <w:fldChar w:fldCharType="end"/>
      </w:r>
      <w:r>
        <w:rPr>
          <w:rFonts w:hint="eastAsia" w:ascii="方正仿宋_GBK" w:hAnsi="方正仿宋_GBK" w:eastAsia="方正仿宋_GBK" w:cs="方正仿宋_GBK"/>
          <w:color w:val="auto"/>
          <w:sz w:val="32"/>
          <w:szCs w:val="32"/>
          <w:highlight w:val="none"/>
          <w:lang w:val="en-US" w:eastAsia="zh-CN"/>
        </w:rPr>
        <w:t>，纸质版寄送至巴南区图书馆。</w:t>
      </w:r>
    </w:p>
    <w:p w14:paraId="30AEF4B5">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.邮寄信息</w:t>
      </w:r>
    </w:p>
    <w:p w14:paraId="4AC28C9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收件人：周老师（023-66281713）</w:t>
      </w:r>
    </w:p>
    <w:p w14:paraId="1942337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地址：重庆市巴南区龙洲湾巴南文化艺术中心。</w:t>
      </w:r>
    </w:p>
    <w:p w14:paraId="0034D50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.报价时间</w:t>
      </w:r>
    </w:p>
    <w:p w14:paraId="43C0A683">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报价截止时间202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31</w:t>
      </w:r>
      <w:r>
        <w:rPr>
          <w:rFonts w:hint="eastAsia" w:ascii="方正仿宋_GBK" w:hAnsi="方正仿宋_GBK" w:eastAsia="方正仿宋_GBK" w:cs="方正仿宋_GBK"/>
          <w:sz w:val="32"/>
          <w:szCs w:val="32"/>
        </w:rPr>
        <w:t>日上午9点。</w:t>
      </w:r>
    </w:p>
    <w:p w14:paraId="1FA2FF8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其他</w:t>
      </w:r>
      <w:r>
        <w:rPr>
          <w:rFonts w:hint="eastAsia" w:ascii="方正仿宋_GBK" w:hAnsi="方正仿宋_GBK" w:eastAsia="方正仿宋_GBK" w:cs="方正仿宋_GBK"/>
          <w:sz w:val="32"/>
          <w:szCs w:val="32"/>
        </w:rPr>
        <w:t>要求</w:t>
      </w:r>
      <w:bookmarkStart w:id="1" w:name="_GoBack"/>
      <w:bookmarkEnd w:id="1"/>
    </w:p>
    <w:p w14:paraId="4A3CAEFE">
      <w:pPr>
        <w:snapToGrid w:val="0"/>
        <w:spacing w:line="570" w:lineRule="exact"/>
        <w:ind w:firstLine="640" w:firstLineChars="200"/>
        <w:rPr>
          <w:rFonts w:hint="eastAsia" w:ascii="方正仿宋_GBK" w:hAnsi="方正仿宋_GBK" w:eastAsia="方正仿宋_GBK" w:cs="方正仿宋_GBK"/>
          <w:color w:val="auto"/>
          <w:sz w:val="32"/>
          <w:szCs w:val="32"/>
          <w:highlight w:val="none"/>
          <w:lang w:val="en-US" w:eastAsia="zh-CN"/>
        </w:rPr>
      </w:pPr>
      <w:r>
        <w:rPr>
          <w:rFonts w:ascii="方正仿宋_GBK" w:hAnsi="方正仿宋_GBK" w:eastAsia="方正仿宋_GBK" w:cs="方正仿宋_GBK"/>
          <w:sz w:val="32"/>
          <w:szCs w:val="32"/>
        </w:rPr>
        <w:t>报价应包含人工、管理费及税金等该项目涉及的一切费用，以人民币结算。</w:t>
      </w:r>
    </w:p>
    <w:sectPr>
      <w:footerReference r:id="rId3" w:type="default"/>
      <w:pgSz w:w="11906" w:h="16838"/>
      <w:pgMar w:top="1440" w:right="1080" w:bottom="1440" w:left="1080"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8C50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C88A6">
                          <w:pPr>
                            <w:pStyle w:val="7"/>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 xml:space="preserve">第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PAGE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1</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 共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NUMPAGES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4</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9C88A6">
                    <w:pPr>
                      <w:pStyle w:val="7"/>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 xml:space="preserve">第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PAGE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1</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 共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NUMPAGES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4</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JmODM0MjU3OWJiNTgwNDc2OWYwOTY3ZGZmMWEwYTQifQ=="/>
  </w:docVars>
  <w:rsids>
    <w:rsidRoot w:val="00820A7B"/>
    <w:rsid w:val="00033641"/>
    <w:rsid w:val="0016203B"/>
    <w:rsid w:val="001A17AF"/>
    <w:rsid w:val="001C2F33"/>
    <w:rsid w:val="00310BBB"/>
    <w:rsid w:val="00332310"/>
    <w:rsid w:val="004719D7"/>
    <w:rsid w:val="00483976"/>
    <w:rsid w:val="004B2B0A"/>
    <w:rsid w:val="005F11B4"/>
    <w:rsid w:val="007860DC"/>
    <w:rsid w:val="0080499C"/>
    <w:rsid w:val="00820A7B"/>
    <w:rsid w:val="008672C7"/>
    <w:rsid w:val="009E47D8"/>
    <w:rsid w:val="00AC4201"/>
    <w:rsid w:val="00B122B0"/>
    <w:rsid w:val="00B669F2"/>
    <w:rsid w:val="00C11035"/>
    <w:rsid w:val="00CC14C5"/>
    <w:rsid w:val="00CE11B2"/>
    <w:rsid w:val="00D91B03"/>
    <w:rsid w:val="00EE4787"/>
    <w:rsid w:val="00FE4B9B"/>
    <w:rsid w:val="014F57EF"/>
    <w:rsid w:val="0208231A"/>
    <w:rsid w:val="02EE2FF0"/>
    <w:rsid w:val="030D0863"/>
    <w:rsid w:val="03202609"/>
    <w:rsid w:val="03D910D3"/>
    <w:rsid w:val="05182CEB"/>
    <w:rsid w:val="051A2BD8"/>
    <w:rsid w:val="060C2D53"/>
    <w:rsid w:val="06511ECF"/>
    <w:rsid w:val="073B0AB0"/>
    <w:rsid w:val="076A2436"/>
    <w:rsid w:val="076D4654"/>
    <w:rsid w:val="088025BF"/>
    <w:rsid w:val="08A0086D"/>
    <w:rsid w:val="08B26A18"/>
    <w:rsid w:val="08BF3E40"/>
    <w:rsid w:val="08C75A00"/>
    <w:rsid w:val="08F575AB"/>
    <w:rsid w:val="09446DB0"/>
    <w:rsid w:val="09855E54"/>
    <w:rsid w:val="0A8033B0"/>
    <w:rsid w:val="0AA424EF"/>
    <w:rsid w:val="0AA90A33"/>
    <w:rsid w:val="0AC650D0"/>
    <w:rsid w:val="0B1A3556"/>
    <w:rsid w:val="0B6E07A7"/>
    <w:rsid w:val="0C693288"/>
    <w:rsid w:val="0CFD154E"/>
    <w:rsid w:val="0D1B5C31"/>
    <w:rsid w:val="0DD26ED0"/>
    <w:rsid w:val="0EB652FE"/>
    <w:rsid w:val="0EEF7D72"/>
    <w:rsid w:val="0FA56AD5"/>
    <w:rsid w:val="0FDB5406"/>
    <w:rsid w:val="100B1FB3"/>
    <w:rsid w:val="102E48DD"/>
    <w:rsid w:val="120E7022"/>
    <w:rsid w:val="12320BE9"/>
    <w:rsid w:val="124E406C"/>
    <w:rsid w:val="125E082C"/>
    <w:rsid w:val="13145E13"/>
    <w:rsid w:val="14252C2A"/>
    <w:rsid w:val="14C36A7E"/>
    <w:rsid w:val="14FA69A2"/>
    <w:rsid w:val="15554FB3"/>
    <w:rsid w:val="15661403"/>
    <w:rsid w:val="15F266D7"/>
    <w:rsid w:val="1695644C"/>
    <w:rsid w:val="169939F5"/>
    <w:rsid w:val="16BE3C44"/>
    <w:rsid w:val="16FA0F53"/>
    <w:rsid w:val="177D19B0"/>
    <w:rsid w:val="17C1733D"/>
    <w:rsid w:val="17EC647F"/>
    <w:rsid w:val="18156474"/>
    <w:rsid w:val="18737C05"/>
    <w:rsid w:val="19564723"/>
    <w:rsid w:val="195809EB"/>
    <w:rsid w:val="19E20B28"/>
    <w:rsid w:val="1A1208C2"/>
    <w:rsid w:val="1A2C3280"/>
    <w:rsid w:val="1A6243FB"/>
    <w:rsid w:val="1B2446DC"/>
    <w:rsid w:val="1B3B5E42"/>
    <w:rsid w:val="1B8B378C"/>
    <w:rsid w:val="1C480EF5"/>
    <w:rsid w:val="1CCA13B9"/>
    <w:rsid w:val="1D031905"/>
    <w:rsid w:val="1D507571"/>
    <w:rsid w:val="1E1B5EFC"/>
    <w:rsid w:val="1E7D1630"/>
    <w:rsid w:val="1F356639"/>
    <w:rsid w:val="1F8C48D0"/>
    <w:rsid w:val="21054181"/>
    <w:rsid w:val="21176FC9"/>
    <w:rsid w:val="213C4310"/>
    <w:rsid w:val="22057036"/>
    <w:rsid w:val="222358FB"/>
    <w:rsid w:val="22310731"/>
    <w:rsid w:val="22317671"/>
    <w:rsid w:val="22842B1B"/>
    <w:rsid w:val="22C933E0"/>
    <w:rsid w:val="235B1E27"/>
    <w:rsid w:val="23DC377E"/>
    <w:rsid w:val="245B1CD8"/>
    <w:rsid w:val="24C9636D"/>
    <w:rsid w:val="25441166"/>
    <w:rsid w:val="255E3059"/>
    <w:rsid w:val="25F0369F"/>
    <w:rsid w:val="25F755B2"/>
    <w:rsid w:val="25FC0296"/>
    <w:rsid w:val="26A26EC5"/>
    <w:rsid w:val="26A70CFA"/>
    <w:rsid w:val="26BB3B1F"/>
    <w:rsid w:val="26C87882"/>
    <w:rsid w:val="26D41B5B"/>
    <w:rsid w:val="26EC6C8B"/>
    <w:rsid w:val="27023BBE"/>
    <w:rsid w:val="27351625"/>
    <w:rsid w:val="277A572F"/>
    <w:rsid w:val="277C20F1"/>
    <w:rsid w:val="277F6B95"/>
    <w:rsid w:val="27D64759"/>
    <w:rsid w:val="28572163"/>
    <w:rsid w:val="29177CBB"/>
    <w:rsid w:val="29650048"/>
    <w:rsid w:val="29AE7496"/>
    <w:rsid w:val="2A1E3411"/>
    <w:rsid w:val="2A287994"/>
    <w:rsid w:val="2A4A0F9E"/>
    <w:rsid w:val="2A700E3F"/>
    <w:rsid w:val="2AAC3AF4"/>
    <w:rsid w:val="2AD16769"/>
    <w:rsid w:val="2B102E55"/>
    <w:rsid w:val="2C8E0821"/>
    <w:rsid w:val="2CA945A8"/>
    <w:rsid w:val="2CBC09B4"/>
    <w:rsid w:val="2D651E6D"/>
    <w:rsid w:val="2E8615A0"/>
    <w:rsid w:val="2E8F795A"/>
    <w:rsid w:val="2EB0698C"/>
    <w:rsid w:val="2EEB1C8E"/>
    <w:rsid w:val="30384B2D"/>
    <w:rsid w:val="303F1404"/>
    <w:rsid w:val="30407D93"/>
    <w:rsid w:val="310E41AA"/>
    <w:rsid w:val="311D6595"/>
    <w:rsid w:val="318E206A"/>
    <w:rsid w:val="318F19B5"/>
    <w:rsid w:val="31B70FE8"/>
    <w:rsid w:val="32822F14"/>
    <w:rsid w:val="32B05445"/>
    <w:rsid w:val="32EA32DB"/>
    <w:rsid w:val="33963535"/>
    <w:rsid w:val="34A97CD2"/>
    <w:rsid w:val="35035796"/>
    <w:rsid w:val="355B5C81"/>
    <w:rsid w:val="363E5B90"/>
    <w:rsid w:val="36C24A66"/>
    <w:rsid w:val="36EE0A08"/>
    <w:rsid w:val="37644FCA"/>
    <w:rsid w:val="37DF35D6"/>
    <w:rsid w:val="384D6CD9"/>
    <w:rsid w:val="3A0E4D39"/>
    <w:rsid w:val="3A3E27D3"/>
    <w:rsid w:val="3A4E1353"/>
    <w:rsid w:val="3A526FDB"/>
    <w:rsid w:val="3AB90FA7"/>
    <w:rsid w:val="3AD54F6C"/>
    <w:rsid w:val="3B0A0351"/>
    <w:rsid w:val="3B3B3BC8"/>
    <w:rsid w:val="3B4E14F1"/>
    <w:rsid w:val="3B610A66"/>
    <w:rsid w:val="3B665EF8"/>
    <w:rsid w:val="3B771A31"/>
    <w:rsid w:val="3BB9178F"/>
    <w:rsid w:val="3BD342DC"/>
    <w:rsid w:val="3C0D1CDE"/>
    <w:rsid w:val="3C8438C7"/>
    <w:rsid w:val="3D281CB1"/>
    <w:rsid w:val="3D2832A7"/>
    <w:rsid w:val="3DBD642C"/>
    <w:rsid w:val="3DE92FE2"/>
    <w:rsid w:val="3DEF7162"/>
    <w:rsid w:val="3DF226AC"/>
    <w:rsid w:val="3E5C190F"/>
    <w:rsid w:val="3E714200"/>
    <w:rsid w:val="3E717642"/>
    <w:rsid w:val="3EEE5741"/>
    <w:rsid w:val="3EF30B35"/>
    <w:rsid w:val="3F613AB0"/>
    <w:rsid w:val="3FB1402D"/>
    <w:rsid w:val="40597A6F"/>
    <w:rsid w:val="408B2BB5"/>
    <w:rsid w:val="40D55B30"/>
    <w:rsid w:val="410C7B15"/>
    <w:rsid w:val="412D5350"/>
    <w:rsid w:val="42EF0A82"/>
    <w:rsid w:val="43014A1F"/>
    <w:rsid w:val="438E427E"/>
    <w:rsid w:val="45601CF4"/>
    <w:rsid w:val="4577548C"/>
    <w:rsid w:val="45D03239"/>
    <w:rsid w:val="45D34151"/>
    <w:rsid w:val="45EE247D"/>
    <w:rsid w:val="45F9133B"/>
    <w:rsid w:val="45FA29AB"/>
    <w:rsid w:val="46036D66"/>
    <w:rsid w:val="46363C46"/>
    <w:rsid w:val="466F652E"/>
    <w:rsid w:val="46B958C7"/>
    <w:rsid w:val="47863A30"/>
    <w:rsid w:val="47EC5F36"/>
    <w:rsid w:val="495A2D41"/>
    <w:rsid w:val="495E1B4F"/>
    <w:rsid w:val="49755AE6"/>
    <w:rsid w:val="49D61965"/>
    <w:rsid w:val="4A050C18"/>
    <w:rsid w:val="4A443A39"/>
    <w:rsid w:val="4A9B1FBC"/>
    <w:rsid w:val="4AC15382"/>
    <w:rsid w:val="4B707902"/>
    <w:rsid w:val="4BBA2E95"/>
    <w:rsid w:val="4BC82845"/>
    <w:rsid w:val="4D152DC2"/>
    <w:rsid w:val="4D683733"/>
    <w:rsid w:val="4DB118AD"/>
    <w:rsid w:val="4E19703D"/>
    <w:rsid w:val="4F061E2F"/>
    <w:rsid w:val="4F3F79D1"/>
    <w:rsid w:val="4F615226"/>
    <w:rsid w:val="50404E84"/>
    <w:rsid w:val="50C14902"/>
    <w:rsid w:val="50C8702F"/>
    <w:rsid w:val="511C3151"/>
    <w:rsid w:val="51F60A22"/>
    <w:rsid w:val="523D426C"/>
    <w:rsid w:val="528F50B8"/>
    <w:rsid w:val="52B91E49"/>
    <w:rsid w:val="52CE1CB5"/>
    <w:rsid w:val="5304188E"/>
    <w:rsid w:val="530E54ED"/>
    <w:rsid w:val="53183302"/>
    <w:rsid w:val="532A610A"/>
    <w:rsid w:val="540B5801"/>
    <w:rsid w:val="543D3F40"/>
    <w:rsid w:val="543E2232"/>
    <w:rsid w:val="54B94838"/>
    <w:rsid w:val="556A06A8"/>
    <w:rsid w:val="55974AA1"/>
    <w:rsid w:val="55C7647F"/>
    <w:rsid w:val="55EE0126"/>
    <w:rsid w:val="567809C3"/>
    <w:rsid w:val="58030BDF"/>
    <w:rsid w:val="5817462B"/>
    <w:rsid w:val="589675FB"/>
    <w:rsid w:val="58D43ED9"/>
    <w:rsid w:val="58D45865"/>
    <w:rsid w:val="59205AB0"/>
    <w:rsid w:val="595E0F6E"/>
    <w:rsid w:val="59BB2DDB"/>
    <w:rsid w:val="5C8E0CFD"/>
    <w:rsid w:val="5DEF5B2D"/>
    <w:rsid w:val="5E0C0B6B"/>
    <w:rsid w:val="5EBB3B43"/>
    <w:rsid w:val="5EEA23F7"/>
    <w:rsid w:val="5F490061"/>
    <w:rsid w:val="5F7607D8"/>
    <w:rsid w:val="5FE33352"/>
    <w:rsid w:val="5FEA7BA3"/>
    <w:rsid w:val="60060436"/>
    <w:rsid w:val="605760D5"/>
    <w:rsid w:val="61153879"/>
    <w:rsid w:val="611A0FF5"/>
    <w:rsid w:val="611C652E"/>
    <w:rsid w:val="61234B2C"/>
    <w:rsid w:val="6126159B"/>
    <w:rsid w:val="61EE7C33"/>
    <w:rsid w:val="61FE40D1"/>
    <w:rsid w:val="62317C12"/>
    <w:rsid w:val="635C7F30"/>
    <w:rsid w:val="63B9793B"/>
    <w:rsid w:val="63D3180C"/>
    <w:rsid w:val="6444029B"/>
    <w:rsid w:val="65D371B2"/>
    <w:rsid w:val="665379CC"/>
    <w:rsid w:val="66967D79"/>
    <w:rsid w:val="679A1B08"/>
    <w:rsid w:val="68264E14"/>
    <w:rsid w:val="68543EC9"/>
    <w:rsid w:val="685A727E"/>
    <w:rsid w:val="687A1EF0"/>
    <w:rsid w:val="68BE05A0"/>
    <w:rsid w:val="69531516"/>
    <w:rsid w:val="6982427D"/>
    <w:rsid w:val="69B544DB"/>
    <w:rsid w:val="69B75940"/>
    <w:rsid w:val="69EE4D0A"/>
    <w:rsid w:val="6A8734CD"/>
    <w:rsid w:val="6AC34F94"/>
    <w:rsid w:val="6AD4703F"/>
    <w:rsid w:val="6AE257A8"/>
    <w:rsid w:val="6B1E3986"/>
    <w:rsid w:val="6B555526"/>
    <w:rsid w:val="6B651A60"/>
    <w:rsid w:val="6B7042B6"/>
    <w:rsid w:val="6B7D0FA8"/>
    <w:rsid w:val="6B81127C"/>
    <w:rsid w:val="6BB107A8"/>
    <w:rsid w:val="6C516FD3"/>
    <w:rsid w:val="6D970701"/>
    <w:rsid w:val="6DF33B56"/>
    <w:rsid w:val="6DFF1C9E"/>
    <w:rsid w:val="6E034CB9"/>
    <w:rsid w:val="6F435DA7"/>
    <w:rsid w:val="6F9D2E96"/>
    <w:rsid w:val="6FE3114C"/>
    <w:rsid w:val="6FFD26B6"/>
    <w:rsid w:val="70E95EFA"/>
    <w:rsid w:val="70F7113E"/>
    <w:rsid w:val="70FC7B81"/>
    <w:rsid w:val="713E0F2F"/>
    <w:rsid w:val="719D2DEC"/>
    <w:rsid w:val="72AC2D5B"/>
    <w:rsid w:val="73584C4E"/>
    <w:rsid w:val="73C86181"/>
    <w:rsid w:val="73D14FE0"/>
    <w:rsid w:val="73F97190"/>
    <w:rsid w:val="74B760A2"/>
    <w:rsid w:val="754C2F96"/>
    <w:rsid w:val="75A74A3D"/>
    <w:rsid w:val="75B0475F"/>
    <w:rsid w:val="75F00E31"/>
    <w:rsid w:val="76A7050B"/>
    <w:rsid w:val="77D55B2D"/>
    <w:rsid w:val="78640A09"/>
    <w:rsid w:val="787328E0"/>
    <w:rsid w:val="79222BCF"/>
    <w:rsid w:val="7A076B7C"/>
    <w:rsid w:val="7AF014F7"/>
    <w:rsid w:val="7B045960"/>
    <w:rsid w:val="7B310E49"/>
    <w:rsid w:val="7B3917AC"/>
    <w:rsid w:val="7B3D51E4"/>
    <w:rsid w:val="7B4E0E6E"/>
    <w:rsid w:val="7C88054E"/>
    <w:rsid w:val="7CBA7A79"/>
    <w:rsid w:val="7D4C6FC8"/>
    <w:rsid w:val="7D9D7F9E"/>
    <w:rsid w:val="7DB34A8F"/>
    <w:rsid w:val="7DF77BF0"/>
    <w:rsid w:val="7F1D4138"/>
    <w:rsid w:val="7F722FC9"/>
    <w:rsid w:val="7FF14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3">
    <w:name w:val="heading 2"/>
    <w:basedOn w:val="1"/>
    <w:next w:val="1"/>
    <w:unhideWhenUsed/>
    <w:qFormat/>
    <w:uiPriority w:val="0"/>
    <w:pPr>
      <w:keepNext/>
      <w:keepLines/>
      <w:spacing w:before="100" w:after="100" w:line="360" w:lineRule="auto"/>
      <w:ind w:firstLine="200" w:firstLineChars="200"/>
      <w:jc w:val="left"/>
      <w:outlineLvl w:val="1"/>
    </w:pPr>
    <w:rPr>
      <w:rFonts w:ascii="Arial" w:hAnsi="Arial"/>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360" w:lineRule="auto"/>
      <w:ind w:firstLine="420"/>
    </w:pPr>
    <w:rPr>
      <w:sz w:val="24"/>
    </w:rPr>
  </w:style>
  <w:style w:type="paragraph" w:styleId="5">
    <w:name w:val="Body Text"/>
    <w:basedOn w:val="1"/>
    <w:next w:val="1"/>
    <w:qFormat/>
    <w:uiPriority w:val="0"/>
    <w:pPr>
      <w:spacing w:after="120" w:afterLines="0" w:afterAutospacing="0"/>
    </w:pPr>
  </w:style>
  <w:style w:type="paragraph" w:styleId="6">
    <w:name w:val="Plain Text"/>
    <w:basedOn w:val="1"/>
    <w:qFormat/>
    <w:uiPriority w:val="0"/>
    <w:rPr>
      <w:rFonts w:hAnsi="Courier New" w:eastAsia="宋体"/>
      <w:color w:val="auto"/>
      <w:kern w:val="2"/>
      <w:sz w:val="21"/>
      <w:szCs w:val="20"/>
      <w:lang w:val="en-US"/>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styleId="14">
    <w:name w:val="List Paragraph"/>
    <w:basedOn w:val="1"/>
    <w:qFormat/>
    <w:uiPriority w:val="34"/>
    <w:pPr>
      <w:ind w:firstLine="420" w:firstLineChars="200"/>
    </w:pPr>
  </w:style>
  <w:style w:type="character" w:customStyle="1" w:styleId="15">
    <w:name w:val="页眉 Char"/>
    <w:basedOn w:val="12"/>
    <w:link w:val="8"/>
    <w:qFormat/>
    <w:uiPriority w:val="99"/>
    <w:rPr>
      <w:rFonts w:ascii="Times New Roman" w:hAnsi="Times New Roman" w:eastAsia="宋体" w:cs="Times New Roman"/>
      <w:sz w:val="18"/>
      <w:szCs w:val="18"/>
    </w:rPr>
  </w:style>
  <w:style w:type="character" w:customStyle="1" w:styleId="16">
    <w:name w:val="页脚 Char"/>
    <w:basedOn w:val="12"/>
    <w:link w:val="7"/>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5710</Words>
  <Characters>6430</Characters>
  <Lines>10</Lines>
  <Paragraphs>2</Paragraphs>
  <TotalTime>0</TotalTime>
  <ScaleCrop>false</ScaleCrop>
  <LinksUpToDate>false</LinksUpToDate>
  <CharactersWithSpaces>6488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2016-06-03T08:08:00Z</dcterms:created>
  <dc:creator>Admin</dc:creator>
  <cp:lastModifiedBy>周雨</cp:lastModifiedBy>
  <dcterms:modified xsi:type="dcterms:W3CDTF">2025-10-28T02:37:32Z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SaveFontToCloudKey">
    <vt:lpwstr>444817304_cloud</vt:lpwstr>
  </property>
  <property fmtid="{D5CDD505-2E9C-101B-9397-08002B2CF9AE}" pid="4" name="ICV">
    <vt:lpwstr>96C9A66AE695431494AFD8BBC7FB7900</vt:lpwstr>
  </property>
  <property fmtid="{D5CDD505-2E9C-101B-9397-08002B2CF9AE}" pid="5" name="KSOTemplateDocerSaveRecord">
    <vt:lpwstr>eyJoZGlkIjoiMzJmODM0MjU3OWJiNTgwNDc2OWYwOTY3ZGZmMWEwYTQiLCJ1c2VySWQiOiI0NDQ4MTczMDQifQ==</vt:lpwstr>
  </property>
</Properties>
</file>