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E932975">
      <w:pPr>
        <w:pStyle w:val="2"/>
        <w:spacing w:before="0" w:beforeLines="0" w:after="0" w:afterLines="0" w:line="570" w:lineRule="exact"/>
        <w:rPr>
          <w:color w:val="FF0000"/>
        </w:rPr>
      </w:pPr>
      <w:bookmarkStart w:id="0" w:name="_Toc13135"/>
      <w:r>
        <w:rPr>
          <w:rFonts w:hint="eastAsia" w:ascii="方正小标宋_GBK" w:hAnsi="方正小标宋_GBK" w:eastAsia="方正小标宋_GBK" w:cs="方正小标宋_GBK"/>
          <w:kern w:val="0"/>
          <w:szCs w:val="44"/>
          <w:lang w:val="en-US" w:eastAsia="zh-CN"/>
        </w:rPr>
        <w:t>重庆市巴南区图书馆2026年公共数字资源服务</w:t>
      </w:r>
      <w:r>
        <w:rPr>
          <w:rFonts w:hint="eastAsia" w:ascii="方正小标宋_GBK" w:hAnsi="方正小标宋_GBK" w:eastAsia="方正小标宋_GBK" w:cs="方正小标宋_GBK"/>
          <w:kern w:val="0"/>
          <w:szCs w:val="44"/>
        </w:rPr>
        <w:t>项目参数需求</w:t>
      </w:r>
      <w:bookmarkEnd w:id="0"/>
      <w:r>
        <w:rPr>
          <w:rFonts w:hint="eastAsia" w:ascii="方正小标宋_GBK" w:hAnsi="方正小标宋_GBK" w:eastAsia="方正小标宋_GBK" w:cs="方正小标宋_GBK"/>
          <w:kern w:val="0"/>
          <w:szCs w:val="44"/>
        </w:rPr>
        <w:t>表</w:t>
      </w:r>
    </w:p>
    <w:p w14:paraId="79205F98">
      <w:pPr>
        <w:spacing w:line="570" w:lineRule="exact"/>
        <w:rPr>
          <w:rFonts w:ascii="方正黑体_GBK" w:eastAsia="方正黑体_GBK"/>
          <w:sz w:val="32"/>
          <w:szCs w:val="32"/>
        </w:rPr>
      </w:pPr>
    </w:p>
    <w:p w14:paraId="407A5944">
      <w:pPr>
        <w:spacing w:line="570" w:lineRule="exact"/>
        <w:ind w:firstLine="640" w:firstLineChars="200"/>
        <w:rPr>
          <w:rFonts w:ascii="方正黑体_GBK" w:eastAsia="方正黑体_GBK"/>
          <w:sz w:val="32"/>
          <w:szCs w:val="32"/>
        </w:rPr>
      </w:pPr>
      <w:r>
        <w:rPr>
          <w:rFonts w:hint="eastAsia" w:ascii="方正黑体_GBK" w:eastAsia="方正黑体_GBK"/>
          <w:sz w:val="32"/>
          <w:szCs w:val="32"/>
        </w:rPr>
        <w:t>一、项目名称</w:t>
      </w:r>
    </w:p>
    <w:p w14:paraId="260DEDE5">
      <w:pPr>
        <w:snapToGrid w:val="0"/>
        <w:spacing w:line="570" w:lineRule="exact"/>
        <w:ind w:firstLine="640" w:firstLineChars="200"/>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重庆市巴南区图书馆2026年公共数字资源服务</w:t>
      </w:r>
    </w:p>
    <w:p w14:paraId="086CB1D7">
      <w:pPr>
        <w:snapToGrid w:val="0"/>
        <w:spacing w:line="570" w:lineRule="exact"/>
        <w:ind w:firstLine="640" w:firstLineChars="200"/>
        <w:rPr>
          <w:rFonts w:ascii="方正仿宋_GBK" w:hAnsi="方正仿宋_GBK" w:eastAsia="方正仿宋_GBK" w:cs="方正仿宋_GBK"/>
          <w:color w:val="FF0000"/>
          <w:sz w:val="32"/>
          <w:szCs w:val="32"/>
        </w:rPr>
      </w:pPr>
      <w:r>
        <w:rPr>
          <w:rFonts w:hint="eastAsia" w:ascii="方正黑体_GBK" w:eastAsia="方正黑体_GBK"/>
          <w:sz w:val="32"/>
          <w:szCs w:val="32"/>
        </w:rPr>
        <w:t>二、资格条件</w:t>
      </w:r>
    </w:p>
    <w:p w14:paraId="69305032">
      <w:pPr>
        <w:snapToGrid w:val="0"/>
        <w:spacing w:line="570" w:lineRule="exact"/>
        <w:ind w:firstLine="64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1. 具有独立承担民事责任的能力；</w:t>
      </w:r>
    </w:p>
    <w:p w14:paraId="7777C4D2">
      <w:pPr>
        <w:snapToGrid w:val="0"/>
        <w:spacing w:line="570" w:lineRule="exact"/>
        <w:ind w:firstLine="64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2. 具有良好的商业信誉和健全的财务会计制度；</w:t>
      </w:r>
    </w:p>
    <w:p w14:paraId="4B5A70E5">
      <w:pPr>
        <w:snapToGrid w:val="0"/>
        <w:spacing w:line="570" w:lineRule="exact"/>
        <w:ind w:firstLine="64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3. 具有履行合同所必需的设备和专业技术能力；</w:t>
      </w:r>
    </w:p>
    <w:p w14:paraId="22E4943A">
      <w:pPr>
        <w:snapToGrid w:val="0"/>
        <w:spacing w:line="570" w:lineRule="exact"/>
        <w:ind w:firstLine="64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4. 有依法缴纳税收和社会保障资金的良好记录；</w:t>
      </w:r>
    </w:p>
    <w:p w14:paraId="079B9D57">
      <w:pPr>
        <w:snapToGrid w:val="0"/>
        <w:spacing w:line="570" w:lineRule="exact"/>
        <w:ind w:firstLine="64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5. 参加政府采购活动前三年内，在经营活动中没有重大违法记录；</w:t>
      </w:r>
    </w:p>
    <w:p w14:paraId="5189BB7C">
      <w:pPr>
        <w:snapToGrid w:val="0"/>
        <w:spacing w:line="570" w:lineRule="exact"/>
        <w:ind w:firstLine="64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6. 法律、行政法规规定的其他条件。</w:t>
      </w:r>
    </w:p>
    <w:p w14:paraId="5E035CC6">
      <w:pPr>
        <w:spacing w:line="570" w:lineRule="exact"/>
        <w:ind w:firstLine="640" w:firstLineChars="200"/>
        <w:rPr>
          <w:rFonts w:ascii="方正黑体_GBK" w:eastAsia="方正黑体_GBK"/>
          <w:sz w:val="32"/>
          <w:szCs w:val="32"/>
        </w:rPr>
      </w:pPr>
      <w:r>
        <w:rPr>
          <w:rFonts w:hint="eastAsia" w:ascii="方正黑体_GBK" w:eastAsia="方正黑体_GBK"/>
          <w:sz w:val="32"/>
          <w:szCs w:val="32"/>
        </w:rPr>
        <w:t>三、商务要求</w:t>
      </w:r>
    </w:p>
    <w:p w14:paraId="0E7C44B0">
      <w:pPr>
        <w:snapToGrid w:val="0"/>
        <w:spacing w:line="570" w:lineRule="exact"/>
        <w:ind w:firstLine="640" w:firstLineChars="200"/>
        <w:rPr>
          <w:rFonts w:ascii="方正仿宋_GBK" w:hAnsi="方正仿宋_GBK" w:eastAsia="方正仿宋_GBK" w:cs="方正仿宋_GBK"/>
          <w:sz w:val="32"/>
          <w:szCs w:val="32"/>
        </w:rPr>
      </w:pPr>
      <w:bookmarkStart w:id="1" w:name="_Toc267320049"/>
      <w:r>
        <w:rPr>
          <w:rFonts w:hint="eastAsia" w:ascii="方正仿宋_GBK" w:hAnsi="方正仿宋_GBK" w:eastAsia="方正仿宋_GBK" w:cs="方正仿宋_GBK"/>
          <w:sz w:val="32"/>
          <w:szCs w:val="32"/>
        </w:rPr>
        <w:t xml:space="preserve">1. </w:t>
      </w:r>
      <w:r>
        <w:rPr>
          <w:rFonts w:hint="eastAsia" w:ascii="方正仿宋_GBK" w:hAnsi="方正仿宋_GBK" w:eastAsia="方正仿宋_GBK" w:cs="方正仿宋_GBK"/>
          <w:sz w:val="32"/>
          <w:szCs w:val="32"/>
          <w:lang w:val="en-US" w:eastAsia="zh-CN"/>
        </w:rPr>
        <w:t>实施</w:t>
      </w:r>
      <w:r>
        <w:rPr>
          <w:rFonts w:hint="eastAsia" w:ascii="方正仿宋_GBK" w:hAnsi="方正仿宋_GBK" w:eastAsia="方正仿宋_GBK" w:cs="方正仿宋_GBK"/>
          <w:sz w:val="32"/>
          <w:szCs w:val="32"/>
        </w:rPr>
        <w:t>时间：</w:t>
      </w:r>
      <w:r>
        <w:rPr>
          <w:rFonts w:hint="eastAsia" w:ascii="方正仿宋_GBK" w:hAnsi="方正仿宋_GBK" w:eastAsia="方正仿宋_GBK" w:cs="方正仿宋_GBK"/>
          <w:sz w:val="32"/>
          <w:szCs w:val="32"/>
          <w:lang w:val="en-US" w:eastAsia="zh-CN"/>
        </w:rPr>
        <w:t>合同签订后5个工作日内安装实施完毕。</w:t>
      </w:r>
    </w:p>
    <w:p w14:paraId="2940AD98">
      <w:pPr>
        <w:snapToGrid w:val="0"/>
        <w:spacing w:line="570" w:lineRule="exact"/>
        <w:ind w:firstLine="64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2. 服务地点：重庆市巴南区图书馆</w:t>
      </w:r>
    </w:p>
    <w:p w14:paraId="7B6AD351">
      <w:pPr>
        <w:snapToGrid w:val="0"/>
        <w:spacing w:line="570" w:lineRule="exact"/>
        <w:ind w:firstLine="64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 xml:space="preserve">3. </w:t>
      </w:r>
      <w:r>
        <w:rPr>
          <w:rFonts w:hint="eastAsia" w:ascii="方正仿宋_GBK" w:hAnsi="方正仿宋_GBK" w:eastAsia="方正仿宋_GBK" w:cs="方正仿宋_GBK"/>
          <w:sz w:val="32"/>
          <w:szCs w:val="32"/>
          <w:lang w:val="en-US" w:eastAsia="zh-CN"/>
        </w:rPr>
        <w:t>服务</w:t>
      </w:r>
      <w:r>
        <w:rPr>
          <w:rFonts w:hint="eastAsia" w:ascii="方正仿宋_GBK" w:hAnsi="方正仿宋_GBK" w:eastAsia="方正仿宋_GBK" w:cs="方正仿宋_GBK"/>
          <w:sz w:val="32"/>
          <w:szCs w:val="32"/>
        </w:rPr>
        <w:t>时间：</w:t>
      </w:r>
      <w:r>
        <w:rPr>
          <w:rFonts w:hint="eastAsia" w:ascii="方正仿宋_GBK" w:hAnsi="方正仿宋_GBK" w:eastAsia="方正仿宋_GBK" w:cs="方正仿宋_GBK"/>
          <w:sz w:val="32"/>
          <w:szCs w:val="32"/>
          <w:lang w:val="en-US" w:eastAsia="zh-CN"/>
        </w:rPr>
        <w:t>2026年1月1日至2026年12月31日</w:t>
      </w:r>
      <w:r>
        <w:rPr>
          <w:rFonts w:hint="eastAsia" w:ascii="方正仿宋_GBK" w:hAnsi="方正仿宋_GBK" w:eastAsia="方正仿宋_GBK" w:cs="方正仿宋_GBK"/>
          <w:sz w:val="32"/>
          <w:szCs w:val="32"/>
        </w:rPr>
        <w:t>。</w:t>
      </w:r>
    </w:p>
    <w:p w14:paraId="5C59D60D">
      <w:pPr>
        <w:snapToGrid w:val="0"/>
        <w:spacing w:line="570" w:lineRule="exact"/>
        <w:ind w:firstLine="64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4. 服务验收</w:t>
      </w:r>
    </w:p>
    <w:p w14:paraId="55BBCBF0">
      <w:pPr>
        <w:snapToGrid w:val="0"/>
        <w:spacing w:line="570" w:lineRule="exact"/>
        <w:ind w:firstLine="64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（1）验收单位：由采购人负责组织验收。</w:t>
      </w:r>
    </w:p>
    <w:p w14:paraId="37291F74">
      <w:pPr>
        <w:snapToGrid w:val="0"/>
        <w:spacing w:line="570" w:lineRule="exact"/>
        <w:ind w:firstLine="64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2）验收标准：按照国家及行业相关标准、招标文件规定、合同约定以及质量检查标准等标准进行验收，如验收达不到规定要求，对采购人造成损失的，中标方应承担一切责任。成交供应商应提供完备的技术资料、装箱单和合格证等，由采购人对成交供应商提供服务和货物及安装实施进行初验和数量清点。项目安装调试完毕后由采购人组织验收，如验收不合格成交供应商必须在限期内整改完毕，否则采购人有权解除合同。如验收达不到规定要求，对采购人造成一定的影响，成交供应商承担一切责任，并赔偿所造成的损失。验收合格条件如下：</w:t>
      </w:r>
    </w:p>
    <w:p w14:paraId="42C0731B">
      <w:pPr>
        <w:snapToGrid w:val="0"/>
        <w:spacing w:line="570" w:lineRule="exact"/>
        <w:ind w:firstLine="64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fldChar w:fldCharType="begin"/>
      </w:r>
      <w:r>
        <w:rPr>
          <w:rFonts w:hint="eastAsia" w:ascii="方正仿宋_GBK" w:hAnsi="方正仿宋_GBK" w:eastAsia="方正仿宋_GBK" w:cs="方正仿宋_GBK"/>
          <w:sz w:val="32"/>
          <w:szCs w:val="32"/>
        </w:rPr>
        <w:instrText xml:space="preserve"> = 1 \* GB3 \* MERGEFORMAT </w:instrText>
      </w:r>
      <w:r>
        <w:rPr>
          <w:rFonts w:hint="eastAsia" w:ascii="方正仿宋_GBK" w:hAnsi="方正仿宋_GBK" w:eastAsia="方正仿宋_GBK" w:cs="方正仿宋_GBK"/>
          <w:sz w:val="32"/>
          <w:szCs w:val="32"/>
        </w:rPr>
        <w:fldChar w:fldCharType="separate"/>
      </w:r>
      <w:r>
        <w:rPr>
          <w:rFonts w:hint="eastAsia" w:ascii="方正仿宋_GBK" w:hAnsi="方正仿宋_GBK" w:eastAsia="方正仿宋_GBK" w:cs="方正仿宋_GBK"/>
          <w:sz w:val="32"/>
          <w:szCs w:val="32"/>
        </w:rPr>
        <w:t>①</w:t>
      </w:r>
      <w:r>
        <w:rPr>
          <w:rFonts w:hint="eastAsia" w:ascii="方正仿宋_GBK" w:hAnsi="方正仿宋_GBK" w:eastAsia="方正仿宋_GBK" w:cs="方正仿宋_GBK"/>
          <w:sz w:val="32"/>
          <w:szCs w:val="32"/>
        </w:rPr>
        <w:fldChar w:fldCharType="end"/>
      </w:r>
      <w:r>
        <w:rPr>
          <w:rFonts w:hint="eastAsia" w:ascii="方正仿宋_GBK" w:hAnsi="方正仿宋_GBK" w:eastAsia="方正仿宋_GBK" w:cs="方正仿宋_GBK"/>
          <w:sz w:val="32"/>
          <w:szCs w:val="32"/>
        </w:rPr>
        <w:t>设备技术参数与采购合同一致，性能指标达到规定的标准；</w:t>
      </w:r>
    </w:p>
    <w:p w14:paraId="0A8BA244">
      <w:pPr>
        <w:snapToGrid w:val="0"/>
        <w:spacing w:line="570" w:lineRule="exact"/>
        <w:ind w:firstLine="640" w:firstLineChars="200"/>
        <w:rPr>
          <w:rFonts w:ascii="方正仿宋_GBK" w:hAnsi="方正仿宋_GBK" w:eastAsia="方正仿宋_GBK" w:cs="方正仿宋_GBK"/>
          <w:sz w:val="32"/>
          <w:szCs w:val="32"/>
        </w:rPr>
      </w:pPr>
      <w:r>
        <w:rPr>
          <w:rFonts w:ascii="方正仿宋_GBK" w:hAnsi="方正仿宋_GBK" w:eastAsia="方正仿宋_GBK" w:cs="方正仿宋_GBK"/>
          <w:sz w:val="32"/>
          <w:szCs w:val="32"/>
        </w:rPr>
        <w:fldChar w:fldCharType="begin"/>
      </w:r>
      <w:r>
        <w:rPr>
          <w:rFonts w:ascii="方正仿宋_GBK" w:hAnsi="方正仿宋_GBK" w:eastAsia="方正仿宋_GBK" w:cs="方正仿宋_GBK"/>
          <w:sz w:val="32"/>
          <w:szCs w:val="32"/>
        </w:rPr>
        <w:instrText xml:space="preserve"> = 2 \* GB3 \* MERGEFORMAT </w:instrText>
      </w:r>
      <w:r>
        <w:rPr>
          <w:rFonts w:ascii="方正仿宋_GBK" w:hAnsi="方正仿宋_GBK" w:eastAsia="方正仿宋_GBK" w:cs="方正仿宋_GBK"/>
          <w:sz w:val="32"/>
          <w:szCs w:val="32"/>
        </w:rPr>
        <w:fldChar w:fldCharType="separate"/>
      </w:r>
      <w:r>
        <w:rPr>
          <w:rFonts w:ascii="方正仿宋_GBK" w:hAnsi="方正仿宋_GBK" w:eastAsia="方正仿宋_GBK" w:cs="方正仿宋_GBK"/>
          <w:sz w:val="32"/>
          <w:szCs w:val="32"/>
        </w:rPr>
        <w:t>②</w:t>
      </w:r>
      <w:r>
        <w:rPr>
          <w:rFonts w:ascii="方正仿宋_GBK" w:hAnsi="方正仿宋_GBK" w:eastAsia="方正仿宋_GBK" w:cs="方正仿宋_GBK"/>
          <w:sz w:val="32"/>
          <w:szCs w:val="32"/>
        </w:rPr>
        <w:fldChar w:fldCharType="end"/>
      </w:r>
      <w:r>
        <w:rPr>
          <w:rFonts w:hint="eastAsia" w:ascii="方正仿宋_GBK" w:hAnsi="方正仿宋_GBK" w:eastAsia="方正仿宋_GBK" w:cs="方正仿宋_GBK"/>
          <w:sz w:val="32"/>
          <w:szCs w:val="32"/>
        </w:rPr>
        <w:t>货物技术资料、装箱单、合格证等资料齐全；</w:t>
      </w:r>
    </w:p>
    <w:p w14:paraId="60E1A3BB">
      <w:pPr>
        <w:snapToGrid w:val="0"/>
        <w:spacing w:line="570" w:lineRule="exact"/>
        <w:ind w:firstLine="640" w:firstLineChars="200"/>
        <w:rPr>
          <w:rFonts w:ascii="方正仿宋_GBK" w:hAnsi="方正仿宋_GBK" w:eastAsia="方正仿宋_GBK" w:cs="方正仿宋_GBK"/>
          <w:sz w:val="32"/>
          <w:szCs w:val="32"/>
        </w:rPr>
      </w:pPr>
      <w:r>
        <w:rPr>
          <w:rFonts w:ascii="方正仿宋_GBK" w:hAnsi="方正仿宋_GBK" w:eastAsia="方正仿宋_GBK" w:cs="方正仿宋_GBK"/>
          <w:sz w:val="32"/>
          <w:szCs w:val="32"/>
        </w:rPr>
        <w:fldChar w:fldCharType="begin"/>
      </w:r>
      <w:r>
        <w:rPr>
          <w:rFonts w:ascii="方正仿宋_GBK" w:hAnsi="方正仿宋_GBK" w:eastAsia="方正仿宋_GBK" w:cs="方正仿宋_GBK"/>
          <w:sz w:val="32"/>
          <w:szCs w:val="32"/>
        </w:rPr>
        <w:instrText xml:space="preserve"> = 3 \* GB3 \* MERGEFORMAT </w:instrText>
      </w:r>
      <w:r>
        <w:rPr>
          <w:rFonts w:ascii="方正仿宋_GBK" w:hAnsi="方正仿宋_GBK" w:eastAsia="方正仿宋_GBK" w:cs="方正仿宋_GBK"/>
          <w:sz w:val="32"/>
          <w:szCs w:val="32"/>
        </w:rPr>
        <w:fldChar w:fldCharType="separate"/>
      </w:r>
      <w:r>
        <w:rPr>
          <w:rFonts w:hint="eastAsia" w:ascii="方正仿宋_GBK" w:hAnsi="方正仿宋_GBK" w:eastAsia="方正仿宋_GBK" w:cs="方正仿宋_GBK"/>
          <w:sz w:val="32"/>
          <w:szCs w:val="32"/>
        </w:rPr>
        <w:t>③</w:t>
      </w:r>
      <w:r>
        <w:rPr>
          <w:rFonts w:ascii="方正仿宋_GBK" w:hAnsi="方正仿宋_GBK" w:eastAsia="方正仿宋_GBK" w:cs="方正仿宋_GBK"/>
          <w:sz w:val="32"/>
          <w:szCs w:val="32"/>
        </w:rPr>
        <w:fldChar w:fldCharType="end"/>
      </w:r>
      <w:r>
        <w:rPr>
          <w:rFonts w:hint="eastAsia" w:ascii="方正仿宋_GBK" w:hAnsi="方正仿宋_GBK" w:eastAsia="方正仿宋_GBK" w:cs="方正仿宋_GBK"/>
          <w:sz w:val="32"/>
          <w:szCs w:val="32"/>
        </w:rPr>
        <w:t>在使用期间所出现的问题得到解决，并运行正常；</w:t>
      </w:r>
    </w:p>
    <w:p w14:paraId="52631B0A">
      <w:pPr>
        <w:snapToGrid w:val="0"/>
        <w:spacing w:line="570" w:lineRule="exact"/>
        <w:ind w:firstLine="64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fldChar w:fldCharType="begin"/>
      </w:r>
      <w:r>
        <w:rPr>
          <w:rFonts w:hint="eastAsia" w:ascii="方正仿宋_GBK" w:hAnsi="方正仿宋_GBK" w:eastAsia="方正仿宋_GBK" w:cs="方正仿宋_GBK"/>
          <w:sz w:val="32"/>
          <w:szCs w:val="32"/>
        </w:rPr>
        <w:instrText xml:space="preserve"> = 4 \* GB3 \* MERGEFORMAT </w:instrText>
      </w:r>
      <w:r>
        <w:rPr>
          <w:rFonts w:hint="eastAsia" w:ascii="方正仿宋_GBK" w:hAnsi="方正仿宋_GBK" w:eastAsia="方正仿宋_GBK" w:cs="方正仿宋_GBK"/>
          <w:sz w:val="32"/>
          <w:szCs w:val="32"/>
        </w:rPr>
        <w:fldChar w:fldCharType="separate"/>
      </w:r>
      <w:r>
        <w:rPr>
          <w:rFonts w:hint="eastAsia" w:ascii="方正仿宋_GBK" w:hAnsi="方正仿宋_GBK" w:eastAsia="方正仿宋_GBK" w:cs="方正仿宋_GBK"/>
          <w:sz w:val="32"/>
          <w:szCs w:val="32"/>
        </w:rPr>
        <w:t>④</w:t>
      </w:r>
      <w:r>
        <w:rPr>
          <w:rFonts w:hint="eastAsia" w:ascii="方正仿宋_GBK" w:hAnsi="方正仿宋_GBK" w:eastAsia="方正仿宋_GBK" w:cs="方正仿宋_GBK"/>
          <w:sz w:val="32"/>
          <w:szCs w:val="32"/>
        </w:rPr>
        <w:fldChar w:fldCharType="end"/>
      </w:r>
      <w:r>
        <w:rPr>
          <w:rFonts w:hint="eastAsia" w:ascii="方正仿宋_GBK" w:hAnsi="方正仿宋_GBK" w:eastAsia="方正仿宋_GBK" w:cs="方正仿宋_GBK"/>
          <w:sz w:val="32"/>
          <w:szCs w:val="32"/>
        </w:rPr>
        <w:t>在规定时间内完成交货并验收，并经采购人确认。</w:t>
      </w:r>
    </w:p>
    <w:p w14:paraId="6E322027">
      <w:pPr>
        <w:snapToGrid w:val="0"/>
        <w:spacing w:line="570" w:lineRule="exact"/>
        <w:ind w:firstLine="64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5. 售后和质保</w:t>
      </w:r>
    </w:p>
    <w:p w14:paraId="38F03722">
      <w:pPr>
        <w:snapToGrid w:val="0"/>
        <w:spacing w:line="570" w:lineRule="exact"/>
        <w:ind w:firstLine="64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（1）</w:t>
      </w:r>
      <w:r>
        <w:rPr>
          <w:rFonts w:ascii="方正仿宋_GBK" w:hAnsi="方正仿宋_GBK" w:eastAsia="方正仿宋_GBK" w:cs="方正仿宋_GBK"/>
          <w:sz w:val="32"/>
          <w:szCs w:val="32"/>
        </w:rPr>
        <w:t>电话咨询：供方和制造商应当为采购人提供技术援助电话，解答采购人在使用中遇到的问题，及时为采购人提出解决问题的建议。</w:t>
      </w:r>
    </w:p>
    <w:p w14:paraId="6E13F87C">
      <w:pPr>
        <w:snapToGrid w:val="0"/>
        <w:spacing w:line="570" w:lineRule="exact"/>
        <w:ind w:firstLine="64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（2）</w:t>
      </w:r>
      <w:r>
        <w:rPr>
          <w:rFonts w:ascii="方正仿宋_GBK" w:hAnsi="方正仿宋_GBK" w:eastAsia="方正仿宋_GBK" w:cs="方正仿宋_GBK"/>
          <w:sz w:val="32"/>
          <w:szCs w:val="32"/>
        </w:rPr>
        <w:t>现场响应：</w:t>
      </w:r>
      <w:r>
        <w:rPr>
          <w:rFonts w:hint="eastAsia" w:ascii="方正仿宋_GBK" w:hAnsi="方正仿宋_GBK" w:eastAsia="方正仿宋_GBK" w:cs="方正仿宋_GBK"/>
          <w:sz w:val="32"/>
          <w:szCs w:val="32"/>
        </w:rPr>
        <w:t>采购人</w:t>
      </w:r>
      <w:r>
        <w:rPr>
          <w:rFonts w:ascii="方正仿宋_GBK" w:hAnsi="方正仿宋_GBK" w:eastAsia="方正仿宋_GBK" w:cs="方正仿宋_GBK"/>
          <w:sz w:val="32"/>
          <w:szCs w:val="32"/>
        </w:rPr>
        <w:t>遇到使用及技术问题，电话咨询不能解决的，供方和制造商应在</w:t>
      </w:r>
      <w:r>
        <w:rPr>
          <w:rFonts w:hint="eastAsia" w:ascii="方正仿宋_GBK" w:hAnsi="方正仿宋_GBK" w:eastAsia="方正仿宋_GBK" w:cs="方正仿宋_GBK"/>
          <w:sz w:val="32"/>
          <w:szCs w:val="32"/>
        </w:rPr>
        <w:t>2</w:t>
      </w:r>
      <w:r>
        <w:rPr>
          <w:rFonts w:ascii="方正仿宋_GBK" w:hAnsi="方正仿宋_GBK" w:eastAsia="方正仿宋_GBK" w:cs="方正仿宋_GBK"/>
          <w:sz w:val="32"/>
          <w:szCs w:val="32"/>
        </w:rPr>
        <w:t>小时内到达现场（远郊区</w:t>
      </w:r>
      <w:r>
        <w:rPr>
          <w:rFonts w:hint="eastAsia" w:ascii="方正仿宋_GBK" w:hAnsi="方正仿宋_GBK" w:eastAsia="方正仿宋_GBK" w:cs="方正仿宋_GBK"/>
          <w:sz w:val="32"/>
          <w:szCs w:val="32"/>
        </w:rPr>
        <w:t>4</w:t>
      </w:r>
      <w:r>
        <w:rPr>
          <w:rFonts w:ascii="方正仿宋_GBK" w:hAnsi="方正仿宋_GBK" w:eastAsia="方正仿宋_GBK" w:cs="方正仿宋_GBK"/>
          <w:sz w:val="32"/>
          <w:szCs w:val="32"/>
        </w:rPr>
        <w:t>小时内到达现场）进行处理，确保产品正常工作；无法在</w:t>
      </w:r>
      <w:r>
        <w:rPr>
          <w:rFonts w:hint="eastAsia" w:ascii="方正仿宋_GBK" w:hAnsi="方正仿宋_GBK" w:eastAsia="方正仿宋_GBK" w:cs="方正仿宋_GBK"/>
          <w:sz w:val="32"/>
          <w:szCs w:val="32"/>
        </w:rPr>
        <w:t>12</w:t>
      </w:r>
      <w:r>
        <w:rPr>
          <w:rFonts w:ascii="方正仿宋_GBK" w:hAnsi="方正仿宋_GBK" w:eastAsia="方正仿宋_GBK" w:cs="方正仿宋_GBK"/>
          <w:sz w:val="32"/>
          <w:szCs w:val="32"/>
        </w:rPr>
        <w:t>小时内解决的，应在</w:t>
      </w:r>
      <w:r>
        <w:rPr>
          <w:rFonts w:hint="eastAsia" w:ascii="方正仿宋_GBK" w:hAnsi="方正仿宋_GBK" w:eastAsia="方正仿宋_GBK" w:cs="方正仿宋_GBK"/>
          <w:sz w:val="32"/>
          <w:szCs w:val="32"/>
        </w:rPr>
        <w:t>12</w:t>
      </w:r>
      <w:r>
        <w:rPr>
          <w:rFonts w:ascii="方正仿宋_GBK" w:hAnsi="方正仿宋_GBK" w:eastAsia="方正仿宋_GBK" w:cs="方正仿宋_GBK"/>
          <w:sz w:val="32"/>
          <w:szCs w:val="32"/>
        </w:rPr>
        <w:t>小时内提供备用产品，使采购人能够正常使用。</w:t>
      </w:r>
    </w:p>
    <w:p w14:paraId="6FC0927D">
      <w:pPr>
        <w:snapToGrid w:val="0"/>
        <w:spacing w:line="570" w:lineRule="exact"/>
        <w:ind w:firstLine="64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（3）</w:t>
      </w:r>
      <w:r>
        <w:rPr>
          <w:rFonts w:ascii="方正仿宋_GBK" w:hAnsi="方正仿宋_GBK" w:eastAsia="方正仿宋_GBK" w:cs="方正仿宋_GBK"/>
          <w:sz w:val="32"/>
          <w:szCs w:val="32"/>
        </w:rPr>
        <w:t>技术服务：在质保期内，如果供方和制造商的产品技术升级，供方应及时通知采购人，如采购人有相应要求，供方和制造商应对采购人购买的产品进行升级服务。</w:t>
      </w:r>
    </w:p>
    <w:bookmarkEnd w:id="1"/>
    <w:p w14:paraId="6357A670">
      <w:pPr>
        <w:snapToGrid w:val="0"/>
        <w:spacing w:line="570" w:lineRule="exact"/>
        <w:ind w:firstLine="64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6</w:t>
      </w:r>
      <w:r>
        <w:rPr>
          <w:rFonts w:hint="eastAsia" w:ascii="方正仿宋_GBK" w:hAnsi="方正仿宋_GBK" w:eastAsia="方正仿宋_GBK" w:cs="方正仿宋_GBK"/>
          <w:sz w:val="32"/>
          <w:szCs w:val="32"/>
        </w:rPr>
        <w:t>. 其他服务及要求</w:t>
      </w:r>
    </w:p>
    <w:p w14:paraId="40F2AF54">
      <w:pPr>
        <w:snapToGrid w:val="0"/>
        <w:spacing w:line="570" w:lineRule="exact"/>
        <w:ind w:firstLine="64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（1）供应商须保证本次提供报价的产品或服务是最新且完备的，且完全与询价要求相符。</w:t>
      </w:r>
    </w:p>
    <w:p w14:paraId="57D65568">
      <w:pPr>
        <w:snapToGrid w:val="0"/>
        <w:spacing w:line="570" w:lineRule="exact"/>
        <w:ind w:firstLine="64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（2）报价产品或服务必须是符合国家技术规范和质量标准的合格产品和服务，能满足采购单位的使用需求，并具有可靠的售后服务体系，质量可靠、使用安全。</w:t>
      </w:r>
    </w:p>
    <w:p w14:paraId="0CB7F7D9">
      <w:pPr>
        <w:snapToGrid w:val="0"/>
        <w:spacing w:line="570" w:lineRule="exact"/>
        <w:ind w:firstLine="64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（3）供应商须保证其提供的产品和服务均为具有合法版权或使用权的正版软件和服务。</w:t>
      </w:r>
    </w:p>
    <w:p w14:paraId="35B72D51">
      <w:pPr>
        <w:snapToGrid w:val="0"/>
        <w:spacing w:line="570" w:lineRule="exact"/>
        <w:ind w:firstLine="64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（4）报价人应充分理解并明确响应本项目中采购单位的建设需求，不允许片面响应或故意曲解项目建设内容，不允许妨害采购单位的设备、应用及数据接口的功能完整性，否则将视为无效报价。</w:t>
      </w:r>
    </w:p>
    <w:p w14:paraId="2DCBA8FD">
      <w:pPr>
        <w:snapToGrid w:val="0"/>
        <w:spacing w:line="570" w:lineRule="exact"/>
        <w:ind w:firstLine="64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（5）本次询价无论最终报价结果，都将不作为本项目最终采购定价，只作为本单位对该项目后期采购的价格参考，同时本单位保留后期在实际采购中修改调整采购商品和服务相关参数及要求的权利。</w:t>
      </w:r>
    </w:p>
    <w:p w14:paraId="79B01D10">
      <w:pPr>
        <w:snapToGrid w:val="0"/>
        <w:spacing w:line="570" w:lineRule="exact"/>
        <w:ind w:firstLine="64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6）供应商应自行踏勘现场。供应商应对勘察中获取的现场资料负责。无论供应商是否勘察过现场，均认为在递交投标响应文件之前已勘察过现场，对本项目的风险和义务十分了解，并在其投标响应文件中充分考虑现场和环境条件。</w:t>
      </w:r>
    </w:p>
    <w:p w14:paraId="030743FC">
      <w:pPr>
        <w:spacing w:line="570" w:lineRule="exact"/>
        <w:ind w:firstLine="640" w:firstLineChars="200"/>
        <w:rPr>
          <w:rFonts w:ascii="方正黑体_GBK" w:eastAsia="方正黑体_GBK"/>
          <w:sz w:val="32"/>
          <w:szCs w:val="32"/>
        </w:rPr>
      </w:pPr>
      <w:r>
        <w:rPr>
          <w:rFonts w:hint="eastAsia" w:ascii="方正黑体_GBK" w:eastAsia="方正黑体_GBK"/>
          <w:sz w:val="32"/>
          <w:szCs w:val="32"/>
        </w:rPr>
        <w:t>四、采购清单和技术参数</w:t>
      </w:r>
    </w:p>
    <w:tbl>
      <w:tblPr>
        <w:tblStyle w:val="13"/>
        <w:tblW w:w="9621"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656"/>
        <w:gridCol w:w="1446"/>
        <w:gridCol w:w="6174"/>
        <w:gridCol w:w="705"/>
        <w:gridCol w:w="640"/>
      </w:tblGrid>
      <w:tr w14:paraId="1A2C3DF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33" w:hRule="atLeast"/>
          <w:jc w:val="center"/>
        </w:trPr>
        <w:tc>
          <w:tcPr>
            <w:tcW w:w="656" w:type="dxa"/>
            <w:tcBorders>
              <w:top w:val="single" w:color="000000" w:sz="4" w:space="0"/>
              <w:left w:val="single" w:color="000000" w:sz="4" w:space="0"/>
              <w:bottom w:val="single" w:color="000000" w:sz="4" w:space="0"/>
              <w:right w:val="single" w:color="000000" w:sz="4" w:space="0"/>
            </w:tcBorders>
            <w:vAlign w:val="center"/>
          </w:tcPr>
          <w:p w14:paraId="152A12EF">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eastAsia" w:ascii="方正仿宋_GBK" w:hAnsi="方正仿宋_GBK" w:eastAsia="方正仿宋_GBK" w:cs="方正仿宋_GBK"/>
                <w:b/>
                <w:bCs/>
                <w:color w:val="auto"/>
                <w:sz w:val="21"/>
                <w:szCs w:val="21"/>
                <w:highlight w:val="none"/>
                <w:lang w:val="en-US" w:eastAsia="zh-CN"/>
              </w:rPr>
            </w:pPr>
            <w:r>
              <w:rPr>
                <w:rFonts w:hint="eastAsia" w:ascii="方正仿宋_GBK" w:hAnsi="方正仿宋_GBK" w:eastAsia="方正仿宋_GBK" w:cs="方正仿宋_GBK"/>
                <w:b/>
                <w:bCs/>
                <w:color w:val="auto"/>
                <w:sz w:val="18"/>
                <w:szCs w:val="18"/>
                <w:highlight w:val="none"/>
                <w:lang w:val="en-US" w:eastAsia="zh-CN"/>
              </w:rPr>
              <w:t>序号</w:t>
            </w:r>
          </w:p>
        </w:tc>
        <w:tc>
          <w:tcPr>
            <w:tcW w:w="1446" w:type="dxa"/>
            <w:tcBorders>
              <w:top w:val="single" w:color="000000" w:sz="4" w:space="0"/>
              <w:left w:val="single" w:color="000000" w:sz="4" w:space="0"/>
              <w:bottom w:val="single" w:color="000000" w:sz="4" w:space="0"/>
              <w:right w:val="single" w:color="000000" w:sz="4" w:space="0"/>
            </w:tcBorders>
            <w:vAlign w:val="center"/>
          </w:tcPr>
          <w:p w14:paraId="483ACFA0">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eastAsia" w:ascii="方正仿宋_GBK" w:hAnsi="方正仿宋_GBK" w:eastAsia="方正仿宋_GBK" w:cs="方正仿宋_GBK"/>
                <w:b/>
                <w:bCs/>
                <w:color w:val="auto"/>
                <w:sz w:val="21"/>
                <w:szCs w:val="21"/>
                <w:highlight w:val="none"/>
                <w:lang w:val="en-US" w:eastAsia="zh-CN"/>
              </w:rPr>
            </w:pPr>
            <w:r>
              <w:rPr>
                <w:rFonts w:hint="eastAsia" w:ascii="方正仿宋_GBK" w:hAnsi="方正仿宋_GBK" w:eastAsia="方正仿宋_GBK" w:cs="方正仿宋_GBK"/>
                <w:b/>
                <w:bCs/>
                <w:color w:val="auto"/>
                <w:sz w:val="21"/>
                <w:szCs w:val="21"/>
                <w:highlight w:val="none"/>
                <w:lang w:val="en-US" w:eastAsia="zh-CN"/>
              </w:rPr>
              <w:t>品名</w:t>
            </w:r>
          </w:p>
        </w:tc>
        <w:tc>
          <w:tcPr>
            <w:tcW w:w="6174" w:type="dxa"/>
            <w:tcBorders>
              <w:top w:val="single" w:color="000000" w:sz="4" w:space="0"/>
              <w:left w:val="single" w:color="000000" w:sz="4" w:space="0"/>
              <w:bottom w:val="single" w:color="000000" w:sz="4" w:space="0"/>
              <w:right w:val="single" w:color="000000" w:sz="4" w:space="0"/>
            </w:tcBorders>
            <w:vAlign w:val="center"/>
          </w:tcPr>
          <w:p w14:paraId="1FFA891D">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default" w:ascii="方正仿宋_GBK" w:hAnsi="方正仿宋_GBK" w:eastAsia="方正仿宋_GBK" w:cs="方正仿宋_GBK"/>
                <w:b/>
                <w:bCs/>
                <w:color w:val="auto"/>
                <w:sz w:val="21"/>
                <w:szCs w:val="21"/>
                <w:highlight w:val="none"/>
                <w:lang w:val="en-US" w:eastAsia="zh-CN"/>
              </w:rPr>
            </w:pPr>
            <w:r>
              <w:rPr>
                <w:rFonts w:hint="eastAsia" w:ascii="方正仿宋_GBK" w:hAnsi="方正仿宋_GBK" w:eastAsia="方正仿宋_GBK" w:cs="方正仿宋_GBK"/>
                <w:b/>
                <w:bCs/>
                <w:color w:val="auto"/>
                <w:sz w:val="21"/>
                <w:szCs w:val="21"/>
                <w:highlight w:val="none"/>
                <w:lang w:val="en-US" w:eastAsia="zh-CN"/>
              </w:rPr>
              <w:t>参数及要求</w:t>
            </w:r>
          </w:p>
        </w:tc>
        <w:tc>
          <w:tcPr>
            <w:tcW w:w="705" w:type="dxa"/>
            <w:tcBorders>
              <w:top w:val="single" w:color="000000" w:sz="4" w:space="0"/>
              <w:left w:val="single" w:color="000000" w:sz="4" w:space="0"/>
              <w:bottom w:val="single" w:color="000000" w:sz="4" w:space="0"/>
              <w:right w:val="single" w:color="000000" w:sz="4" w:space="0"/>
            </w:tcBorders>
            <w:vAlign w:val="center"/>
          </w:tcPr>
          <w:p w14:paraId="65F3980C">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eastAsia" w:ascii="方正仿宋_GBK" w:hAnsi="方正仿宋_GBK" w:eastAsia="方正仿宋_GBK" w:cs="方正仿宋_GBK"/>
                <w:b/>
                <w:bCs/>
                <w:color w:val="auto"/>
                <w:sz w:val="21"/>
                <w:szCs w:val="21"/>
                <w:highlight w:val="none"/>
                <w:lang w:val="en-US" w:eastAsia="zh-CN"/>
              </w:rPr>
            </w:pPr>
            <w:r>
              <w:rPr>
                <w:rFonts w:hint="eastAsia" w:ascii="方正仿宋_GBK" w:hAnsi="方正仿宋_GBK" w:eastAsia="方正仿宋_GBK" w:cs="方正仿宋_GBK"/>
                <w:b/>
                <w:bCs/>
                <w:color w:val="auto"/>
                <w:sz w:val="21"/>
                <w:szCs w:val="21"/>
                <w:highlight w:val="none"/>
                <w:lang w:val="en-US" w:eastAsia="zh-CN"/>
              </w:rPr>
              <w:t>数量</w:t>
            </w:r>
          </w:p>
        </w:tc>
        <w:tc>
          <w:tcPr>
            <w:tcW w:w="640" w:type="dxa"/>
            <w:tcBorders>
              <w:top w:val="single" w:color="000000" w:sz="4" w:space="0"/>
              <w:left w:val="single" w:color="000000" w:sz="4" w:space="0"/>
              <w:bottom w:val="single" w:color="000000" w:sz="4" w:space="0"/>
              <w:right w:val="single" w:color="000000" w:sz="4" w:space="0"/>
            </w:tcBorders>
            <w:vAlign w:val="center"/>
          </w:tcPr>
          <w:p w14:paraId="65300E14">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center"/>
              <w:textAlignment w:val="auto"/>
              <w:rPr>
                <w:rFonts w:hint="eastAsia" w:ascii="方正仿宋_GBK" w:hAnsi="方正仿宋_GBK" w:eastAsia="方正仿宋_GBK" w:cs="方正仿宋_GBK"/>
                <w:b/>
                <w:bCs/>
                <w:color w:val="auto"/>
                <w:sz w:val="21"/>
                <w:szCs w:val="21"/>
                <w:highlight w:val="none"/>
                <w:lang w:val="en-US" w:eastAsia="zh-CN"/>
              </w:rPr>
            </w:pPr>
            <w:r>
              <w:rPr>
                <w:rFonts w:hint="eastAsia" w:ascii="方正仿宋_GBK" w:hAnsi="方正仿宋_GBK" w:eastAsia="方正仿宋_GBK" w:cs="方正仿宋_GBK"/>
                <w:b/>
                <w:bCs/>
                <w:color w:val="auto"/>
                <w:sz w:val="21"/>
                <w:szCs w:val="21"/>
                <w:highlight w:val="none"/>
                <w:lang w:val="en-US" w:eastAsia="zh-CN"/>
              </w:rPr>
              <w:t>备注</w:t>
            </w:r>
          </w:p>
        </w:tc>
      </w:tr>
      <w:tr w14:paraId="2C108C9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656" w:type="dxa"/>
            <w:tcBorders>
              <w:top w:val="single" w:color="000000" w:sz="4" w:space="0"/>
              <w:left w:val="single" w:color="000000" w:sz="4" w:space="0"/>
              <w:bottom w:val="single" w:color="000000" w:sz="4" w:space="0"/>
              <w:right w:val="single" w:color="000000" w:sz="4" w:space="0"/>
            </w:tcBorders>
            <w:vAlign w:val="center"/>
          </w:tcPr>
          <w:p w14:paraId="666C2306">
            <w:pPr>
              <w:keepNext w:val="0"/>
              <w:keepLines w:val="0"/>
              <w:pageBreakBefore w:val="0"/>
              <w:widowControl w:val="0"/>
              <w:kinsoku/>
              <w:wordWrap/>
              <w:overflowPunct/>
              <w:topLinePunct w:val="0"/>
              <w:autoSpaceDE/>
              <w:autoSpaceDN/>
              <w:bidi w:val="0"/>
              <w:adjustRightInd/>
              <w:snapToGrid w:val="0"/>
              <w:spacing w:line="400" w:lineRule="exact"/>
              <w:ind w:firstLine="0" w:firstLineChars="0"/>
              <w:jc w:val="center"/>
              <w:textAlignment w:val="auto"/>
              <w:rPr>
                <w:rFonts w:hint="default" w:ascii="方正仿宋_GBK" w:hAnsi="方正仿宋_GBK" w:eastAsia="方正仿宋_GBK" w:cs="方正仿宋_GBK"/>
                <w:color w:val="auto"/>
                <w:sz w:val="24"/>
                <w:szCs w:val="24"/>
                <w:highlight w:val="none"/>
                <w:lang w:val="en-US" w:eastAsia="zh-CN"/>
              </w:rPr>
            </w:pPr>
            <w:bookmarkStart w:id="2" w:name="_GoBack"/>
            <w:bookmarkEnd w:id="2"/>
            <w:r>
              <w:rPr>
                <w:rFonts w:hint="eastAsia" w:ascii="方正仿宋_GBK" w:hAnsi="方正仿宋_GBK" w:eastAsia="方正仿宋_GBK" w:cs="方正仿宋_GBK"/>
                <w:color w:val="auto"/>
                <w:sz w:val="24"/>
                <w:szCs w:val="24"/>
                <w:highlight w:val="none"/>
                <w:lang w:val="en-US" w:eastAsia="zh-CN"/>
              </w:rPr>
              <w:t>1</w:t>
            </w:r>
          </w:p>
        </w:tc>
        <w:tc>
          <w:tcPr>
            <w:tcW w:w="1446" w:type="dxa"/>
            <w:tcBorders>
              <w:top w:val="single" w:color="000000" w:sz="4" w:space="0"/>
              <w:left w:val="single" w:color="000000" w:sz="4" w:space="0"/>
              <w:bottom w:val="single" w:color="000000" w:sz="4" w:space="0"/>
              <w:right w:val="single" w:color="000000" w:sz="4" w:space="0"/>
            </w:tcBorders>
            <w:vAlign w:val="center"/>
          </w:tcPr>
          <w:p w14:paraId="28E4029F">
            <w:pPr>
              <w:keepNext w:val="0"/>
              <w:keepLines w:val="0"/>
              <w:pageBreakBefore w:val="0"/>
              <w:widowControl w:val="0"/>
              <w:kinsoku/>
              <w:wordWrap/>
              <w:overflowPunct/>
              <w:topLinePunct w:val="0"/>
              <w:autoSpaceDE/>
              <w:autoSpaceDN/>
              <w:bidi w:val="0"/>
              <w:adjustRightInd/>
              <w:snapToGrid w:val="0"/>
              <w:spacing w:line="400" w:lineRule="exact"/>
              <w:ind w:firstLine="0" w:firstLineChars="0"/>
              <w:jc w:val="center"/>
              <w:textAlignment w:val="auto"/>
              <w:rPr>
                <w:rFonts w:hint="eastAsia" w:ascii="方正仿宋_GBK" w:hAnsi="方正仿宋_GBK" w:eastAsia="方正仿宋_GBK" w:cs="方正仿宋_GBK"/>
                <w:color w:val="auto"/>
                <w:sz w:val="24"/>
                <w:szCs w:val="24"/>
                <w:highlight w:val="none"/>
                <w:lang w:val="en-US" w:eastAsia="zh-CN"/>
              </w:rPr>
            </w:pPr>
            <w:r>
              <w:rPr>
                <w:rFonts w:hint="eastAsia" w:ascii="方正仿宋_GBK" w:hAnsi="方正仿宋_GBK" w:eastAsia="方正仿宋_GBK" w:cs="方正仿宋_GBK"/>
                <w:color w:val="auto"/>
                <w:sz w:val="24"/>
                <w:szCs w:val="24"/>
                <w:highlight w:val="none"/>
                <w:lang w:val="en-US" w:eastAsia="zh-CN"/>
              </w:rPr>
              <w:t>电子图书资源</w:t>
            </w:r>
          </w:p>
        </w:tc>
        <w:tc>
          <w:tcPr>
            <w:tcW w:w="6174" w:type="dxa"/>
            <w:tcBorders>
              <w:top w:val="single" w:color="000000" w:sz="4" w:space="0"/>
              <w:left w:val="single" w:color="000000" w:sz="4" w:space="0"/>
              <w:bottom w:val="single" w:color="000000" w:sz="4" w:space="0"/>
              <w:right w:val="single" w:color="000000" w:sz="4" w:space="0"/>
            </w:tcBorders>
            <w:vAlign w:val="center"/>
          </w:tcPr>
          <w:p w14:paraId="38F2CD81">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both"/>
              <w:textAlignment w:val="auto"/>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 xml:space="preserve">1.访问方式：远程访问； </w:t>
            </w:r>
          </w:p>
          <w:p w14:paraId="3B2763ED">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both"/>
              <w:textAlignment w:val="auto"/>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2.平台对接：可实现第三方平台账号对接，图书馆用户系统、caris、单点登录对接等；</w:t>
            </w:r>
          </w:p>
          <w:p w14:paraId="363E9088">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both"/>
              <w:textAlignment w:val="auto"/>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3.平台资源：电子图书、有声读物、电子期刊须在同一平台上运行。</w:t>
            </w:r>
          </w:p>
          <w:p w14:paraId="6784B3D1">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both"/>
              <w:textAlignment w:val="auto"/>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4.资源数量：电子图书数量不少于15万册，有声读物数量不少于6.5万集，期刊800余种；</w:t>
            </w:r>
            <w:r>
              <w:rPr>
                <w:rFonts w:hint="eastAsia" w:ascii="方正仿宋_GBK" w:hAnsi="方正仿宋_GBK" w:eastAsia="方正仿宋_GBK" w:cs="方正仿宋_GBK"/>
                <w:color w:val="auto"/>
                <w:sz w:val="21"/>
                <w:szCs w:val="21"/>
                <w:highlight w:val="none"/>
                <w:lang w:val="en-US" w:eastAsia="zh-CN"/>
              </w:rPr>
              <w:br w:type="textWrapping"/>
            </w:r>
            <w:r>
              <w:rPr>
                <w:rFonts w:hint="eastAsia" w:ascii="方正仿宋_GBK" w:hAnsi="方正仿宋_GBK" w:eastAsia="方正仿宋_GBK" w:cs="方正仿宋_GBK"/>
                <w:color w:val="auto"/>
                <w:sz w:val="21"/>
                <w:szCs w:val="21"/>
                <w:highlight w:val="none"/>
                <w:lang w:val="en-US" w:eastAsia="zh-CN"/>
              </w:rPr>
              <w:t>5.我的书架：可实现对书架书籍管理；查看最近阅读图书、阅读进度、编辑，进行单个或批量书籍移出书架；</w:t>
            </w:r>
          </w:p>
          <w:p w14:paraId="316F4BE0">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both"/>
              <w:textAlignment w:val="auto"/>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6.资源更新：电子图书、有声读物、电子期刊实时更新。</w:t>
            </w:r>
          </w:p>
          <w:p w14:paraId="66A4130A">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both"/>
              <w:textAlignment w:val="auto"/>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7.资源格式：电子图书须为EPUB或PDF格式，其中EPUB格式电子图书不少于1万种，以保证电子图书的阅读体验和阅读质量。</w:t>
            </w:r>
          </w:p>
          <w:p w14:paraId="7FD75876">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both"/>
              <w:textAlignment w:val="auto"/>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8.搜索：支持资源关键字一框式快捷检索、多维度高级检索以及全文检索；检索结果可按资源类型、出版时间、出版社、阅读量等多条件综合筛选；检索结果排版支持列表排版和网格排版两种方式；</w:t>
            </w:r>
          </w:p>
          <w:p w14:paraId="557C2AE9">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both"/>
              <w:textAlignment w:val="auto"/>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9.参与活动：用户在系统平台上可以看到活动信息，登录后可以根据活动要求参加活动，活动类型：专题阅读、阅读时长比拼赛、答题活动；</w:t>
            </w:r>
          </w:p>
          <w:p w14:paraId="075C5E37">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both"/>
              <w:textAlignment w:val="auto"/>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10.精选好书推荐：每月推荐优质电子图书和有声读物；</w:t>
            </w:r>
          </w:p>
          <w:p w14:paraId="248CF5E2">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both"/>
              <w:textAlignment w:val="auto"/>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11.撰写书评：读者可以针对书籍撰写书评，同时本人可以对其他书友对自己所撰写书评回复管理，支持书评点赞，增强书友之间阅读互动，提升阅读理解能力；</w:t>
            </w:r>
          </w:p>
          <w:p w14:paraId="678B905E">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both"/>
              <w:textAlignment w:val="auto"/>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12.添加书架/收藏：支持电子图书、有声读物资源添加；数据云端储存，多终端（app、h5、pc）实时同步更新展示。</w:t>
            </w:r>
          </w:p>
          <w:p w14:paraId="7826A3C1">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both"/>
              <w:textAlignment w:val="auto"/>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13.专题运营活动：可根据节假日、政策等专题定制阅读运营活动；</w:t>
            </w:r>
          </w:p>
          <w:p w14:paraId="7FCDA77E">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both"/>
              <w:textAlignment w:val="auto"/>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14.书籍荐评：用户可对书籍进行星级评分，并支持推荐好书；</w:t>
            </w:r>
          </w:p>
          <w:p w14:paraId="11E04070">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both"/>
              <w:textAlignment w:val="auto"/>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15.个人中心：个人中心包括我的收藏、修改密码、修改昵称、手机解绑、退出登录等；</w:t>
            </w:r>
          </w:p>
          <w:p w14:paraId="1806C553">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both"/>
              <w:textAlignment w:val="auto"/>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16.排行榜：平台提供总榜电子图书、有声读物排行榜榜单，统计周期为日榜、周榜、月榜、总榜，数据实时同步更新，更便于获知最受欢迎书籍。</w:t>
            </w:r>
          </w:p>
          <w:p w14:paraId="42C03CD2">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both"/>
              <w:textAlignment w:val="auto"/>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18.个性化定制服务：机构logo配置、机构名称自定义；</w:t>
            </w:r>
          </w:p>
          <w:p w14:paraId="66826479">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both"/>
              <w:textAlignment w:val="auto"/>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19.阅读体验：支持主题色更换功能，自定义阅读背景颜色、字体大小切换等；</w:t>
            </w:r>
          </w:p>
          <w:p w14:paraId="76283DAE">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both"/>
              <w:textAlignment w:val="auto"/>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20.大数据服务：通过数据采集和整合，经过大数据统计与分析提供可视化数据动态看板，实时掌握本平台最新资源、用户、阅读行为、活动数据；</w:t>
            </w:r>
          </w:p>
          <w:p w14:paraId="1B40C341">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both"/>
              <w:textAlignment w:val="auto"/>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21.运营活动定制：根据客户个性化需求提供活动运营策划、开发服务，包括但不限于专题阅读活动、答题活动、征文活动、时长比赛活动等；</w:t>
            </w:r>
          </w:p>
          <w:p w14:paraId="7D9AA0FB">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both"/>
              <w:textAlignment w:val="auto"/>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22.选书系统：根据客户对内容运营需求，提供资源数据库选书系统，通过个性化标签、资源数量、内容方向进行打包筛选，并在主页面进行书单专栏配置，包括但不限于获奖书系、定向内容书系、高分书单等；</w:t>
            </w:r>
          </w:p>
          <w:p w14:paraId="60860316">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both"/>
              <w:textAlignment w:val="auto"/>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23.提供AI辅助阅读：AI辅助阅读通过整合AI大纲、AI速读和核心导读三大功能，为用户提供高效、精准的阅读服务。</w:t>
            </w:r>
          </w:p>
          <w:p w14:paraId="3AF9607E">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both"/>
              <w:textAlignment w:val="auto"/>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24.提供AI对话和发现功能：涉及AI助手、帮写、检索、天气问询、新闻浏览、论文生成、辩论百科、人物百科、英语翻译、历史事件归因、秒懂职业技能、大学教授、PPT生成、职业能力要求、朋友圈文案、创意广告文案、数据搜集等等。</w:t>
            </w:r>
          </w:p>
        </w:tc>
        <w:tc>
          <w:tcPr>
            <w:tcW w:w="705" w:type="dxa"/>
            <w:tcBorders>
              <w:top w:val="single" w:color="000000" w:sz="4" w:space="0"/>
              <w:left w:val="single" w:color="000000" w:sz="4" w:space="0"/>
              <w:bottom w:val="single" w:color="000000" w:sz="4" w:space="0"/>
              <w:right w:val="single" w:color="000000" w:sz="4" w:space="0"/>
            </w:tcBorders>
            <w:vAlign w:val="center"/>
          </w:tcPr>
          <w:p w14:paraId="6E7344AB">
            <w:pPr>
              <w:keepNext w:val="0"/>
              <w:keepLines w:val="0"/>
              <w:pageBreakBefore w:val="0"/>
              <w:widowControl w:val="0"/>
              <w:kinsoku/>
              <w:wordWrap/>
              <w:overflowPunct/>
              <w:topLinePunct w:val="0"/>
              <w:autoSpaceDE/>
              <w:autoSpaceDN/>
              <w:bidi w:val="0"/>
              <w:adjustRightInd/>
              <w:snapToGrid w:val="0"/>
              <w:spacing w:line="400" w:lineRule="exact"/>
              <w:ind w:firstLine="0" w:firstLineChars="0"/>
              <w:jc w:val="center"/>
              <w:textAlignment w:val="auto"/>
              <w:rPr>
                <w:rFonts w:hint="eastAsia" w:ascii="方正仿宋_GBK" w:hAnsi="方正仿宋_GBK" w:eastAsia="方正仿宋_GBK" w:cs="方正仿宋_GBK"/>
                <w:color w:val="auto"/>
                <w:sz w:val="24"/>
                <w:szCs w:val="24"/>
                <w:highlight w:val="none"/>
                <w:lang w:val="en-US" w:eastAsia="zh-CN"/>
              </w:rPr>
            </w:pPr>
            <w:r>
              <w:rPr>
                <w:rFonts w:hint="eastAsia" w:ascii="方正仿宋_GBK" w:hAnsi="方正仿宋_GBK" w:eastAsia="方正仿宋_GBK" w:cs="方正仿宋_GBK"/>
                <w:color w:val="auto"/>
                <w:sz w:val="24"/>
                <w:szCs w:val="24"/>
                <w:highlight w:val="none"/>
                <w:lang w:val="en-US" w:eastAsia="zh-CN"/>
              </w:rPr>
              <w:t>1套</w:t>
            </w:r>
          </w:p>
        </w:tc>
        <w:tc>
          <w:tcPr>
            <w:tcW w:w="640" w:type="dxa"/>
            <w:tcBorders>
              <w:top w:val="single" w:color="000000" w:sz="4" w:space="0"/>
              <w:left w:val="single" w:color="000000" w:sz="4" w:space="0"/>
              <w:bottom w:val="single" w:color="000000" w:sz="4" w:space="0"/>
              <w:right w:val="single" w:color="000000" w:sz="4" w:space="0"/>
            </w:tcBorders>
            <w:vAlign w:val="center"/>
          </w:tcPr>
          <w:p w14:paraId="061E34D7">
            <w:pPr>
              <w:keepNext w:val="0"/>
              <w:keepLines w:val="0"/>
              <w:pageBreakBefore w:val="0"/>
              <w:widowControl w:val="0"/>
              <w:kinsoku/>
              <w:wordWrap/>
              <w:overflowPunct/>
              <w:topLinePunct w:val="0"/>
              <w:autoSpaceDE/>
              <w:autoSpaceDN/>
              <w:bidi w:val="0"/>
              <w:adjustRightInd/>
              <w:snapToGrid w:val="0"/>
              <w:spacing w:line="400" w:lineRule="exact"/>
              <w:ind w:firstLine="0" w:firstLineChars="0"/>
              <w:jc w:val="center"/>
              <w:textAlignment w:val="auto"/>
              <w:rPr>
                <w:rFonts w:hint="eastAsia" w:ascii="方正仿宋_GBK" w:hAnsi="方正仿宋_GBK" w:eastAsia="方正仿宋_GBK" w:cs="方正仿宋_GBK"/>
                <w:color w:val="auto"/>
                <w:sz w:val="24"/>
                <w:szCs w:val="24"/>
                <w:highlight w:val="none"/>
                <w:lang w:val="en-US" w:eastAsia="zh-CN"/>
              </w:rPr>
            </w:pPr>
            <w:r>
              <w:rPr>
                <w:rFonts w:hint="eastAsia" w:ascii="方正仿宋_GBK" w:hAnsi="方正仿宋_GBK" w:eastAsia="方正仿宋_GBK" w:cs="方正仿宋_GBK"/>
                <w:color w:val="auto"/>
                <w:sz w:val="24"/>
                <w:szCs w:val="24"/>
                <w:highlight w:val="none"/>
                <w:lang w:val="en-US" w:eastAsia="zh-CN"/>
              </w:rPr>
              <w:t>无</w:t>
            </w:r>
          </w:p>
        </w:tc>
      </w:tr>
      <w:tr w14:paraId="717817B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656" w:type="dxa"/>
            <w:tcBorders>
              <w:top w:val="single" w:color="000000" w:sz="4" w:space="0"/>
              <w:left w:val="single" w:color="000000" w:sz="4" w:space="0"/>
              <w:bottom w:val="single" w:color="000000" w:sz="4" w:space="0"/>
              <w:right w:val="single" w:color="000000" w:sz="4" w:space="0"/>
            </w:tcBorders>
            <w:vAlign w:val="center"/>
          </w:tcPr>
          <w:p w14:paraId="57B13F7E">
            <w:pPr>
              <w:keepNext w:val="0"/>
              <w:keepLines w:val="0"/>
              <w:pageBreakBefore w:val="0"/>
              <w:widowControl w:val="0"/>
              <w:kinsoku/>
              <w:wordWrap/>
              <w:overflowPunct/>
              <w:topLinePunct w:val="0"/>
              <w:autoSpaceDE/>
              <w:autoSpaceDN/>
              <w:bidi w:val="0"/>
              <w:adjustRightInd/>
              <w:snapToGrid w:val="0"/>
              <w:spacing w:line="400" w:lineRule="exact"/>
              <w:ind w:firstLine="0" w:firstLineChars="0"/>
              <w:jc w:val="center"/>
              <w:textAlignment w:val="auto"/>
              <w:rPr>
                <w:rFonts w:hint="default" w:ascii="方正仿宋_GBK" w:hAnsi="方正仿宋_GBK" w:eastAsia="方正仿宋_GBK" w:cs="方正仿宋_GBK"/>
                <w:color w:val="auto"/>
                <w:sz w:val="24"/>
                <w:szCs w:val="24"/>
                <w:highlight w:val="none"/>
                <w:lang w:val="en-US" w:eastAsia="zh-CN"/>
              </w:rPr>
            </w:pPr>
            <w:r>
              <w:rPr>
                <w:rFonts w:hint="eastAsia" w:ascii="方正仿宋_GBK" w:hAnsi="方正仿宋_GBK" w:eastAsia="方正仿宋_GBK" w:cs="方正仿宋_GBK"/>
                <w:color w:val="auto"/>
                <w:sz w:val="24"/>
                <w:szCs w:val="24"/>
                <w:highlight w:val="none"/>
                <w:lang w:val="en-US" w:eastAsia="zh-CN"/>
              </w:rPr>
              <w:t>2</w:t>
            </w:r>
          </w:p>
        </w:tc>
        <w:tc>
          <w:tcPr>
            <w:tcW w:w="1446" w:type="dxa"/>
            <w:tcBorders>
              <w:top w:val="single" w:color="000000" w:sz="4" w:space="0"/>
              <w:left w:val="single" w:color="000000" w:sz="4" w:space="0"/>
              <w:bottom w:val="single" w:color="000000" w:sz="4" w:space="0"/>
              <w:right w:val="single" w:color="000000" w:sz="4" w:space="0"/>
            </w:tcBorders>
            <w:vAlign w:val="center"/>
          </w:tcPr>
          <w:p w14:paraId="68F4F8BE">
            <w:pPr>
              <w:keepNext w:val="0"/>
              <w:keepLines w:val="0"/>
              <w:pageBreakBefore w:val="0"/>
              <w:widowControl w:val="0"/>
              <w:kinsoku/>
              <w:wordWrap/>
              <w:overflowPunct/>
              <w:topLinePunct w:val="0"/>
              <w:autoSpaceDE/>
              <w:autoSpaceDN/>
              <w:bidi w:val="0"/>
              <w:adjustRightInd/>
              <w:snapToGrid w:val="0"/>
              <w:spacing w:line="400" w:lineRule="exact"/>
              <w:ind w:firstLine="0" w:firstLineChars="0"/>
              <w:jc w:val="center"/>
              <w:textAlignment w:val="auto"/>
              <w:rPr>
                <w:rFonts w:hint="eastAsia" w:ascii="方正仿宋_GBK" w:hAnsi="方正仿宋_GBK" w:eastAsia="方正仿宋_GBK" w:cs="方正仿宋_GBK"/>
                <w:color w:val="auto"/>
                <w:sz w:val="24"/>
                <w:szCs w:val="24"/>
                <w:highlight w:val="none"/>
                <w:lang w:val="en-US" w:eastAsia="zh-CN"/>
              </w:rPr>
            </w:pPr>
            <w:r>
              <w:rPr>
                <w:rFonts w:hint="eastAsia" w:ascii="方正仿宋_GBK" w:hAnsi="方正仿宋_GBK" w:eastAsia="方正仿宋_GBK" w:cs="方正仿宋_GBK"/>
                <w:color w:val="auto"/>
                <w:sz w:val="24"/>
                <w:szCs w:val="24"/>
                <w:highlight w:val="none"/>
                <w:lang w:val="en-US" w:eastAsia="zh-CN"/>
              </w:rPr>
              <w:t>电子期刊资源</w:t>
            </w:r>
          </w:p>
        </w:tc>
        <w:tc>
          <w:tcPr>
            <w:tcW w:w="6174" w:type="dxa"/>
            <w:tcBorders>
              <w:top w:val="single" w:color="000000" w:sz="4" w:space="0"/>
              <w:left w:val="single" w:color="000000" w:sz="4" w:space="0"/>
              <w:bottom w:val="single" w:color="000000" w:sz="4" w:space="0"/>
              <w:right w:val="single" w:color="000000" w:sz="4" w:space="0"/>
            </w:tcBorders>
            <w:vAlign w:val="center"/>
          </w:tcPr>
          <w:p w14:paraId="22A24381">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both"/>
              <w:textAlignment w:val="auto"/>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1.保证所提供全部期刊必须获得刊社的正式授权，数据库文献资源出现的版权问题由网络数据库提供商负责解决。</w:t>
            </w:r>
          </w:p>
          <w:p w14:paraId="760CFBE6">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both"/>
              <w:textAlignment w:val="auto"/>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2.全文在线的综合性人文大众类期刊品种不低于2000 种，按照时政新闻、科技科普、经济法律、管理财经、社科历史、文学文摘、健康生活、文化艺术、教育学习等栏目进行分类，内容涵盖时政、党建、管理、财经、文学、艺术、哲学、历史、社会、科普、军事、教育、家庭、体育、休闲、健康、时尚、职场等领域。</w:t>
            </w:r>
          </w:p>
          <w:p w14:paraId="0C71D14C">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both"/>
              <w:textAlignment w:val="auto"/>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3.服务方式为网络在线阅读，包括文本版、原文原貌版、两种阅读形式；</w:t>
            </w:r>
          </w:p>
          <w:p w14:paraId="26ECDF17">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both"/>
              <w:textAlignment w:val="auto"/>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4.没有并发用户数限制，馆内和授权IP无限阅读。</w:t>
            </w:r>
          </w:p>
          <w:p w14:paraId="67F1DBC5">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both"/>
              <w:textAlignment w:val="auto"/>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5.质保期内免费维护、升级，终身技术服务。产品出现故障时，成交供应商或厂家应在24小时内采取相应响应措施；无法在24小时内解决的，应在48小时内派出专业人员进行技术支持。</w:t>
            </w:r>
          </w:p>
          <w:p w14:paraId="0F7911B7">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both"/>
              <w:textAlignment w:val="auto"/>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6.可在不需要使用任何文字提取功能下对文字复制、粘贴，对图片进行下载。</w:t>
            </w:r>
          </w:p>
          <w:p w14:paraId="6ED018FF">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both"/>
              <w:textAlignment w:val="auto"/>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7.人文社科电子期刊数据库文章全文采用国际通用的超文本格式（HTML格式），不需要下载或使用专用浏览器。</w:t>
            </w:r>
          </w:p>
          <w:p w14:paraId="5901BA1D">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both"/>
              <w:textAlignment w:val="auto"/>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8.微信综合阅览室能够以菜单选项的形式直接置入图书馆微信订阅号或服务号，为广大微信读者和粉丝提供阅读服务，服务精品期刊数量不得低于500种，无需下载应用，打开微信便可阅读。</w:t>
            </w:r>
          </w:p>
        </w:tc>
        <w:tc>
          <w:tcPr>
            <w:tcW w:w="705" w:type="dxa"/>
            <w:tcBorders>
              <w:top w:val="single" w:color="000000" w:sz="4" w:space="0"/>
              <w:left w:val="single" w:color="000000" w:sz="4" w:space="0"/>
              <w:bottom w:val="single" w:color="000000" w:sz="4" w:space="0"/>
              <w:right w:val="single" w:color="000000" w:sz="4" w:space="0"/>
            </w:tcBorders>
            <w:vAlign w:val="center"/>
          </w:tcPr>
          <w:p w14:paraId="47FE3909">
            <w:pPr>
              <w:keepNext w:val="0"/>
              <w:keepLines w:val="0"/>
              <w:pageBreakBefore w:val="0"/>
              <w:widowControl w:val="0"/>
              <w:kinsoku/>
              <w:wordWrap/>
              <w:overflowPunct/>
              <w:topLinePunct w:val="0"/>
              <w:autoSpaceDE/>
              <w:autoSpaceDN/>
              <w:bidi w:val="0"/>
              <w:adjustRightInd/>
              <w:snapToGrid w:val="0"/>
              <w:spacing w:line="400" w:lineRule="exact"/>
              <w:ind w:firstLine="0" w:firstLineChars="0"/>
              <w:jc w:val="center"/>
              <w:textAlignment w:val="auto"/>
              <w:rPr>
                <w:rFonts w:hint="eastAsia" w:ascii="方正仿宋_GBK" w:hAnsi="方正仿宋_GBK" w:eastAsia="方正仿宋_GBK" w:cs="方正仿宋_GBK"/>
                <w:color w:val="auto"/>
                <w:sz w:val="24"/>
                <w:szCs w:val="24"/>
                <w:highlight w:val="none"/>
                <w:lang w:val="en-US" w:eastAsia="zh-CN"/>
              </w:rPr>
            </w:pPr>
            <w:r>
              <w:rPr>
                <w:rFonts w:hint="eastAsia" w:ascii="方正仿宋_GBK" w:hAnsi="方正仿宋_GBK" w:eastAsia="方正仿宋_GBK" w:cs="方正仿宋_GBK"/>
                <w:color w:val="auto"/>
                <w:sz w:val="24"/>
                <w:szCs w:val="24"/>
                <w:highlight w:val="none"/>
                <w:lang w:val="en-US" w:eastAsia="zh-CN"/>
              </w:rPr>
              <w:t>1套</w:t>
            </w:r>
          </w:p>
        </w:tc>
        <w:tc>
          <w:tcPr>
            <w:tcW w:w="640" w:type="dxa"/>
            <w:tcBorders>
              <w:top w:val="single" w:color="000000" w:sz="4" w:space="0"/>
              <w:left w:val="single" w:color="000000" w:sz="4" w:space="0"/>
              <w:bottom w:val="single" w:color="000000" w:sz="4" w:space="0"/>
              <w:right w:val="single" w:color="000000" w:sz="4" w:space="0"/>
            </w:tcBorders>
            <w:vAlign w:val="center"/>
          </w:tcPr>
          <w:p w14:paraId="5D8E0FDE">
            <w:pPr>
              <w:keepNext w:val="0"/>
              <w:keepLines w:val="0"/>
              <w:pageBreakBefore w:val="0"/>
              <w:widowControl w:val="0"/>
              <w:kinsoku/>
              <w:wordWrap/>
              <w:overflowPunct/>
              <w:topLinePunct w:val="0"/>
              <w:autoSpaceDE/>
              <w:autoSpaceDN/>
              <w:bidi w:val="0"/>
              <w:adjustRightInd/>
              <w:snapToGrid w:val="0"/>
              <w:spacing w:line="400" w:lineRule="exact"/>
              <w:ind w:firstLine="0" w:firstLineChars="0"/>
              <w:jc w:val="center"/>
              <w:textAlignment w:val="auto"/>
              <w:rPr>
                <w:rFonts w:hint="eastAsia" w:ascii="方正仿宋_GBK" w:hAnsi="方正仿宋_GBK" w:eastAsia="方正仿宋_GBK" w:cs="方正仿宋_GBK"/>
                <w:color w:val="auto"/>
                <w:sz w:val="24"/>
                <w:szCs w:val="24"/>
                <w:highlight w:val="none"/>
                <w:lang w:val="en-US" w:eastAsia="zh-CN"/>
              </w:rPr>
            </w:pPr>
            <w:r>
              <w:rPr>
                <w:rFonts w:hint="eastAsia" w:ascii="方正仿宋_GBK" w:hAnsi="方正仿宋_GBK" w:eastAsia="方正仿宋_GBK" w:cs="方正仿宋_GBK"/>
                <w:color w:val="auto"/>
                <w:sz w:val="24"/>
                <w:szCs w:val="24"/>
                <w:highlight w:val="none"/>
                <w:lang w:val="en-US" w:eastAsia="zh-CN"/>
              </w:rPr>
              <w:t>无</w:t>
            </w:r>
          </w:p>
        </w:tc>
      </w:tr>
      <w:tr w14:paraId="40D958E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656" w:type="dxa"/>
            <w:tcBorders>
              <w:top w:val="single" w:color="000000" w:sz="4" w:space="0"/>
              <w:left w:val="single" w:color="000000" w:sz="4" w:space="0"/>
              <w:bottom w:val="single" w:color="000000" w:sz="4" w:space="0"/>
              <w:right w:val="single" w:color="000000" w:sz="4" w:space="0"/>
            </w:tcBorders>
            <w:vAlign w:val="center"/>
          </w:tcPr>
          <w:p w14:paraId="3B820174">
            <w:pPr>
              <w:keepNext w:val="0"/>
              <w:keepLines w:val="0"/>
              <w:pageBreakBefore w:val="0"/>
              <w:widowControl w:val="0"/>
              <w:kinsoku/>
              <w:wordWrap/>
              <w:overflowPunct/>
              <w:topLinePunct w:val="0"/>
              <w:autoSpaceDE/>
              <w:autoSpaceDN/>
              <w:bidi w:val="0"/>
              <w:adjustRightInd/>
              <w:snapToGrid w:val="0"/>
              <w:spacing w:line="400" w:lineRule="exact"/>
              <w:ind w:firstLine="0" w:firstLineChars="0"/>
              <w:jc w:val="center"/>
              <w:textAlignment w:val="auto"/>
              <w:rPr>
                <w:rFonts w:hint="eastAsia" w:ascii="方正仿宋_GBK" w:hAnsi="方正仿宋_GBK" w:eastAsia="方正仿宋_GBK" w:cs="方正仿宋_GBK"/>
                <w:color w:val="auto"/>
                <w:sz w:val="24"/>
                <w:szCs w:val="24"/>
                <w:highlight w:val="none"/>
                <w:lang w:val="en-US" w:eastAsia="zh-CN"/>
              </w:rPr>
            </w:pPr>
            <w:r>
              <w:rPr>
                <w:rFonts w:hint="eastAsia" w:ascii="方正仿宋_GBK" w:hAnsi="方正仿宋_GBK" w:eastAsia="方正仿宋_GBK" w:cs="方正仿宋_GBK"/>
                <w:color w:val="auto"/>
                <w:sz w:val="24"/>
                <w:szCs w:val="24"/>
                <w:highlight w:val="none"/>
                <w:lang w:val="en-US" w:eastAsia="zh-CN"/>
              </w:rPr>
              <w:t>3</w:t>
            </w:r>
          </w:p>
        </w:tc>
        <w:tc>
          <w:tcPr>
            <w:tcW w:w="1446" w:type="dxa"/>
            <w:tcBorders>
              <w:top w:val="single" w:color="000000" w:sz="4" w:space="0"/>
              <w:left w:val="single" w:color="000000" w:sz="4" w:space="0"/>
              <w:bottom w:val="single" w:color="000000" w:sz="4" w:space="0"/>
              <w:right w:val="single" w:color="000000" w:sz="4" w:space="0"/>
            </w:tcBorders>
            <w:vAlign w:val="center"/>
          </w:tcPr>
          <w:p w14:paraId="0CBB16EB">
            <w:pPr>
              <w:keepNext w:val="0"/>
              <w:keepLines w:val="0"/>
              <w:pageBreakBefore w:val="0"/>
              <w:widowControl w:val="0"/>
              <w:kinsoku/>
              <w:wordWrap/>
              <w:overflowPunct/>
              <w:topLinePunct w:val="0"/>
              <w:autoSpaceDE/>
              <w:autoSpaceDN/>
              <w:bidi w:val="0"/>
              <w:adjustRightInd/>
              <w:snapToGrid w:val="0"/>
              <w:spacing w:line="400" w:lineRule="exact"/>
              <w:ind w:firstLine="0" w:firstLineChars="0"/>
              <w:jc w:val="center"/>
              <w:textAlignment w:val="auto"/>
              <w:rPr>
                <w:rFonts w:hint="eastAsia" w:ascii="方正仿宋_GBK" w:hAnsi="方正仿宋_GBK" w:eastAsia="方正仿宋_GBK" w:cs="方正仿宋_GBK"/>
                <w:color w:val="auto"/>
                <w:sz w:val="24"/>
                <w:szCs w:val="24"/>
                <w:highlight w:val="none"/>
                <w:lang w:val="en-US" w:eastAsia="zh-CN"/>
              </w:rPr>
            </w:pPr>
            <w:r>
              <w:rPr>
                <w:rFonts w:hint="eastAsia" w:ascii="方正仿宋_GBK" w:hAnsi="方正仿宋_GBK" w:eastAsia="方正仿宋_GBK" w:cs="方正仿宋_GBK"/>
                <w:color w:val="auto"/>
                <w:sz w:val="24"/>
                <w:szCs w:val="24"/>
                <w:highlight w:val="none"/>
                <w:lang w:val="en-US" w:eastAsia="zh-CN"/>
              </w:rPr>
              <w:t>有声图书资源</w:t>
            </w:r>
          </w:p>
        </w:tc>
        <w:tc>
          <w:tcPr>
            <w:tcW w:w="6174" w:type="dxa"/>
            <w:tcBorders>
              <w:top w:val="single" w:color="000000" w:sz="4" w:space="0"/>
              <w:left w:val="single" w:color="000000" w:sz="4" w:space="0"/>
              <w:bottom w:val="single" w:color="000000" w:sz="4" w:space="0"/>
              <w:right w:val="single" w:color="000000" w:sz="4" w:space="0"/>
            </w:tcBorders>
            <w:vAlign w:val="center"/>
          </w:tcPr>
          <w:p w14:paraId="344B3832">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both"/>
              <w:textAlignment w:val="auto"/>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1.须提供“H5/小程序”模式应用的有声资源库平台，须提供真人录制的有声资源不低于8万小时、30万集，每月保持更新，可根据需求随时提供电子书单核验备查；</w:t>
            </w:r>
          </w:p>
          <w:p w14:paraId="1B5879AB">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both"/>
              <w:textAlignment w:val="auto"/>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2.有声资源需涵盖经典文学、人文历史、文化艺术、前沿科技、职场财经、儿童教育、红色经典等领域；</w:t>
            </w:r>
          </w:p>
          <w:p w14:paraId="1EC7D071">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both"/>
              <w:textAlignment w:val="auto"/>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3.有声资源需包括诺贝尔文学奖作家作品不少于30部；茅盾文学奖、人民文学奖、鲁迅文学奖、精神文明建设“五个一工程”奖获奖作品各不少于10部；全球华语科幻星云奖、徐迟报告文学奖、中国好书等获奖作品各不少于5部；</w:t>
            </w:r>
          </w:p>
          <w:p w14:paraId="67D0EC28">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both"/>
              <w:textAlignment w:val="auto"/>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4.全部有声资源可根据需求提供完整、详实的元数据信息备查，包括书籍信息（书名、摘要、分类、作者、演播、上线时间），音频信息（集数、时长、体积、码率），出版信息（出版社、出版时间、ISBN编号）等。</w:t>
            </w:r>
          </w:p>
          <w:p w14:paraId="7A3FEFB7">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both"/>
              <w:textAlignment w:val="auto"/>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5.有声资源内容须符合国家出版政策要求，必须以图书、杂志等正式出版物改编演绎作品为主，版权清晰，需要从根本上解决著作权授权，并可根据需要提供完整录播版权授权。</w:t>
            </w:r>
          </w:p>
          <w:p w14:paraId="421C4497">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both"/>
              <w:textAlignment w:val="auto"/>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6.服务期内需提供线上荐读推文不少于100篇/年，开展线上阅读活动不少于2场。</w:t>
            </w:r>
          </w:p>
          <w:p w14:paraId="49823871">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both"/>
              <w:textAlignment w:val="auto"/>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7.有声资源库平台可与图书馆微信公众号无缝对接，支持读者证验证、微信授权等访问方式使用；</w:t>
            </w:r>
          </w:p>
          <w:p w14:paraId="34DA3F1C">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both"/>
              <w:textAlignment w:val="auto"/>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8.有声资源库平台访问需无并发数限制，无使用次数限制；</w:t>
            </w:r>
          </w:p>
          <w:p w14:paraId="12D9AC75">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both"/>
              <w:textAlignment w:val="auto"/>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9.有声资源库平台需支持在线播放、播放/暂停，上一集，下一集、听书快进/后退15秒、章节选择跳转、倍速播放、定时关闭、章节范围选择、后台播放、声音调节等功能；</w:t>
            </w:r>
          </w:p>
          <w:p w14:paraId="533FE5D9">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both"/>
              <w:textAlignment w:val="auto"/>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10.有声资源库平台需支持AI边听边看功能，用户可查看有声资源的对应的文字版内容，并可通过文字版跳转到对应的音频内容；</w:t>
            </w:r>
          </w:p>
          <w:p w14:paraId="1A165767">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both"/>
              <w:textAlignment w:val="auto"/>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11.有声资源库平台需支持独诵功能，读者可自主选择包括红色经典、古诗词、传统文化类素材进行朗诵；</w:t>
            </w:r>
          </w:p>
          <w:p w14:paraId="0FD858AF">
            <w:pPr>
              <w:keepNext w:val="0"/>
              <w:keepLines w:val="0"/>
              <w:pageBreakBefore w:val="0"/>
              <w:widowControl w:val="0"/>
              <w:numPr>
                <w:ilvl w:val="0"/>
                <w:numId w:val="0"/>
              </w:numPr>
              <w:kinsoku/>
              <w:wordWrap/>
              <w:overflowPunct/>
              <w:topLinePunct w:val="0"/>
              <w:autoSpaceDE/>
              <w:autoSpaceDN/>
              <w:bidi w:val="0"/>
              <w:adjustRightInd/>
              <w:snapToGrid/>
              <w:spacing w:line="240" w:lineRule="exact"/>
              <w:ind w:left="0" w:leftChars="0" w:firstLine="0" w:firstLineChars="0"/>
              <w:jc w:val="both"/>
              <w:textAlignment w:val="auto"/>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11.服务方式：远程包库。</w:t>
            </w:r>
          </w:p>
        </w:tc>
        <w:tc>
          <w:tcPr>
            <w:tcW w:w="705" w:type="dxa"/>
            <w:tcBorders>
              <w:top w:val="single" w:color="000000" w:sz="4" w:space="0"/>
              <w:left w:val="single" w:color="000000" w:sz="4" w:space="0"/>
              <w:bottom w:val="single" w:color="000000" w:sz="4" w:space="0"/>
              <w:right w:val="single" w:color="000000" w:sz="4" w:space="0"/>
            </w:tcBorders>
            <w:vAlign w:val="center"/>
          </w:tcPr>
          <w:p w14:paraId="6FDDE2BB">
            <w:pPr>
              <w:keepNext w:val="0"/>
              <w:keepLines w:val="0"/>
              <w:pageBreakBefore w:val="0"/>
              <w:widowControl w:val="0"/>
              <w:kinsoku/>
              <w:wordWrap/>
              <w:overflowPunct/>
              <w:topLinePunct w:val="0"/>
              <w:autoSpaceDE/>
              <w:autoSpaceDN/>
              <w:bidi w:val="0"/>
              <w:adjustRightInd/>
              <w:snapToGrid w:val="0"/>
              <w:spacing w:line="400" w:lineRule="exact"/>
              <w:ind w:firstLine="0" w:firstLineChars="0"/>
              <w:jc w:val="center"/>
              <w:textAlignment w:val="auto"/>
              <w:rPr>
                <w:rFonts w:hint="eastAsia" w:ascii="方正仿宋_GBK" w:hAnsi="方正仿宋_GBK" w:eastAsia="方正仿宋_GBK" w:cs="方正仿宋_GBK"/>
                <w:color w:val="auto"/>
                <w:sz w:val="24"/>
                <w:szCs w:val="24"/>
                <w:highlight w:val="none"/>
                <w:lang w:val="en-US" w:eastAsia="zh-CN"/>
              </w:rPr>
            </w:pPr>
            <w:r>
              <w:rPr>
                <w:rFonts w:hint="eastAsia" w:ascii="方正仿宋_GBK" w:hAnsi="方正仿宋_GBK" w:eastAsia="方正仿宋_GBK" w:cs="方正仿宋_GBK"/>
                <w:color w:val="auto"/>
                <w:sz w:val="24"/>
                <w:szCs w:val="24"/>
                <w:highlight w:val="none"/>
                <w:lang w:val="en-US" w:eastAsia="zh-CN"/>
              </w:rPr>
              <w:t>1套</w:t>
            </w:r>
          </w:p>
        </w:tc>
        <w:tc>
          <w:tcPr>
            <w:tcW w:w="640" w:type="dxa"/>
            <w:tcBorders>
              <w:top w:val="single" w:color="000000" w:sz="4" w:space="0"/>
              <w:left w:val="single" w:color="000000" w:sz="4" w:space="0"/>
              <w:bottom w:val="single" w:color="000000" w:sz="4" w:space="0"/>
              <w:right w:val="single" w:color="000000" w:sz="4" w:space="0"/>
            </w:tcBorders>
            <w:vAlign w:val="center"/>
          </w:tcPr>
          <w:p w14:paraId="1A35588C">
            <w:pPr>
              <w:keepNext w:val="0"/>
              <w:keepLines w:val="0"/>
              <w:pageBreakBefore w:val="0"/>
              <w:widowControl w:val="0"/>
              <w:kinsoku/>
              <w:wordWrap/>
              <w:overflowPunct/>
              <w:topLinePunct w:val="0"/>
              <w:autoSpaceDE/>
              <w:autoSpaceDN/>
              <w:bidi w:val="0"/>
              <w:adjustRightInd/>
              <w:snapToGrid w:val="0"/>
              <w:spacing w:line="400" w:lineRule="exact"/>
              <w:ind w:firstLine="0" w:firstLineChars="0"/>
              <w:jc w:val="center"/>
              <w:textAlignment w:val="auto"/>
              <w:rPr>
                <w:rFonts w:hint="eastAsia" w:ascii="方正仿宋_GBK" w:hAnsi="方正仿宋_GBK" w:eastAsia="方正仿宋_GBK" w:cs="方正仿宋_GBK"/>
                <w:color w:val="auto"/>
                <w:sz w:val="24"/>
                <w:szCs w:val="24"/>
                <w:highlight w:val="none"/>
                <w:lang w:val="en-US" w:eastAsia="zh-CN"/>
              </w:rPr>
            </w:pPr>
            <w:r>
              <w:rPr>
                <w:rFonts w:hint="eastAsia" w:ascii="方正仿宋_GBK" w:hAnsi="方正仿宋_GBK" w:eastAsia="方正仿宋_GBK" w:cs="方正仿宋_GBK"/>
                <w:color w:val="auto"/>
                <w:sz w:val="24"/>
                <w:szCs w:val="24"/>
                <w:highlight w:val="none"/>
                <w:lang w:val="en-US" w:eastAsia="zh-CN"/>
              </w:rPr>
              <w:t>无</w:t>
            </w:r>
          </w:p>
        </w:tc>
      </w:tr>
      <w:tr w14:paraId="27DEFB3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0" w:hRule="atLeast"/>
          <w:jc w:val="center"/>
        </w:trPr>
        <w:tc>
          <w:tcPr>
            <w:tcW w:w="656" w:type="dxa"/>
            <w:tcBorders>
              <w:top w:val="single" w:color="000000" w:sz="4" w:space="0"/>
              <w:left w:val="single" w:color="000000" w:sz="4" w:space="0"/>
              <w:bottom w:val="single" w:color="000000" w:sz="4" w:space="0"/>
              <w:right w:val="single" w:color="000000" w:sz="4" w:space="0"/>
            </w:tcBorders>
            <w:vAlign w:val="center"/>
          </w:tcPr>
          <w:p w14:paraId="2DAF3513">
            <w:pPr>
              <w:keepNext w:val="0"/>
              <w:keepLines w:val="0"/>
              <w:pageBreakBefore w:val="0"/>
              <w:widowControl w:val="0"/>
              <w:kinsoku/>
              <w:wordWrap/>
              <w:overflowPunct/>
              <w:topLinePunct w:val="0"/>
              <w:autoSpaceDE/>
              <w:autoSpaceDN/>
              <w:bidi w:val="0"/>
              <w:adjustRightInd/>
              <w:snapToGrid w:val="0"/>
              <w:spacing w:line="400" w:lineRule="exact"/>
              <w:ind w:firstLine="0" w:firstLineChars="0"/>
              <w:jc w:val="center"/>
              <w:textAlignment w:val="auto"/>
              <w:rPr>
                <w:rFonts w:hint="default" w:ascii="方正仿宋_GBK" w:hAnsi="方正仿宋_GBK" w:eastAsia="方正仿宋_GBK" w:cs="方正仿宋_GBK"/>
                <w:color w:val="auto"/>
                <w:sz w:val="24"/>
                <w:szCs w:val="24"/>
                <w:highlight w:val="none"/>
                <w:lang w:val="en-US" w:eastAsia="zh-CN"/>
              </w:rPr>
            </w:pPr>
            <w:r>
              <w:rPr>
                <w:rFonts w:hint="eastAsia" w:ascii="方正仿宋_GBK" w:hAnsi="方正仿宋_GBK" w:eastAsia="方正仿宋_GBK" w:cs="方正仿宋_GBK"/>
                <w:color w:val="auto"/>
                <w:sz w:val="24"/>
                <w:szCs w:val="24"/>
                <w:highlight w:val="none"/>
                <w:lang w:val="en-US" w:eastAsia="zh-CN"/>
              </w:rPr>
              <w:t>4</w:t>
            </w:r>
          </w:p>
        </w:tc>
        <w:tc>
          <w:tcPr>
            <w:tcW w:w="1446" w:type="dxa"/>
            <w:tcBorders>
              <w:top w:val="single" w:color="000000" w:sz="4" w:space="0"/>
              <w:left w:val="single" w:color="000000" w:sz="4" w:space="0"/>
              <w:bottom w:val="single" w:color="000000" w:sz="4" w:space="0"/>
              <w:right w:val="single" w:color="000000" w:sz="4" w:space="0"/>
            </w:tcBorders>
            <w:vAlign w:val="center"/>
          </w:tcPr>
          <w:p w14:paraId="6EE458C3">
            <w:pPr>
              <w:keepNext w:val="0"/>
              <w:keepLines w:val="0"/>
              <w:pageBreakBefore w:val="0"/>
              <w:widowControl w:val="0"/>
              <w:kinsoku/>
              <w:wordWrap/>
              <w:overflowPunct/>
              <w:topLinePunct w:val="0"/>
              <w:autoSpaceDE/>
              <w:autoSpaceDN/>
              <w:bidi w:val="0"/>
              <w:adjustRightInd/>
              <w:snapToGrid w:val="0"/>
              <w:spacing w:line="400" w:lineRule="exact"/>
              <w:ind w:firstLine="0" w:firstLineChars="0"/>
              <w:jc w:val="center"/>
              <w:textAlignment w:val="auto"/>
              <w:rPr>
                <w:rFonts w:hint="eastAsia" w:ascii="方正仿宋_GBK" w:hAnsi="方正仿宋_GBK" w:eastAsia="方正仿宋_GBK" w:cs="方正仿宋_GBK"/>
                <w:color w:val="auto"/>
                <w:sz w:val="24"/>
                <w:szCs w:val="24"/>
                <w:highlight w:val="none"/>
                <w:lang w:val="en-US" w:eastAsia="zh-CN"/>
              </w:rPr>
            </w:pPr>
            <w:r>
              <w:rPr>
                <w:rFonts w:hint="eastAsia" w:ascii="方正仿宋_GBK" w:hAnsi="方正仿宋_GBK" w:eastAsia="方正仿宋_GBK" w:cs="方正仿宋_GBK"/>
                <w:color w:val="auto"/>
                <w:sz w:val="24"/>
                <w:szCs w:val="24"/>
                <w:highlight w:val="none"/>
                <w:lang w:val="en-US" w:eastAsia="zh-CN"/>
              </w:rPr>
              <w:t>少儿多媒体资源</w:t>
            </w:r>
          </w:p>
        </w:tc>
        <w:tc>
          <w:tcPr>
            <w:tcW w:w="6174" w:type="dxa"/>
            <w:tcBorders>
              <w:top w:val="single" w:color="000000" w:sz="4" w:space="0"/>
              <w:left w:val="single" w:color="000000" w:sz="4" w:space="0"/>
              <w:bottom w:val="single" w:color="000000" w:sz="4" w:space="0"/>
              <w:right w:val="single" w:color="000000" w:sz="4" w:space="0"/>
            </w:tcBorders>
            <w:vAlign w:val="center"/>
          </w:tcPr>
          <w:p w14:paraId="614106F7">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both"/>
              <w:textAlignment w:val="auto"/>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一、资源要求</w:t>
            </w:r>
          </w:p>
          <w:p w14:paraId="14EB3AD1">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both"/>
              <w:textAlignment w:val="auto"/>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1.要求供应商产品面向儿童、教师、家长三大人群，资源内容应当结合每个年龄段成长不同需求提供资源内容。资源主题板块需包含：国学、科普、百科、艺术、中小课堂、益智互动、家校共育等类别。</w:t>
            </w:r>
          </w:p>
          <w:p w14:paraId="2EA176CD">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both"/>
              <w:textAlignment w:val="auto"/>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2.为保证课程的丰富性，要求课程资源支持在线观看，并且数据总量要在15000篇以上， 要求供应商每年更新累积必须达到3000篇，以便于今后采购更新。</w:t>
            </w:r>
          </w:p>
          <w:p w14:paraId="360F7417">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both"/>
              <w:textAlignment w:val="auto"/>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3.要求供应商必须有自行拍摄研发课程的能力。能提供课程定制服务。保证平台有自主研发的原创课程资源。</w:t>
            </w:r>
          </w:p>
          <w:p w14:paraId="499F813E">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both"/>
              <w:textAlignment w:val="auto"/>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4.要求供应商提供的课程资源是MP4格式，支持本地缓存播放。</w:t>
            </w:r>
          </w:p>
          <w:p w14:paraId="44234BA5">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both"/>
              <w:textAlignment w:val="auto"/>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二、功能要求</w:t>
            </w:r>
          </w:p>
          <w:p w14:paraId="10366F46">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both"/>
              <w:textAlignment w:val="auto"/>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1.支持手机端访问。要求提供手机WAP版、微信小程序版访问方式，实现资源内容的移动学习功能。</w:t>
            </w:r>
          </w:p>
          <w:p w14:paraId="588A86F5">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both"/>
              <w:textAlignment w:val="auto"/>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2.提供全库检索功能。用户可通过关键词实现课程内容检索，高效、系统地检索出匹配内容来进行点击学习。</w:t>
            </w:r>
          </w:p>
          <w:p w14:paraId="787DA2EE">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both"/>
              <w:textAlignment w:val="auto"/>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3.WAP端平台应支持绑定机构官方微信公众号，用户通过入口直接输入账号和密码即可进入观看。</w:t>
            </w:r>
          </w:p>
          <w:p w14:paraId="0B8AD832">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both"/>
              <w:textAlignment w:val="auto"/>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4.每个课程应包含视频、选集列表等内容，方便用户找到核心内容，快速吸收知识点。</w:t>
            </w:r>
          </w:p>
          <w:p w14:paraId="3F358102">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both"/>
              <w:textAlignment w:val="auto"/>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5.视频播放功能支持全屏播放、倍速播放、单集循环播放、截图等，并提供标记喜欢和分享功能。同时提供相关推荐课程模块，帮助用户找到更多兴趣内容，更加全面、便捷、流畅的学习使用。</w:t>
            </w:r>
          </w:p>
          <w:p w14:paraId="5C954C1E">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both"/>
              <w:textAlignment w:val="auto"/>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6.平台为用户提供个人中心功能。用户可以根据自身情况，注册相关个人信息，选择感兴趣的课程。</w:t>
            </w:r>
          </w:p>
          <w:p w14:paraId="078D3C7F">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both"/>
              <w:textAlignment w:val="auto"/>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7.满足后台辅助管理功能。通过管理员账号登录后台管理系统，实现课程资源数量、访问情况、播放情况的及时查询。</w:t>
            </w:r>
          </w:p>
        </w:tc>
        <w:tc>
          <w:tcPr>
            <w:tcW w:w="705" w:type="dxa"/>
            <w:tcBorders>
              <w:top w:val="single" w:color="000000" w:sz="4" w:space="0"/>
              <w:left w:val="single" w:color="000000" w:sz="4" w:space="0"/>
              <w:bottom w:val="single" w:color="000000" w:sz="4" w:space="0"/>
              <w:right w:val="single" w:color="000000" w:sz="4" w:space="0"/>
            </w:tcBorders>
            <w:vAlign w:val="center"/>
          </w:tcPr>
          <w:p w14:paraId="34AC2271">
            <w:pPr>
              <w:keepNext w:val="0"/>
              <w:keepLines w:val="0"/>
              <w:pageBreakBefore w:val="0"/>
              <w:widowControl w:val="0"/>
              <w:kinsoku/>
              <w:wordWrap/>
              <w:overflowPunct/>
              <w:topLinePunct w:val="0"/>
              <w:autoSpaceDE/>
              <w:autoSpaceDN/>
              <w:bidi w:val="0"/>
              <w:adjustRightInd/>
              <w:snapToGrid w:val="0"/>
              <w:spacing w:line="400" w:lineRule="exact"/>
              <w:ind w:firstLine="0" w:firstLineChars="0"/>
              <w:jc w:val="center"/>
              <w:textAlignment w:val="auto"/>
              <w:rPr>
                <w:rFonts w:hint="eastAsia" w:ascii="方正仿宋_GBK" w:hAnsi="方正仿宋_GBK" w:eastAsia="方正仿宋_GBK" w:cs="方正仿宋_GBK"/>
                <w:color w:val="auto"/>
                <w:sz w:val="24"/>
                <w:szCs w:val="24"/>
                <w:highlight w:val="none"/>
                <w:lang w:val="en-US" w:eastAsia="zh-CN"/>
              </w:rPr>
            </w:pPr>
            <w:r>
              <w:rPr>
                <w:rFonts w:hint="eastAsia" w:ascii="方正仿宋_GBK" w:hAnsi="方正仿宋_GBK" w:eastAsia="方正仿宋_GBK" w:cs="方正仿宋_GBK"/>
                <w:color w:val="auto"/>
                <w:sz w:val="24"/>
                <w:szCs w:val="24"/>
                <w:highlight w:val="none"/>
                <w:lang w:val="en-US" w:eastAsia="zh-CN"/>
              </w:rPr>
              <w:t>1套</w:t>
            </w:r>
          </w:p>
        </w:tc>
        <w:tc>
          <w:tcPr>
            <w:tcW w:w="640" w:type="dxa"/>
            <w:tcBorders>
              <w:top w:val="single" w:color="000000" w:sz="4" w:space="0"/>
              <w:left w:val="single" w:color="000000" w:sz="4" w:space="0"/>
              <w:bottom w:val="single" w:color="000000" w:sz="4" w:space="0"/>
              <w:right w:val="single" w:color="000000" w:sz="4" w:space="0"/>
            </w:tcBorders>
            <w:vAlign w:val="center"/>
          </w:tcPr>
          <w:p w14:paraId="1273B3F9">
            <w:pPr>
              <w:keepNext w:val="0"/>
              <w:keepLines w:val="0"/>
              <w:pageBreakBefore w:val="0"/>
              <w:widowControl w:val="0"/>
              <w:kinsoku/>
              <w:wordWrap/>
              <w:overflowPunct/>
              <w:topLinePunct w:val="0"/>
              <w:autoSpaceDE/>
              <w:autoSpaceDN/>
              <w:bidi w:val="0"/>
              <w:adjustRightInd/>
              <w:snapToGrid w:val="0"/>
              <w:spacing w:line="400" w:lineRule="exact"/>
              <w:ind w:firstLine="0" w:firstLineChars="0"/>
              <w:jc w:val="center"/>
              <w:textAlignment w:val="auto"/>
              <w:rPr>
                <w:rFonts w:hint="eastAsia" w:ascii="方正仿宋_GBK" w:hAnsi="方正仿宋_GBK" w:eastAsia="方正仿宋_GBK" w:cs="方正仿宋_GBK"/>
                <w:color w:val="auto"/>
                <w:sz w:val="24"/>
                <w:szCs w:val="24"/>
                <w:highlight w:val="none"/>
                <w:lang w:val="en-US" w:eastAsia="zh-CN"/>
              </w:rPr>
            </w:pPr>
            <w:r>
              <w:rPr>
                <w:rFonts w:hint="eastAsia" w:ascii="方正仿宋_GBK" w:hAnsi="方正仿宋_GBK" w:eastAsia="方正仿宋_GBK" w:cs="方正仿宋_GBK"/>
                <w:color w:val="auto"/>
                <w:sz w:val="24"/>
                <w:szCs w:val="24"/>
                <w:highlight w:val="none"/>
                <w:lang w:val="en-US" w:eastAsia="zh-CN"/>
              </w:rPr>
              <w:t>无</w:t>
            </w:r>
          </w:p>
        </w:tc>
      </w:tr>
      <w:tr w14:paraId="2D05212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0" w:hRule="atLeast"/>
          <w:jc w:val="center"/>
        </w:trPr>
        <w:tc>
          <w:tcPr>
            <w:tcW w:w="656" w:type="dxa"/>
            <w:tcBorders>
              <w:top w:val="single" w:color="000000" w:sz="4" w:space="0"/>
              <w:left w:val="single" w:color="000000" w:sz="4" w:space="0"/>
              <w:bottom w:val="single" w:color="000000" w:sz="4" w:space="0"/>
              <w:right w:val="single" w:color="000000" w:sz="4" w:space="0"/>
            </w:tcBorders>
            <w:vAlign w:val="center"/>
          </w:tcPr>
          <w:p w14:paraId="5527ACCB">
            <w:pPr>
              <w:keepNext w:val="0"/>
              <w:keepLines w:val="0"/>
              <w:pageBreakBefore w:val="0"/>
              <w:widowControl w:val="0"/>
              <w:kinsoku/>
              <w:wordWrap/>
              <w:overflowPunct/>
              <w:topLinePunct w:val="0"/>
              <w:autoSpaceDE/>
              <w:autoSpaceDN/>
              <w:bidi w:val="0"/>
              <w:adjustRightInd/>
              <w:snapToGrid w:val="0"/>
              <w:spacing w:line="400" w:lineRule="exact"/>
              <w:ind w:firstLine="0" w:firstLineChars="0"/>
              <w:jc w:val="center"/>
              <w:textAlignment w:val="auto"/>
              <w:rPr>
                <w:rFonts w:hint="eastAsia" w:ascii="方正仿宋_GBK" w:hAnsi="方正仿宋_GBK" w:eastAsia="方正仿宋_GBK" w:cs="方正仿宋_GBK"/>
                <w:color w:val="auto"/>
                <w:sz w:val="24"/>
                <w:szCs w:val="24"/>
                <w:highlight w:val="none"/>
                <w:lang w:val="en-US" w:eastAsia="zh-CN"/>
              </w:rPr>
            </w:pPr>
            <w:r>
              <w:rPr>
                <w:rFonts w:hint="eastAsia" w:ascii="方正仿宋_GBK" w:hAnsi="方正仿宋_GBK" w:eastAsia="方正仿宋_GBK" w:cs="方正仿宋_GBK"/>
                <w:color w:val="auto"/>
                <w:sz w:val="24"/>
                <w:szCs w:val="24"/>
                <w:highlight w:val="none"/>
                <w:lang w:val="en-US" w:eastAsia="zh-CN"/>
              </w:rPr>
              <w:t>5</w:t>
            </w:r>
          </w:p>
        </w:tc>
        <w:tc>
          <w:tcPr>
            <w:tcW w:w="1446" w:type="dxa"/>
            <w:tcBorders>
              <w:top w:val="single" w:color="000000" w:sz="4" w:space="0"/>
              <w:left w:val="single" w:color="000000" w:sz="4" w:space="0"/>
              <w:bottom w:val="single" w:color="000000" w:sz="4" w:space="0"/>
              <w:right w:val="single" w:color="000000" w:sz="4" w:space="0"/>
            </w:tcBorders>
            <w:vAlign w:val="center"/>
          </w:tcPr>
          <w:p w14:paraId="2BF8702E">
            <w:pPr>
              <w:keepNext w:val="0"/>
              <w:keepLines w:val="0"/>
              <w:pageBreakBefore w:val="0"/>
              <w:widowControl w:val="0"/>
              <w:kinsoku/>
              <w:wordWrap/>
              <w:overflowPunct/>
              <w:topLinePunct w:val="0"/>
              <w:autoSpaceDE/>
              <w:autoSpaceDN/>
              <w:bidi w:val="0"/>
              <w:adjustRightInd/>
              <w:snapToGrid w:val="0"/>
              <w:spacing w:line="400" w:lineRule="exact"/>
              <w:ind w:firstLine="0" w:firstLineChars="0"/>
              <w:jc w:val="center"/>
              <w:textAlignment w:val="auto"/>
              <w:rPr>
                <w:rFonts w:hint="eastAsia" w:ascii="方正仿宋_GBK" w:hAnsi="方正仿宋_GBK" w:eastAsia="方正仿宋_GBK" w:cs="方正仿宋_GBK"/>
                <w:color w:val="auto"/>
                <w:sz w:val="24"/>
                <w:szCs w:val="24"/>
                <w:highlight w:val="none"/>
                <w:lang w:val="en-US" w:eastAsia="zh-CN"/>
              </w:rPr>
            </w:pPr>
            <w:r>
              <w:rPr>
                <w:rFonts w:hint="eastAsia" w:ascii="方正仿宋_GBK" w:hAnsi="方正仿宋_GBK" w:eastAsia="方正仿宋_GBK" w:cs="方正仿宋_GBK"/>
                <w:color w:val="auto"/>
                <w:sz w:val="24"/>
                <w:szCs w:val="24"/>
                <w:highlight w:val="none"/>
                <w:lang w:val="en-US" w:eastAsia="zh-CN"/>
              </w:rPr>
              <w:t>学术学位论文资源</w:t>
            </w:r>
          </w:p>
        </w:tc>
        <w:tc>
          <w:tcPr>
            <w:tcW w:w="6174" w:type="dxa"/>
            <w:tcBorders>
              <w:top w:val="single" w:color="000000" w:sz="4" w:space="0"/>
              <w:left w:val="single" w:color="000000" w:sz="4" w:space="0"/>
              <w:bottom w:val="single" w:color="000000" w:sz="4" w:space="0"/>
              <w:right w:val="single" w:color="000000" w:sz="4" w:space="0"/>
            </w:tcBorders>
            <w:vAlign w:val="center"/>
          </w:tcPr>
          <w:p w14:paraId="7B7AF1A3">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both"/>
              <w:textAlignment w:val="auto"/>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1.提供中国学术期刊数据库及中国学位论文数据库。</w:t>
            </w:r>
          </w:p>
          <w:p w14:paraId="0616649E">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both"/>
              <w:textAlignment w:val="auto"/>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2.入编期刊的学科范围需覆盖基础科学、工业技术、社会科学、哲学政法、教科文艺、经济财政等学科，并且能够按照中图分类法二级学科分类；入编的期刊种类不得少于8000种；中文核心期刊不低于1500种；学术期刊收录年限在8年以上（含8年）；期刊系统具有整刊浏览功能、二级学科导航浏览和刊名字母浏览功能；</w:t>
            </w:r>
          </w:p>
          <w:p w14:paraId="0C4B8A68">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both"/>
              <w:textAlignment w:val="auto"/>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3.学位论文收录始于1980年，涵盖基础科学、理学、工业技术、人文科学、社会科学、医药卫生、农业科学、交通运输、航空航天和环境科学等各学科领域。</w:t>
            </w:r>
          </w:p>
          <w:p w14:paraId="183AC105">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both"/>
              <w:textAlignment w:val="auto"/>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4.提供不限制并发用户数；</w:t>
            </w:r>
          </w:p>
          <w:p w14:paraId="5AE0F947">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both"/>
              <w:textAlignment w:val="auto"/>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5.期刊及学位论文获取方式提供在线查看阅读、直接下载。</w:t>
            </w:r>
          </w:p>
          <w:p w14:paraId="6D905609">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both"/>
              <w:textAlignment w:val="auto"/>
              <w:rPr>
                <w:rFonts w:hint="default"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6.学术期刊数据库在技术要求上应与已有的万方数据知识服务平台系统实现无缝对接。</w:t>
            </w:r>
          </w:p>
          <w:p w14:paraId="084A4CD4">
            <w:pPr>
              <w:keepNext w:val="0"/>
              <w:keepLines w:val="0"/>
              <w:pageBreakBefore w:val="0"/>
              <w:widowControl w:val="0"/>
              <w:numPr>
                <w:ilvl w:val="0"/>
                <w:numId w:val="0"/>
              </w:numPr>
              <w:kinsoku/>
              <w:wordWrap/>
              <w:overflowPunct/>
              <w:topLinePunct w:val="0"/>
              <w:autoSpaceDE/>
              <w:autoSpaceDN/>
              <w:bidi w:val="0"/>
              <w:adjustRightInd/>
              <w:snapToGrid/>
              <w:spacing w:line="240" w:lineRule="exact"/>
              <w:ind w:left="0" w:leftChars="0" w:firstLine="0" w:firstLineChars="0"/>
              <w:jc w:val="both"/>
              <w:textAlignment w:val="auto"/>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7.访问方式：提供远程访问。</w:t>
            </w:r>
          </w:p>
        </w:tc>
        <w:tc>
          <w:tcPr>
            <w:tcW w:w="705" w:type="dxa"/>
            <w:tcBorders>
              <w:top w:val="single" w:color="000000" w:sz="4" w:space="0"/>
              <w:left w:val="single" w:color="000000" w:sz="4" w:space="0"/>
              <w:bottom w:val="single" w:color="000000" w:sz="4" w:space="0"/>
              <w:right w:val="single" w:color="000000" w:sz="4" w:space="0"/>
            </w:tcBorders>
            <w:vAlign w:val="center"/>
          </w:tcPr>
          <w:p w14:paraId="335DEE25">
            <w:pPr>
              <w:keepNext w:val="0"/>
              <w:keepLines w:val="0"/>
              <w:pageBreakBefore w:val="0"/>
              <w:widowControl w:val="0"/>
              <w:kinsoku/>
              <w:wordWrap/>
              <w:overflowPunct/>
              <w:topLinePunct w:val="0"/>
              <w:autoSpaceDE/>
              <w:autoSpaceDN/>
              <w:bidi w:val="0"/>
              <w:adjustRightInd/>
              <w:snapToGrid w:val="0"/>
              <w:spacing w:line="400" w:lineRule="exact"/>
              <w:ind w:firstLine="0" w:firstLineChars="0"/>
              <w:jc w:val="center"/>
              <w:textAlignment w:val="auto"/>
              <w:rPr>
                <w:rFonts w:hint="eastAsia" w:ascii="方正仿宋_GBK" w:hAnsi="方正仿宋_GBK" w:eastAsia="方正仿宋_GBK" w:cs="方正仿宋_GBK"/>
                <w:color w:val="auto"/>
                <w:sz w:val="24"/>
                <w:szCs w:val="24"/>
                <w:highlight w:val="none"/>
                <w:lang w:val="en-US" w:eastAsia="zh-CN"/>
              </w:rPr>
            </w:pPr>
            <w:r>
              <w:rPr>
                <w:rFonts w:hint="eastAsia" w:ascii="方正仿宋_GBK" w:hAnsi="方正仿宋_GBK" w:eastAsia="方正仿宋_GBK" w:cs="方正仿宋_GBK"/>
                <w:color w:val="auto"/>
                <w:sz w:val="24"/>
                <w:szCs w:val="24"/>
                <w:highlight w:val="none"/>
                <w:lang w:val="en-US" w:eastAsia="zh-CN"/>
              </w:rPr>
              <w:t>1套</w:t>
            </w:r>
          </w:p>
        </w:tc>
        <w:tc>
          <w:tcPr>
            <w:tcW w:w="640" w:type="dxa"/>
            <w:tcBorders>
              <w:top w:val="single" w:color="000000" w:sz="4" w:space="0"/>
              <w:left w:val="single" w:color="000000" w:sz="4" w:space="0"/>
              <w:bottom w:val="single" w:color="000000" w:sz="4" w:space="0"/>
              <w:right w:val="single" w:color="000000" w:sz="4" w:space="0"/>
            </w:tcBorders>
            <w:vAlign w:val="center"/>
          </w:tcPr>
          <w:p w14:paraId="686657CA">
            <w:pPr>
              <w:keepNext w:val="0"/>
              <w:keepLines w:val="0"/>
              <w:pageBreakBefore w:val="0"/>
              <w:widowControl w:val="0"/>
              <w:kinsoku/>
              <w:wordWrap/>
              <w:overflowPunct/>
              <w:topLinePunct w:val="0"/>
              <w:autoSpaceDE/>
              <w:autoSpaceDN/>
              <w:bidi w:val="0"/>
              <w:adjustRightInd/>
              <w:snapToGrid w:val="0"/>
              <w:spacing w:line="400" w:lineRule="exact"/>
              <w:ind w:firstLine="0" w:firstLineChars="0"/>
              <w:jc w:val="center"/>
              <w:textAlignment w:val="auto"/>
              <w:rPr>
                <w:rFonts w:hint="eastAsia" w:ascii="方正仿宋_GBK" w:hAnsi="方正仿宋_GBK" w:eastAsia="方正仿宋_GBK" w:cs="方正仿宋_GBK"/>
                <w:color w:val="auto"/>
                <w:sz w:val="24"/>
                <w:szCs w:val="24"/>
                <w:highlight w:val="none"/>
                <w:lang w:val="en-US" w:eastAsia="zh-CN"/>
              </w:rPr>
            </w:pPr>
            <w:r>
              <w:rPr>
                <w:rFonts w:hint="eastAsia" w:ascii="方正仿宋_GBK" w:hAnsi="方正仿宋_GBK" w:eastAsia="方正仿宋_GBK" w:cs="方正仿宋_GBK"/>
                <w:color w:val="auto"/>
                <w:sz w:val="24"/>
                <w:szCs w:val="24"/>
                <w:highlight w:val="none"/>
                <w:lang w:val="en-US" w:eastAsia="zh-CN"/>
              </w:rPr>
              <w:t>无</w:t>
            </w:r>
          </w:p>
        </w:tc>
      </w:tr>
      <w:tr w14:paraId="7C87683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0" w:hRule="atLeast"/>
          <w:jc w:val="center"/>
        </w:trPr>
        <w:tc>
          <w:tcPr>
            <w:tcW w:w="656" w:type="dxa"/>
            <w:tcBorders>
              <w:top w:val="single" w:color="000000" w:sz="4" w:space="0"/>
              <w:left w:val="single" w:color="000000" w:sz="4" w:space="0"/>
              <w:bottom w:val="single" w:color="000000" w:sz="4" w:space="0"/>
              <w:right w:val="single" w:color="000000" w:sz="4" w:space="0"/>
            </w:tcBorders>
            <w:vAlign w:val="center"/>
          </w:tcPr>
          <w:p w14:paraId="08E4E4AB">
            <w:pPr>
              <w:keepNext w:val="0"/>
              <w:keepLines w:val="0"/>
              <w:pageBreakBefore w:val="0"/>
              <w:widowControl w:val="0"/>
              <w:kinsoku/>
              <w:wordWrap/>
              <w:overflowPunct/>
              <w:topLinePunct w:val="0"/>
              <w:autoSpaceDE/>
              <w:autoSpaceDN/>
              <w:bidi w:val="0"/>
              <w:adjustRightInd/>
              <w:snapToGrid w:val="0"/>
              <w:spacing w:line="400" w:lineRule="exact"/>
              <w:ind w:firstLine="0" w:firstLineChars="0"/>
              <w:jc w:val="center"/>
              <w:textAlignment w:val="auto"/>
              <w:rPr>
                <w:rFonts w:hint="eastAsia" w:ascii="方正仿宋_GBK" w:hAnsi="方正仿宋_GBK" w:eastAsia="方正仿宋_GBK" w:cs="方正仿宋_GBK"/>
                <w:color w:val="auto"/>
                <w:sz w:val="24"/>
                <w:szCs w:val="24"/>
                <w:highlight w:val="none"/>
                <w:lang w:val="en-US" w:eastAsia="zh-CN"/>
              </w:rPr>
            </w:pPr>
            <w:r>
              <w:rPr>
                <w:rFonts w:hint="eastAsia" w:ascii="方正仿宋_GBK" w:hAnsi="方正仿宋_GBK" w:eastAsia="方正仿宋_GBK" w:cs="方正仿宋_GBK"/>
                <w:color w:val="auto"/>
                <w:sz w:val="24"/>
                <w:szCs w:val="24"/>
                <w:highlight w:val="none"/>
                <w:lang w:val="en-US" w:eastAsia="zh-CN"/>
              </w:rPr>
              <w:t>6</w:t>
            </w:r>
          </w:p>
        </w:tc>
        <w:tc>
          <w:tcPr>
            <w:tcW w:w="1446" w:type="dxa"/>
            <w:tcBorders>
              <w:top w:val="single" w:color="000000" w:sz="4" w:space="0"/>
              <w:left w:val="single" w:color="000000" w:sz="4" w:space="0"/>
              <w:bottom w:val="single" w:color="000000" w:sz="4" w:space="0"/>
              <w:right w:val="single" w:color="000000" w:sz="4" w:space="0"/>
            </w:tcBorders>
            <w:vAlign w:val="center"/>
          </w:tcPr>
          <w:p w14:paraId="317F9813">
            <w:pPr>
              <w:keepNext w:val="0"/>
              <w:keepLines w:val="0"/>
              <w:pageBreakBefore w:val="0"/>
              <w:widowControl w:val="0"/>
              <w:kinsoku/>
              <w:wordWrap/>
              <w:overflowPunct/>
              <w:topLinePunct w:val="0"/>
              <w:autoSpaceDE/>
              <w:autoSpaceDN/>
              <w:bidi w:val="0"/>
              <w:adjustRightInd/>
              <w:snapToGrid w:val="0"/>
              <w:spacing w:line="400" w:lineRule="exact"/>
              <w:ind w:firstLine="0" w:firstLineChars="0"/>
              <w:jc w:val="center"/>
              <w:textAlignment w:val="auto"/>
              <w:rPr>
                <w:rFonts w:hint="eastAsia" w:ascii="方正仿宋_GBK" w:hAnsi="方正仿宋_GBK" w:eastAsia="方正仿宋_GBK" w:cs="方正仿宋_GBK"/>
                <w:color w:val="auto"/>
                <w:sz w:val="24"/>
                <w:szCs w:val="24"/>
                <w:highlight w:val="none"/>
                <w:lang w:val="en-US" w:eastAsia="zh-CN"/>
              </w:rPr>
            </w:pPr>
            <w:r>
              <w:rPr>
                <w:rFonts w:hint="eastAsia" w:ascii="方正仿宋_GBK" w:hAnsi="方正仿宋_GBK" w:eastAsia="方正仿宋_GBK" w:cs="方正仿宋_GBK"/>
                <w:color w:val="auto"/>
                <w:sz w:val="24"/>
                <w:szCs w:val="24"/>
                <w:highlight w:val="none"/>
                <w:lang w:val="en-US" w:eastAsia="zh-CN"/>
              </w:rPr>
              <w:t>数字云阅读平台</w:t>
            </w:r>
          </w:p>
        </w:tc>
        <w:tc>
          <w:tcPr>
            <w:tcW w:w="6174" w:type="dxa"/>
            <w:tcBorders>
              <w:top w:val="single" w:color="000000" w:sz="4" w:space="0"/>
              <w:left w:val="single" w:color="000000" w:sz="4" w:space="0"/>
              <w:bottom w:val="single" w:color="000000" w:sz="4" w:space="0"/>
              <w:right w:val="single" w:color="000000" w:sz="4" w:space="0"/>
            </w:tcBorders>
            <w:vAlign w:val="center"/>
          </w:tcPr>
          <w:p w14:paraId="783A8006">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both"/>
              <w:textAlignment w:val="auto"/>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1.总体需求</w:t>
            </w:r>
          </w:p>
          <w:p w14:paraId="4F9A72EE">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both"/>
              <w:textAlignment w:val="auto"/>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1.1云阅读须提供电子图书、期刊、视频等内容，电子书不少于10000册，期刊不少于500中；听书资源不少于170000集。</w:t>
            </w:r>
          </w:p>
          <w:p w14:paraId="2AF454BB">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both"/>
              <w:textAlignment w:val="auto"/>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1.2平台基于微信端自建自有的小程序平台，同时便于整合图书馆的各种文献资源，实现资源共享，大数据分析，联合多种读者互动功能。</w:t>
            </w:r>
          </w:p>
          <w:p w14:paraId="3C730344">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both"/>
              <w:textAlignment w:val="auto"/>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1.3平台易于扩展与延伸，采用分布式开放结构，充分考虑与其他各数字资源厂商以及图书馆管理系统接入。</w:t>
            </w:r>
          </w:p>
          <w:p w14:paraId="743B68C7">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both"/>
              <w:textAlignment w:val="auto"/>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1.4平台需保证数据的安全性与完整性：统一服务平台应提供高可用性以及数据多重保护，应避免由于单点故障影响整个系统正常稳定运行，避免关键信息的丢失。</w:t>
            </w:r>
          </w:p>
          <w:p w14:paraId="2F36C59F">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both"/>
              <w:textAlignment w:val="auto"/>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2.云阅读系统前端功能需求</w:t>
            </w:r>
          </w:p>
          <w:p w14:paraId="3BD776E8">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both"/>
              <w:textAlignment w:val="auto"/>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2.1支持读者通过手机号、读者证绑定后自动生成电子借阅证，读者凭借电子借阅证即可在免费借阅所有电子资源。</w:t>
            </w:r>
          </w:p>
          <w:p w14:paraId="7E0E8F7E">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both"/>
              <w:textAlignment w:val="auto"/>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2.2系统资源类型须包含看书、听书、期刊、视频等。支持读者通过分类快速检索相关资源。</w:t>
            </w:r>
          </w:p>
          <w:p w14:paraId="43E6FECD">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both"/>
              <w:textAlignment w:val="auto"/>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2.3平台支持展示平台所有已对接的第三方数字厂商列表，支持查看第三方数字厂商的所有资源分类情况</w:t>
            </w:r>
          </w:p>
          <w:p w14:paraId="7999A717">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both"/>
              <w:textAlignment w:val="auto"/>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2.4平台支持热门词检索、历史关键字检索、标签检索、分类检索等功能</w:t>
            </w:r>
          </w:p>
          <w:p w14:paraId="2900877B">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both"/>
              <w:textAlignment w:val="auto"/>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2.5平台用户中心模块支持展示用户当日的学习时长、累计学习时长，累计学习天数，以及当前获得的积分等数据，需查看个人的收藏2.6平台活动模块支持展示活动名称、活动时间、活动详情、活动图片、活动书单等信息。活动信息制作支持图片，文字描述，后台支持统计参与活动的用户信息，支持导出报表。</w:t>
            </w:r>
          </w:p>
          <w:p w14:paraId="6E5D2E52">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both"/>
              <w:textAlignment w:val="auto"/>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2.7平台具有推广用户功能，方便展示读者推广的用户人数以及获得的积分，支持生成本馆读者专属推广二维码海报，支持平台推广人数排行榜功能。</w:t>
            </w:r>
          </w:p>
          <w:p w14:paraId="5FF7934D">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both"/>
              <w:textAlignment w:val="auto"/>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2.8平台支持加入书架功能，支持用户将平台喜欢的音频、视频、看书、期刊、课程、书单资源加入个人书架，方便读者阅读学习</w:t>
            </w:r>
          </w:p>
          <w:p w14:paraId="0D821EAF">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both"/>
              <w:textAlignment w:val="auto"/>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2.9平台具有发现功能，发现模块中包含荐读书籍、书摘、名句、阅读广场、推广达人数据信息，且支持在当前页滑动，查看多条数据，其中书摘和名句页可播放音频。</w:t>
            </w:r>
          </w:p>
          <w:p w14:paraId="6DF32087">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both"/>
              <w:textAlignment w:val="auto"/>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2.10平台具有共读功能，读者共同参与阅读同一本书籍；共读详情支持分享、打卡、展示共读规则详情、查看打卡排行榜、查看共读阅读排行榜。</w:t>
            </w:r>
          </w:p>
          <w:p w14:paraId="31A3D09D">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both"/>
              <w:textAlignment w:val="auto"/>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3.云阅读系统后台功能需求</w:t>
            </w:r>
          </w:p>
          <w:p w14:paraId="5E8E9107">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both"/>
              <w:textAlignment w:val="auto"/>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3.1提平台的后台管理员系统，便于系统管理员对云阅读平台的界面运营，以及对读者的维护、管理，有读者阅读数据、日志。</w:t>
            </w:r>
          </w:p>
          <w:p w14:paraId="06557D8B">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both"/>
              <w:textAlignment w:val="auto"/>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3.2通信协议基于SSL，HTTPS加密协议，前端代码运行容器为微信端的小程序。</w:t>
            </w:r>
          </w:p>
          <w:p w14:paraId="17CBEFA0">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both"/>
              <w:textAlignment w:val="auto"/>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3.3可视化数据图：支持展示系统资源状况，包括注册用户总数、用户访问量、资源访间时长、用户注册图表、资源商资源占比、资源分类访问量统计、资源分类数量统计、音频资源排行、视频资源排行、电子书资源排行、期刊资源排行、平台发布活动总数、平台活动参与人数、平台活动作品总数、活动参与统计、热门活动排行、热门作品排行、资源商资源统计。</w:t>
            </w:r>
          </w:p>
          <w:p w14:paraId="26378A73">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both"/>
              <w:textAlignment w:val="auto"/>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3.4资源管理：支持对用户文章、音视频、电子书籍、期刊资源、赏析图片的资源进行分门别类管理、上传。</w:t>
            </w:r>
          </w:p>
          <w:p w14:paraId="3693E066">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both"/>
              <w:textAlignment w:val="auto"/>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3.5支持对电子书资源和电子书资源分类进行管理，添加、编辑、删除、排序、上下架等操作，支持导入和导出数据。</w:t>
            </w:r>
          </w:p>
          <w:p w14:paraId="58C53F6B">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both"/>
              <w:textAlignment w:val="auto"/>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3.6支持对有声书资源和有声书资源分类进行管理，添加、编辑、删除、排序、上下架等操作，支持导入和导出数据。</w:t>
            </w:r>
          </w:p>
          <w:p w14:paraId="6AD6BFD0">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both"/>
              <w:textAlignment w:val="auto"/>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3.7支持对期刊资源和期刊资源分类进行管理，添加、编辑、删除、排序、上下架等操作，支持导入和导出数据。</w:t>
            </w:r>
          </w:p>
          <w:p w14:paraId="109D6DB4">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both"/>
              <w:textAlignment w:val="auto"/>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3.8支持对视频资源和视频资源分类进行管理，添加、编辑、删除、排序、上下架等操作，支持导入和导出数据。</w:t>
            </w:r>
          </w:p>
          <w:p w14:paraId="331C6E6D">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both"/>
              <w:textAlignment w:val="auto"/>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3.9支持对接入平台的资源厂商进行管理，可上下架资源厂商的全部资源。</w:t>
            </w:r>
          </w:p>
          <w:p w14:paraId="669AE7A6">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both"/>
              <w:textAlignment w:val="auto"/>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3.10支持用户操作记录管理:可查看用户账号信息、签到、书房记录、收记录、反馈、点赞、推广记录列表。</w:t>
            </w:r>
          </w:p>
        </w:tc>
        <w:tc>
          <w:tcPr>
            <w:tcW w:w="705" w:type="dxa"/>
            <w:tcBorders>
              <w:top w:val="single" w:color="000000" w:sz="4" w:space="0"/>
              <w:left w:val="single" w:color="000000" w:sz="4" w:space="0"/>
              <w:bottom w:val="single" w:color="000000" w:sz="4" w:space="0"/>
              <w:right w:val="single" w:color="000000" w:sz="4" w:space="0"/>
            </w:tcBorders>
            <w:vAlign w:val="center"/>
          </w:tcPr>
          <w:p w14:paraId="49CDC23A">
            <w:pPr>
              <w:keepNext w:val="0"/>
              <w:keepLines w:val="0"/>
              <w:pageBreakBefore w:val="0"/>
              <w:widowControl w:val="0"/>
              <w:kinsoku/>
              <w:wordWrap/>
              <w:overflowPunct/>
              <w:topLinePunct w:val="0"/>
              <w:autoSpaceDE/>
              <w:autoSpaceDN/>
              <w:bidi w:val="0"/>
              <w:adjustRightInd/>
              <w:snapToGrid w:val="0"/>
              <w:spacing w:line="400" w:lineRule="exact"/>
              <w:ind w:firstLine="0" w:firstLineChars="0"/>
              <w:jc w:val="center"/>
              <w:textAlignment w:val="auto"/>
              <w:rPr>
                <w:rFonts w:hint="eastAsia" w:ascii="方正仿宋_GBK" w:hAnsi="方正仿宋_GBK" w:eastAsia="方正仿宋_GBK" w:cs="方正仿宋_GBK"/>
                <w:color w:val="auto"/>
                <w:sz w:val="24"/>
                <w:szCs w:val="24"/>
                <w:highlight w:val="none"/>
                <w:lang w:val="en-US" w:eastAsia="zh-CN"/>
              </w:rPr>
            </w:pPr>
            <w:r>
              <w:rPr>
                <w:rFonts w:hint="eastAsia" w:ascii="方正仿宋_GBK" w:hAnsi="方正仿宋_GBK" w:eastAsia="方正仿宋_GBK" w:cs="方正仿宋_GBK"/>
                <w:color w:val="auto"/>
                <w:sz w:val="24"/>
                <w:szCs w:val="24"/>
                <w:highlight w:val="none"/>
                <w:lang w:val="en-US" w:eastAsia="zh-CN"/>
              </w:rPr>
              <w:t>1套</w:t>
            </w:r>
          </w:p>
        </w:tc>
        <w:tc>
          <w:tcPr>
            <w:tcW w:w="640" w:type="dxa"/>
            <w:tcBorders>
              <w:top w:val="single" w:color="000000" w:sz="4" w:space="0"/>
              <w:left w:val="single" w:color="000000" w:sz="4" w:space="0"/>
              <w:bottom w:val="single" w:color="000000" w:sz="4" w:space="0"/>
              <w:right w:val="single" w:color="000000" w:sz="4" w:space="0"/>
            </w:tcBorders>
            <w:vAlign w:val="center"/>
          </w:tcPr>
          <w:p w14:paraId="07E9EAFD">
            <w:pPr>
              <w:keepNext w:val="0"/>
              <w:keepLines w:val="0"/>
              <w:pageBreakBefore w:val="0"/>
              <w:widowControl w:val="0"/>
              <w:kinsoku/>
              <w:wordWrap/>
              <w:overflowPunct/>
              <w:topLinePunct w:val="0"/>
              <w:autoSpaceDE/>
              <w:autoSpaceDN/>
              <w:bidi w:val="0"/>
              <w:adjustRightInd/>
              <w:snapToGrid w:val="0"/>
              <w:spacing w:line="400" w:lineRule="exact"/>
              <w:ind w:firstLine="0" w:firstLineChars="0"/>
              <w:jc w:val="center"/>
              <w:textAlignment w:val="auto"/>
              <w:rPr>
                <w:rFonts w:hint="eastAsia" w:ascii="方正仿宋_GBK" w:hAnsi="方正仿宋_GBK" w:eastAsia="方正仿宋_GBK" w:cs="方正仿宋_GBK"/>
                <w:color w:val="auto"/>
                <w:sz w:val="24"/>
                <w:szCs w:val="24"/>
                <w:highlight w:val="none"/>
                <w:lang w:val="en-US" w:eastAsia="zh-CN"/>
              </w:rPr>
            </w:pPr>
            <w:r>
              <w:rPr>
                <w:rFonts w:hint="eastAsia" w:ascii="方正仿宋_GBK" w:hAnsi="方正仿宋_GBK" w:eastAsia="方正仿宋_GBK" w:cs="方正仿宋_GBK"/>
                <w:color w:val="auto"/>
                <w:sz w:val="24"/>
                <w:szCs w:val="24"/>
                <w:highlight w:val="none"/>
                <w:lang w:val="en-US" w:eastAsia="zh-CN"/>
              </w:rPr>
              <w:t>无</w:t>
            </w:r>
          </w:p>
        </w:tc>
      </w:tr>
      <w:tr w14:paraId="719D1BA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995" w:hRule="atLeast"/>
          <w:jc w:val="center"/>
        </w:trPr>
        <w:tc>
          <w:tcPr>
            <w:tcW w:w="656" w:type="dxa"/>
            <w:tcBorders>
              <w:top w:val="single" w:color="000000" w:sz="4" w:space="0"/>
              <w:left w:val="single" w:color="000000" w:sz="4" w:space="0"/>
              <w:bottom w:val="single" w:color="000000" w:sz="4" w:space="0"/>
              <w:right w:val="single" w:color="000000" w:sz="4" w:space="0"/>
            </w:tcBorders>
            <w:vAlign w:val="center"/>
          </w:tcPr>
          <w:p w14:paraId="7BABCDC5">
            <w:pPr>
              <w:keepNext w:val="0"/>
              <w:keepLines w:val="0"/>
              <w:pageBreakBefore w:val="0"/>
              <w:widowControl w:val="0"/>
              <w:kinsoku/>
              <w:wordWrap/>
              <w:overflowPunct/>
              <w:topLinePunct w:val="0"/>
              <w:autoSpaceDE/>
              <w:autoSpaceDN/>
              <w:bidi w:val="0"/>
              <w:adjustRightInd/>
              <w:snapToGrid w:val="0"/>
              <w:spacing w:line="400" w:lineRule="exact"/>
              <w:ind w:firstLine="0" w:firstLineChars="0"/>
              <w:jc w:val="center"/>
              <w:textAlignment w:val="auto"/>
              <w:rPr>
                <w:rFonts w:hint="default" w:ascii="方正仿宋_GBK" w:hAnsi="方正仿宋_GBK" w:eastAsia="方正仿宋_GBK" w:cs="方正仿宋_GBK"/>
                <w:color w:val="auto"/>
                <w:sz w:val="24"/>
                <w:szCs w:val="24"/>
                <w:highlight w:val="none"/>
                <w:lang w:val="en-US" w:eastAsia="zh-CN"/>
              </w:rPr>
            </w:pPr>
            <w:r>
              <w:rPr>
                <w:rFonts w:hint="eastAsia" w:ascii="方正仿宋_GBK" w:hAnsi="方正仿宋_GBK" w:eastAsia="方正仿宋_GBK" w:cs="方正仿宋_GBK"/>
                <w:color w:val="auto"/>
                <w:sz w:val="24"/>
                <w:szCs w:val="24"/>
                <w:highlight w:val="none"/>
                <w:lang w:val="en-US" w:eastAsia="zh-CN"/>
              </w:rPr>
              <w:t>7</w:t>
            </w:r>
          </w:p>
        </w:tc>
        <w:tc>
          <w:tcPr>
            <w:tcW w:w="1446" w:type="dxa"/>
            <w:tcBorders>
              <w:top w:val="single" w:color="000000" w:sz="4" w:space="0"/>
              <w:left w:val="single" w:color="000000" w:sz="4" w:space="0"/>
              <w:bottom w:val="single" w:color="000000" w:sz="4" w:space="0"/>
              <w:right w:val="single" w:color="000000" w:sz="4" w:space="0"/>
            </w:tcBorders>
            <w:vAlign w:val="center"/>
          </w:tcPr>
          <w:p w14:paraId="1228E2AB">
            <w:pPr>
              <w:keepNext w:val="0"/>
              <w:keepLines w:val="0"/>
              <w:pageBreakBefore w:val="0"/>
              <w:widowControl w:val="0"/>
              <w:kinsoku/>
              <w:wordWrap/>
              <w:overflowPunct/>
              <w:topLinePunct w:val="0"/>
              <w:autoSpaceDE/>
              <w:autoSpaceDN/>
              <w:bidi w:val="0"/>
              <w:adjustRightInd/>
              <w:snapToGrid w:val="0"/>
              <w:spacing w:line="400" w:lineRule="exact"/>
              <w:ind w:firstLine="0" w:firstLineChars="0"/>
              <w:jc w:val="center"/>
              <w:textAlignment w:val="auto"/>
              <w:rPr>
                <w:rFonts w:hint="eastAsia" w:ascii="方正仿宋_GBK" w:hAnsi="方正仿宋_GBK" w:eastAsia="方正仿宋_GBK" w:cs="方正仿宋_GBK"/>
                <w:color w:val="auto"/>
                <w:sz w:val="24"/>
                <w:szCs w:val="24"/>
                <w:highlight w:val="none"/>
                <w:lang w:val="en-US" w:eastAsia="zh-CN"/>
              </w:rPr>
            </w:pPr>
            <w:r>
              <w:rPr>
                <w:rFonts w:hint="eastAsia" w:ascii="方正仿宋_GBK" w:hAnsi="方正仿宋_GBK" w:eastAsia="方正仿宋_GBK" w:cs="方正仿宋_GBK"/>
                <w:color w:val="auto"/>
                <w:sz w:val="24"/>
                <w:szCs w:val="24"/>
                <w:highlight w:val="none"/>
                <w:lang w:val="en-US" w:eastAsia="zh-CN"/>
              </w:rPr>
              <w:t>运行保障和售后支持</w:t>
            </w:r>
          </w:p>
        </w:tc>
        <w:tc>
          <w:tcPr>
            <w:tcW w:w="6174" w:type="dxa"/>
            <w:tcBorders>
              <w:top w:val="single" w:color="000000" w:sz="4" w:space="0"/>
              <w:left w:val="single" w:color="000000" w:sz="4" w:space="0"/>
              <w:bottom w:val="single" w:color="000000" w:sz="4" w:space="0"/>
              <w:right w:val="single" w:color="000000" w:sz="4" w:space="0"/>
            </w:tcBorders>
            <w:vAlign w:val="center"/>
          </w:tcPr>
          <w:p w14:paraId="5F10FFD3">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both"/>
              <w:textAlignment w:val="auto"/>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1、技术服务：自平台安装之日起，5个工作日内完成平台的部署。</w:t>
            </w:r>
          </w:p>
          <w:p w14:paraId="21CD2C48">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both"/>
              <w:textAlignment w:val="auto"/>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2、售后支持：对平台和资源使用，提供免费升级服务，包括现场支持、电话支持、远程支持等，服务要求按照售后服务要求执行。</w:t>
            </w:r>
          </w:p>
          <w:p w14:paraId="55560B0D">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both"/>
              <w:textAlignment w:val="auto"/>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3、提供平台使用说明及操作等培训，并且每年不定期开展不少于2次的平台使用宣传推广和平台使用培训会，不少于2次体验和宣传推广活动，活动内容和活动形式由采购人指定。</w:t>
            </w:r>
          </w:p>
          <w:p w14:paraId="55238BD0">
            <w:pPr>
              <w:keepNext w:val="0"/>
              <w:keepLines w:val="0"/>
              <w:pageBreakBefore w:val="0"/>
              <w:widowControl w:val="0"/>
              <w:numPr>
                <w:ilvl w:val="0"/>
                <w:numId w:val="0"/>
              </w:numPr>
              <w:kinsoku/>
              <w:wordWrap/>
              <w:overflowPunct/>
              <w:topLinePunct w:val="0"/>
              <w:autoSpaceDE/>
              <w:autoSpaceDN/>
              <w:bidi w:val="0"/>
              <w:adjustRightInd/>
              <w:snapToGrid/>
              <w:spacing w:line="240" w:lineRule="exact"/>
              <w:jc w:val="both"/>
              <w:textAlignment w:val="auto"/>
              <w:rPr>
                <w:rFonts w:hint="eastAsia" w:ascii="方正仿宋_GBK" w:hAnsi="方正仿宋_GBK" w:eastAsia="方正仿宋_GBK" w:cs="方正仿宋_GBK"/>
                <w:color w:val="auto"/>
                <w:sz w:val="21"/>
                <w:szCs w:val="21"/>
                <w:highlight w:val="none"/>
                <w:lang w:val="en-US" w:eastAsia="zh-CN"/>
              </w:rPr>
            </w:pPr>
            <w:r>
              <w:rPr>
                <w:rFonts w:hint="eastAsia" w:ascii="方正仿宋_GBK" w:hAnsi="方正仿宋_GBK" w:eastAsia="方正仿宋_GBK" w:cs="方正仿宋_GBK"/>
                <w:color w:val="auto"/>
                <w:sz w:val="21"/>
                <w:szCs w:val="21"/>
                <w:highlight w:val="none"/>
                <w:lang w:val="en-US" w:eastAsia="zh-CN"/>
              </w:rPr>
              <w:t>4、本次项目所涉硬件设备在保修范围内支持产品免费保修一年，终生维修。</w:t>
            </w:r>
          </w:p>
        </w:tc>
        <w:tc>
          <w:tcPr>
            <w:tcW w:w="705" w:type="dxa"/>
            <w:tcBorders>
              <w:top w:val="single" w:color="000000" w:sz="4" w:space="0"/>
              <w:left w:val="single" w:color="000000" w:sz="4" w:space="0"/>
              <w:bottom w:val="single" w:color="000000" w:sz="4" w:space="0"/>
              <w:right w:val="single" w:color="000000" w:sz="4" w:space="0"/>
            </w:tcBorders>
            <w:vAlign w:val="center"/>
          </w:tcPr>
          <w:p w14:paraId="5C424733">
            <w:pPr>
              <w:keepNext w:val="0"/>
              <w:keepLines w:val="0"/>
              <w:pageBreakBefore w:val="0"/>
              <w:widowControl w:val="0"/>
              <w:kinsoku/>
              <w:wordWrap/>
              <w:overflowPunct/>
              <w:topLinePunct w:val="0"/>
              <w:autoSpaceDE/>
              <w:autoSpaceDN/>
              <w:bidi w:val="0"/>
              <w:adjustRightInd/>
              <w:snapToGrid w:val="0"/>
              <w:spacing w:line="400" w:lineRule="exact"/>
              <w:ind w:firstLine="0" w:firstLineChars="0"/>
              <w:jc w:val="center"/>
              <w:textAlignment w:val="auto"/>
              <w:rPr>
                <w:rFonts w:hint="eastAsia" w:ascii="方正仿宋_GBK" w:hAnsi="方正仿宋_GBK" w:eastAsia="方正仿宋_GBK" w:cs="方正仿宋_GBK"/>
                <w:color w:val="auto"/>
                <w:sz w:val="24"/>
                <w:szCs w:val="24"/>
                <w:highlight w:val="none"/>
                <w:lang w:val="en-US" w:eastAsia="zh-CN"/>
              </w:rPr>
            </w:pPr>
            <w:r>
              <w:rPr>
                <w:rFonts w:hint="eastAsia" w:ascii="方正仿宋_GBK" w:hAnsi="方正仿宋_GBK" w:eastAsia="方正仿宋_GBK" w:cs="方正仿宋_GBK"/>
                <w:color w:val="auto"/>
                <w:sz w:val="24"/>
                <w:szCs w:val="24"/>
                <w:highlight w:val="none"/>
                <w:lang w:val="en-US" w:eastAsia="zh-CN"/>
              </w:rPr>
              <w:t>1套</w:t>
            </w:r>
          </w:p>
        </w:tc>
        <w:tc>
          <w:tcPr>
            <w:tcW w:w="640" w:type="dxa"/>
            <w:tcBorders>
              <w:top w:val="single" w:color="000000" w:sz="4" w:space="0"/>
              <w:left w:val="single" w:color="000000" w:sz="4" w:space="0"/>
              <w:bottom w:val="single" w:color="000000" w:sz="4" w:space="0"/>
              <w:right w:val="single" w:color="000000" w:sz="4" w:space="0"/>
            </w:tcBorders>
            <w:vAlign w:val="center"/>
          </w:tcPr>
          <w:p w14:paraId="4EC4CC6D">
            <w:pPr>
              <w:keepNext w:val="0"/>
              <w:keepLines w:val="0"/>
              <w:pageBreakBefore w:val="0"/>
              <w:widowControl w:val="0"/>
              <w:kinsoku/>
              <w:wordWrap/>
              <w:overflowPunct/>
              <w:topLinePunct w:val="0"/>
              <w:autoSpaceDE/>
              <w:autoSpaceDN/>
              <w:bidi w:val="0"/>
              <w:adjustRightInd/>
              <w:snapToGrid w:val="0"/>
              <w:spacing w:line="400" w:lineRule="exact"/>
              <w:ind w:firstLine="0" w:firstLineChars="0"/>
              <w:jc w:val="center"/>
              <w:textAlignment w:val="auto"/>
              <w:rPr>
                <w:rFonts w:hint="eastAsia" w:ascii="方正仿宋_GBK" w:hAnsi="方正仿宋_GBK" w:eastAsia="方正仿宋_GBK" w:cs="方正仿宋_GBK"/>
                <w:color w:val="auto"/>
                <w:sz w:val="24"/>
                <w:szCs w:val="24"/>
                <w:highlight w:val="none"/>
                <w:lang w:val="en-US" w:eastAsia="zh-CN"/>
              </w:rPr>
            </w:pPr>
            <w:r>
              <w:rPr>
                <w:rFonts w:hint="eastAsia" w:ascii="方正仿宋_GBK" w:hAnsi="方正仿宋_GBK" w:eastAsia="方正仿宋_GBK" w:cs="方正仿宋_GBK"/>
                <w:color w:val="auto"/>
                <w:sz w:val="24"/>
                <w:szCs w:val="24"/>
                <w:highlight w:val="none"/>
                <w:lang w:val="en-US" w:eastAsia="zh-CN"/>
              </w:rPr>
              <w:t>无</w:t>
            </w:r>
          </w:p>
        </w:tc>
      </w:tr>
    </w:tbl>
    <w:p w14:paraId="5F7C9178">
      <w:pPr>
        <w:spacing w:line="570" w:lineRule="exact"/>
        <w:ind w:firstLine="640" w:firstLineChars="200"/>
        <w:rPr>
          <w:rFonts w:ascii="方正仿宋_GBK" w:hAnsi="方正仿宋_GBK" w:eastAsia="方正仿宋_GBK" w:cs="方正仿宋_GBK"/>
          <w:sz w:val="32"/>
          <w:szCs w:val="32"/>
        </w:rPr>
      </w:pPr>
      <w:r>
        <w:rPr>
          <w:rFonts w:hint="eastAsia" w:ascii="方正黑体_GBK" w:eastAsia="方正黑体_GBK"/>
          <w:sz w:val="32"/>
          <w:szCs w:val="32"/>
        </w:rPr>
        <w:t>五、报价要求</w:t>
      </w:r>
    </w:p>
    <w:p w14:paraId="12CC92D9">
      <w:pPr>
        <w:snapToGrid w:val="0"/>
        <w:spacing w:line="570" w:lineRule="exact"/>
        <w:ind w:firstLine="640" w:firstLineChars="200"/>
      </w:pPr>
      <w:r>
        <w:rPr>
          <w:rFonts w:hint="eastAsia" w:ascii="方正仿宋_GBK" w:hAnsi="方正仿宋_GBK" w:eastAsia="方正仿宋_GBK" w:cs="方正仿宋_GBK"/>
          <w:sz w:val="32"/>
          <w:szCs w:val="32"/>
        </w:rPr>
        <w:t>1. 报价表参考格式（可根据实际情况自行调整）</w:t>
      </w:r>
    </w:p>
    <w:tbl>
      <w:tblPr>
        <w:tblStyle w:val="14"/>
        <w:tblW w:w="818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3"/>
        <w:gridCol w:w="1629"/>
        <w:gridCol w:w="1350"/>
        <w:gridCol w:w="725"/>
        <w:gridCol w:w="780"/>
        <w:gridCol w:w="735"/>
        <w:gridCol w:w="1005"/>
        <w:gridCol w:w="1251"/>
      </w:tblGrid>
      <w:tr w14:paraId="04931D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7" w:hRule="atLeast"/>
          <w:jc w:val="center"/>
        </w:trPr>
        <w:tc>
          <w:tcPr>
            <w:tcW w:w="713" w:type="dxa"/>
            <w:vAlign w:val="center"/>
          </w:tcPr>
          <w:p w14:paraId="5227D1F5">
            <w:pPr>
              <w:pStyle w:val="6"/>
              <w:jc w:val="center"/>
              <w:rPr>
                <w:rFonts w:ascii="方正仿宋_GBK" w:hAnsi="方正仿宋_GBK" w:eastAsia="方正仿宋_GBK" w:cs="方正仿宋_GBK"/>
                <w:b/>
                <w:bCs/>
              </w:rPr>
            </w:pPr>
            <w:r>
              <w:rPr>
                <w:rFonts w:hint="eastAsia" w:ascii="方正仿宋_GBK" w:hAnsi="方正仿宋_GBK" w:eastAsia="方正仿宋_GBK" w:cs="方正仿宋_GBK"/>
                <w:b/>
                <w:bCs/>
              </w:rPr>
              <w:t>序号</w:t>
            </w:r>
          </w:p>
        </w:tc>
        <w:tc>
          <w:tcPr>
            <w:tcW w:w="1629" w:type="dxa"/>
            <w:vAlign w:val="center"/>
          </w:tcPr>
          <w:p w14:paraId="39B04C0D">
            <w:pPr>
              <w:pStyle w:val="6"/>
              <w:jc w:val="center"/>
              <w:rPr>
                <w:rFonts w:ascii="方正仿宋_GBK" w:hAnsi="方正仿宋_GBK" w:eastAsia="方正仿宋_GBK" w:cs="方正仿宋_GBK"/>
                <w:b/>
                <w:bCs/>
              </w:rPr>
            </w:pPr>
            <w:r>
              <w:rPr>
                <w:rFonts w:hint="eastAsia" w:ascii="方正仿宋_GBK" w:hAnsi="方正仿宋_GBK" w:eastAsia="方正仿宋_GBK" w:cs="方正仿宋_GBK"/>
                <w:b/>
                <w:bCs/>
              </w:rPr>
              <w:t>服务物品名称</w:t>
            </w:r>
          </w:p>
        </w:tc>
        <w:tc>
          <w:tcPr>
            <w:tcW w:w="1350" w:type="dxa"/>
            <w:vAlign w:val="center"/>
          </w:tcPr>
          <w:p w14:paraId="571C3EEC">
            <w:pPr>
              <w:pStyle w:val="6"/>
              <w:jc w:val="center"/>
              <w:rPr>
                <w:rFonts w:ascii="方正仿宋_GBK" w:hAnsi="方正仿宋_GBK" w:eastAsia="方正仿宋_GBK" w:cs="方正仿宋_GBK"/>
                <w:b/>
                <w:bCs/>
              </w:rPr>
            </w:pPr>
            <w:r>
              <w:rPr>
                <w:rFonts w:hint="eastAsia" w:ascii="方正仿宋_GBK" w:hAnsi="方正仿宋_GBK" w:eastAsia="方正仿宋_GBK" w:cs="方正仿宋_GBK"/>
                <w:b/>
                <w:bCs/>
              </w:rPr>
              <w:t>参数及要求</w:t>
            </w:r>
          </w:p>
        </w:tc>
        <w:tc>
          <w:tcPr>
            <w:tcW w:w="725" w:type="dxa"/>
            <w:vAlign w:val="center"/>
          </w:tcPr>
          <w:p w14:paraId="4BAADC46">
            <w:pPr>
              <w:pStyle w:val="6"/>
              <w:jc w:val="center"/>
              <w:rPr>
                <w:rFonts w:ascii="方正仿宋_GBK" w:hAnsi="方正仿宋_GBK" w:eastAsia="方正仿宋_GBK" w:cs="方正仿宋_GBK"/>
                <w:b/>
                <w:bCs/>
              </w:rPr>
            </w:pPr>
            <w:r>
              <w:rPr>
                <w:rFonts w:hint="eastAsia" w:ascii="方正仿宋_GBK" w:hAnsi="方正仿宋_GBK" w:eastAsia="方正仿宋_GBK" w:cs="方正仿宋_GBK"/>
                <w:b/>
                <w:bCs/>
              </w:rPr>
              <w:t>单位</w:t>
            </w:r>
          </w:p>
        </w:tc>
        <w:tc>
          <w:tcPr>
            <w:tcW w:w="780" w:type="dxa"/>
            <w:vAlign w:val="center"/>
          </w:tcPr>
          <w:p w14:paraId="520D7741">
            <w:pPr>
              <w:pStyle w:val="6"/>
              <w:jc w:val="center"/>
              <w:rPr>
                <w:rFonts w:ascii="方正仿宋_GBK" w:hAnsi="方正仿宋_GBK" w:eastAsia="方正仿宋_GBK" w:cs="方正仿宋_GBK"/>
                <w:b/>
                <w:bCs/>
              </w:rPr>
            </w:pPr>
            <w:r>
              <w:rPr>
                <w:rFonts w:hint="eastAsia" w:ascii="方正仿宋_GBK" w:hAnsi="方正仿宋_GBK" w:eastAsia="方正仿宋_GBK" w:cs="方正仿宋_GBK"/>
                <w:b/>
                <w:bCs/>
              </w:rPr>
              <w:t>数量</w:t>
            </w:r>
          </w:p>
        </w:tc>
        <w:tc>
          <w:tcPr>
            <w:tcW w:w="735" w:type="dxa"/>
            <w:vAlign w:val="center"/>
          </w:tcPr>
          <w:p w14:paraId="34EB32D2">
            <w:pPr>
              <w:pStyle w:val="6"/>
              <w:jc w:val="center"/>
              <w:rPr>
                <w:rFonts w:ascii="方正仿宋_GBK" w:hAnsi="方正仿宋_GBK" w:eastAsia="方正仿宋_GBK" w:cs="方正仿宋_GBK"/>
                <w:b/>
                <w:bCs/>
              </w:rPr>
            </w:pPr>
            <w:r>
              <w:rPr>
                <w:rFonts w:hint="eastAsia" w:ascii="方正仿宋_GBK" w:hAnsi="方正仿宋_GBK" w:eastAsia="方正仿宋_GBK" w:cs="方正仿宋_GBK"/>
                <w:b/>
                <w:bCs/>
              </w:rPr>
              <w:t>单价</w:t>
            </w:r>
          </w:p>
        </w:tc>
        <w:tc>
          <w:tcPr>
            <w:tcW w:w="1005" w:type="dxa"/>
            <w:vAlign w:val="center"/>
          </w:tcPr>
          <w:p w14:paraId="633980B6">
            <w:pPr>
              <w:pStyle w:val="6"/>
              <w:jc w:val="center"/>
              <w:rPr>
                <w:rFonts w:ascii="方正仿宋_GBK" w:hAnsi="方正仿宋_GBK" w:eastAsia="方正仿宋_GBK" w:cs="方正仿宋_GBK"/>
                <w:b/>
                <w:bCs/>
              </w:rPr>
            </w:pPr>
            <w:r>
              <w:rPr>
                <w:rFonts w:hint="eastAsia" w:ascii="方正仿宋_GBK" w:hAnsi="方正仿宋_GBK" w:eastAsia="方正仿宋_GBK" w:cs="方正仿宋_GBK"/>
                <w:b/>
                <w:bCs/>
              </w:rPr>
              <w:t>总价</w:t>
            </w:r>
          </w:p>
        </w:tc>
        <w:tc>
          <w:tcPr>
            <w:tcW w:w="1251" w:type="dxa"/>
            <w:vAlign w:val="center"/>
          </w:tcPr>
          <w:p w14:paraId="0903D241">
            <w:pPr>
              <w:pStyle w:val="6"/>
              <w:jc w:val="center"/>
              <w:rPr>
                <w:rFonts w:ascii="方正仿宋_GBK" w:hAnsi="方正仿宋_GBK" w:eastAsia="方正仿宋_GBK" w:cs="方正仿宋_GBK"/>
                <w:b/>
                <w:bCs/>
              </w:rPr>
            </w:pPr>
            <w:r>
              <w:rPr>
                <w:rFonts w:hint="eastAsia" w:ascii="方正仿宋_GBK" w:hAnsi="方正仿宋_GBK" w:eastAsia="方正仿宋_GBK" w:cs="方正仿宋_GBK"/>
                <w:b/>
                <w:bCs/>
              </w:rPr>
              <w:t>备注信息</w:t>
            </w:r>
          </w:p>
        </w:tc>
      </w:tr>
      <w:tr w14:paraId="763DA3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3" w:type="dxa"/>
            <w:vAlign w:val="center"/>
          </w:tcPr>
          <w:p w14:paraId="40C871BB">
            <w:pPr>
              <w:pStyle w:val="6"/>
              <w:jc w:val="center"/>
              <w:rPr>
                <w:rFonts w:ascii="方正仿宋_GBK" w:hAnsi="方正仿宋_GBK" w:eastAsia="方正仿宋_GBK" w:cs="方正仿宋_GBK"/>
              </w:rPr>
            </w:pPr>
            <w:r>
              <w:rPr>
                <w:rFonts w:hint="eastAsia" w:ascii="方正仿宋_GBK" w:hAnsi="方正仿宋_GBK" w:eastAsia="方正仿宋_GBK" w:cs="方正仿宋_GBK"/>
              </w:rPr>
              <w:t>1</w:t>
            </w:r>
          </w:p>
        </w:tc>
        <w:tc>
          <w:tcPr>
            <w:tcW w:w="1629" w:type="dxa"/>
            <w:vAlign w:val="center"/>
          </w:tcPr>
          <w:p w14:paraId="00E93E77">
            <w:pPr>
              <w:pStyle w:val="6"/>
              <w:jc w:val="center"/>
              <w:rPr>
                <w:rFonts w:ascii="方正仿宋_GBK" w:hAnsi="方正仿宋_GBK" w:eastAsia="方正仿宋_GBK" w:cs="方正仿宋_GBK"/>
              </w:rPr>
            </w:pPr>
          </w:p>
        </w:tc>
        <w:tc>
          <w:tcPr>
            <w:tcW w:w="1350" w:type="dxa"/>
            <w:vAlign w:val="center"/>
          </w:tcPr>
          <w:p w14:paraId="49538606">
            <w:pPr>
              <w:pStyle w:val="6"/>
              <w:jc w:val="center"/>
              <w:rPr>
                <w:rFonts w:ascii="方正仿宋_GBK" w:hAnsi="方正仿宋_GBK" w:eastAsia="方正仿宋_GBK" w:cs="方正仿宋_GBK"/>
              </w:rPr>
            </w:pPr>
          </w:p>
        </w:tc>
        <w:tc>
          <w:tcPr>
            <w:tcW w:w="725" w:type="dxa"/>
            <w:vAlign w:val="center"/>
          </w:tcPr>
          <w:p w14:paraId="0E74304D">
            <w:pPr>
              <w:pStyle w:val="6"/>
              <w:jc w:val="center"/>
              <w:rPr>
                <w:rFonts w:ascii="方正仿宋_GBK" w:hAnsi="方正仿宋_GBK" w:eastAsia="方正仿宋_GBK" w:cs="方正仿宋_GBK"/>
              </w:rPr>
            </w:pPr>
          </w:p>
        </w:tc>
        <w:tc>
          <w:tcPr>
            <w:tcW w:w="780" w:type="dxa"/>
            <w:vAlign w:val="center"/>
          </w:tcPr>
          <w:p w14:paraId="51016012">
            <w:pPr>
              <w:pStyle w:val="6"/>
              <w:jc w:val="center"/>
              <w:rPr>
                <w:rFonts w:ascii="方正仿宋_GBK" w:hAnsi="方正仿宋_GBK" w:eastAsia="方正仿宋_GBK" w:cs="方正仿宋_GBK"/>
              </w:rPr>
            </w:pPr>
          </w:p>
        </w:tc>
        <w:tc>
          <w:tcPr>
            <w:tcW w:w="735" w:type="dxa"/>
            <w:vAlign w:val="center"/>
          </w:tcPr>
          <w:p w14:paraId="34D57EE6">
            <w:pPr>
              <w:pStyle w:val="6"/>
              <w:jc w:val="center"/>
              <w:rPr>
                <w:rFonts w:ascii="方正仿宋_GBK" w:hAnsi="方正仿宋_GBK" w:eastAsia="方正仿宋_GBK" w:cs="方正仿宋_GBK"/>
              </w:rPr>
            </w:pPr>
          </w:p>
        </w:tc>
        <w:tc>
          <w:tcPr>
            <w:tcW w:w="1005" w:type="dxa"/>
            <w:vAlign w:val="center"/>
          </w:tcPr>
          <w:p w14:paraId="4F342577">
            <w:pPr>
              <w:pStyle w:val="6"/>
              <w:jc w:val="center"/>
              <w:rPr>
                <w:rFonts w:ascii="方正仿宋_GBK" w:hAnsi="方正仿宋_GBK" w:eastAsia="方正仿宋_GBK" w:cs="方正仿宋_GBK"/>
              </w:rPr>
            </w:pPr>
          </w:p>
        </w:tc>
        <w:tc>
          <w:tcPr>
            <w:tcW w:w="1251" w:type="dxa"/>
            <w:vAlign w:val="center"/>
          </w:tcPr>
          <w:p w14:paraId="3554B1BD">
            <w:pPr>
              <w:pStyle w:val="6"/>
              <w:jc w:val="center"/>
              <w:rPr>
                <w:rFonts w:ascii="方正仿宋_GBK" w:hAnsi="方正仿宋_GBK" w:eastAsia="方正仿宋_GBK" w:cs="方正仿宋_GBK"/>
              </w:rPr>
            </w:pPr>
          </w:p>
        </w:tc>
      </w:tr>
      <w:tr w14:paraId="1AABFBF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3" w:type="dxa"/>
            <w:vAlign w:val="center"/>
          </w:tcPr>
          <w:p w14:paraId="55C9C331">
            <w:pPr>
              <w:pStyle w:val="6"/>
              <w:jc w:val="center"/>
              <w:rPr>
                <w:rFonts w:ascii="方正仿宋_GBK" w:hAnsi="方正仿宋_GBK" w:eastAsia="方正仿宋_GBK" w:cs="方正仿宋_GBK"/>
              </w:rPr>
            </w:pPr>
            <w:r>
              <w:rPr>
                <w:rFonts w:hint="eastAsia" w:ascii="方正仿宋_GBK" w:hAnsi="方正仿宋_GBK" w:eastAsia="方正仿宋_GBK" w:cs="方正仿宋_GBK"/>
              </w:rPr>
              <w:t>2</w:t>
            </w:r>
          </w:p>
        </w:tc>
        <w:tc>
          <w:tcPr>
            <w:tcW w:w="1629" w:type="dxa"/>
            <w:vAlign w:val="center"/>
          </w:tcPr>
          <w:p w14:paraId="3FD4E69B">
            <w:pPr>
              <w:pStyle w:val="6"/>
              <w:jc w:val="center"/>
              <w:rPr>
                <w:rFonts w:ascii="方正仿宋_GBK" w:hAnsi="方正仿宋_GBK" w:eastAsia="方正仿宋_GBK" w:cs="方正仿宋_GBK"/>
              </w:rPr>
            </w:pPr>
          </w:p>
        </w:tc>
        <w:tc>
          <w:tcPr>
            <w:tcW w:w="1350" w:type="dxa"/>
            <w:vAlign w:val="center"/>
          </w:tcPr>
          <w:p w14:paraId="0D965C55">
            <w:pPr>
              <w:pStyle w:val="6"/>
              <w:jc w:val="center"/>
              <w:rPr>
                <w:rFonts w:ascii="方正仿宋_GBK" w:hAnsi="方正仿宋_GBK" w:eastAsia="方正仿宋_GBK" w:cs="方正仿宋_GBK"/>
              </w:rPr>
            </w:pPr>
          </w:p>
        </w:tc>
        <w:tc>
          <w:tcPr>
            <w:tcW w:w="725" w:type="dxa"/>
            <w:vAlign w:val="center"/>
          </w:tcPr>
          <w:p w14:paraId="7509C2B4">
            <w:pPr>
              <w:pStyle w:val="6"/>
              <w:jc w:val="center"/>
              <w:rPr>
                <w:rFonts w:ascii="方正仿宋_GBK" w:hAnsi="方正仿宋_GBK" w:eastAsia="方正仿宋_GBK" w:cs="方正仿宋_GBK"/>
              </w:rPr>
            </w:pPr>
          </w:p>
        </w:tc>
        <w:tc>
          <w:tcPr>
            <w:tcW w:w="780" w:type="dxa"/>
            <w:vAlign w:val="center"/>
          </w:tcPr>
          <w:p w14:paraId="62F5F0B6">
            <w:pPr>
              <w:pStyle w:val="6"/>
              <w:jc w:val="center"/>
              <w:rPr>
                <w:rFonts w:ascii="方正仿宋_GBK" w:hAnsi="方正仿宋_GBK" w:eastAsia="方正仿宋_GBK" w:cs="方正仿宋_GBK"/>
              </w:rPr>
            </w:pPr>
          </w:p>
        </w:tc>
        <w:tc>
          <w:tcPr>
            <w:tcW w:w="735" w:type="dxa"/>
            <w:vAlign w:val="center"/>
          </w:tcPr>
          <w:p w14:paraId="252BFCFE">
            <w:pPr>
              <w:pStyle w:val="6"/>
              <w:jc w:val="center"/>
              <w:rPr>
                <w:rFonts w:ascii="方正仿宋_GBK" w:hAnsi="方正仿宋_GBK" w:eastAsia="方正仿宋_GBK" w:cs="方正仿宋_GBK"/>
              </w:rPr>
            </w:pPr>
          </w:p>
        </w:tc>
        <w:tc>
          <w:tcPr>
            <w:tcW w:w="1005" w:type="dxa"/>
            <w:vAlign w:val="center"/>
          </w:tcPr>
          <w:p w14:paraId="58B04938">
            <w:pPr>
              <w:pStyle w:val="6"/>
              <w:jc w:val="center"/>
              <w:rPr>
                <w:rFonts w:ascii="方正仿宋_GBK" w:hAnsi="方正仿宋_GBK" w:eastAsia="方正仿宋_GBK" w:cs="方正仿宋_GBK"/>
              </w:rPr>
            </w:pPr>
          </w:p>
        </w:tc>
        <w:tc>
          <w:tcPr>
            <w:tcW w:w="1251" w:type="dxa"/>
            <w:vAlign w:val="center"/>
          </w:tcPr>
          <w:p w14:paraId="16E0A61D">
            <w:pPr>
              <w:pStyle w:val="6"/>
              <w:jc w:val="center"/>
              <w:rPr>
                <w:rFonts w:ascii="方正仿宋_GBK" w:hAnsi="方正仿宋_GBK" w:eastAsia="方正仿宋_GBK" w:cs="方正仿宋_GBK"/>
              </w:rPr>
            </w:pPr>
          </w:p>
        </w:tc>
      </w:tr>
      <w:tr w14:paraId="479800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13" w:type="dxa"/>
            <w:vAlign w:val="center"/>
          </w:tcPr>
          <w:p w14:paraId="75704DCE">
            <w:pPr>
              <w:pStyle w:val="6"/>
              <w:jc w:val="center"/>
              <w:rPr>
                <w:rFonts w:ascii="方正仿宋_GBK" w:hAnsi="方正仿宋_GBK" w:eastAsia="方正仿宋_GBK" w:cs="方正仿宋_GBK"/>
              </w:rPr>
            </w:pPr>
            <w:r>
              <w:rPr>
                <w:rFonts w:hint="eastAsia" w:ascii="方正仿宋_GBK" w:hAnsi="方正仿宋_GBK" w:eastAsia="方正仿宋_GBK" w:cs="方正仿宋_GBK"/>
              </w:rPr>
              <w:t>3</w:t>
            </w:r>
          </w:p>
        </w:tc>
        <w:tc>
          <w:tcPr>
            <w:tcW w:w="1629" w:type="dxa"/>
            <w:vAlign w:val="center"/>
          </w:tcPr>
          <w:p w14:paraId="4AAE96CC">
            <w:pPr>
              <w:pStyle w:val="6"/>
              <w:jc w:val="center"/>
              <w:rPr>
                <w:rFonts w:ascii="方正仿宋_GBK" w:hAnsi="方正仿宋_GBK" w:eastAsia="方正仿宋_GBK" w:cs="方正仿宋_GBK"/>
              </w:rPr>
            </w:pPr>
          </w:p>
        </w:tc>
        <w:tc>
          <w:tcPr>
            <w:tcW w:w="1350" w:type="dxa"/>
            <w:vAlign w:val="center"/>
          </w:tcPr>
          <w:p w14:paraId="675E9322">
            <w:pPr>
              <w:pStyle w:val="6"/>
              <w:jc w:val="center"/>
              <w:rPr>
                <w:rFonts w:ascii="方正仿宋_GBK" w:hAnsi="方正仿宋_GBK" w:eastAsia="方正仿宋_GBK" w:cs="方正仿宋_GBK"/>
              </w:rPr>
            </w:pPr>
          </w:p>
        </w:tc>
        <w:tc>
          <w:tcPr>
            <w:tcW w:w="725" w:type="dxa"/>
            <w:vAlign w:val="center"/>
          </w:tcPr>
          <w:p w14:paraId="107E6249">
            <w:pPr>
              <w:pStyle w:val="6"/>
              <w:jc w:val="center"/>
              <w:rPr>
                <w:rFonts w:ascii="方正仿宋_GBK" w:hAnsi="方正仿宋_GBK" w:eastAsia="方正仿宋_GBK" w:cs="方正仿宋_GBK"/>
              </w:rPr>
            </w:pPr>
          </w:p>
        </w:tc>
        <w:tc>
          <w:tcPr>
            <w:tcW w:w="780" w:type="dxa"/>
            <w:vAlign w:val="center"/>
          </w:tcPr>
          <w:p w14:paraId="4475535C">
            <w:pPr>
              <w:pStyle w:val="6"/>
              <w:jc w:val="center"/>
              <w:rPr>
                <w:rFonts w:ascii="方正仿宋_GBK" w:hAnsi="方正仿宋_GBK" w:eastAsia="方正仿宋_GBK" w:cs="方正仿宋_GBK"/>
              </w:rPr>
            </w:pPr>
          </w:p>
        </w:tc>
        <w:tc>
          <w:tcPr>
            <w:tcW w:w="735" w:type="dxa"/>
            <w:vAlign w:val="center"/>
          </w:tcPr>
          <w:p w14:paraId="36F77FE1">
            <w:pPr>
              <w:pStyle w:val="6"/>
              <w:jc w:val="center"/>
              <w:rPr>
                <w:rFonts w:ascii="方正仿宋_GBK" w:hAnsi="方正仿宋_GBK" w:eastAsia="方正仿宋_GBK" w:cs="方正仿宋_GBK"/>
              </w:rPr>
            </w:pPr>
          </w:p>
        </w:tc>
        <w:tc>
          <w:tcPr>
            <w:tcW w:w="1005" w:type="dxa"/>
            <w:vAlign w:val="center"/>
          </w:tcPr>
          <w:p w14:paraId="1CCB93D4">
            <w:pPr>
              <w:pStyle w:val="6"/>
              <w:jc w:val="center"/>
              <w:rPr>
                <w:rFonts w:ascii="方正仿宋_GBK" w:hAnsi="方正仿宋_GBK" w:eastAsia="方正仿宋_GBK" w:cs="方正仿宋_GBK"/>
              </w:rPr>
            </w:pPr>
          </w:p>
        </w:tc>
        <w:tc>
          <w:tcPr>
            <w:tcW w:w="1251" w:type="dxa"/>
            <w:vAlign w:val="center"/>
          </w:tcPr>
          <w:p w14:paraId="0B78EDE7">
            <w:pPr>
              <w:pStyle w:val="6"/>
              <w:jc w:val="center"/>
              <w:rPr>
                <w:rFonts w:ascii="方正仿宋_GBK" w:hAnsi="方正仿宋_GBK" w:eastAsia="方正仿宋_GBK" w:cs="方正仿宋_GBK"/>
              </w:rPr>
            </w:pPr>
          </w:p>
        </w:tc>
      </w:tr>
      <w:tr w14:paraId="7FE1A9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5932" w:type="dxa"/>
            <w:gridSpan w:val="6"/>
            <w:vAlign w:val="center"/>
          </w:tcPr>
          <w:p w14:paraId="3D31494F">
            <w:pPr>
              <w:pStyle w:val="6"/>
              <w:jc w:val="right"/>
              <w:rPr>
                <w:rFonts w:ascii="方正仿宋_GBK" w:hAnsi="方正仿宋_GBK" w:eastAsia="方正仿宋_GBK" w:cs="方正仿宋_GBK"/>
              </w:rPr>
            </w:pPr>
            <w:r>
              <w:rPr>
                <w:rFonts w:hint="eastAsia" w:ascii="方正仿宋_GBK" w:hAnsi="方正仿宋_GBK" w:eastAsia="方正仿宋_GBK" w:cs="方正仿宋_GBK"/>
              </w:rPr>
              <w:t>合计</w:t>
            </w:r>
          </w:p>
        </w:tc>
        <w:tc>
          <w:tcPr>
            <w:tcW w:w="1005" w:type="dxa"/>
            <w:vAlign w:val="center"/>
          </w:tcPr>
          <w:p w14:paraId="1E50D901">
            <w:pPr>
              <w:pStyle w:val="6"/>
              <w:jc w:val="center"/>
              <w:rPr>
                <w:rFonts w:ascii="方正仿宋_GBK" w:hAnsi="方正仿宋_GBK" w:eastAsia="方正仿宋_GBK" w:cs="方正仿宋_GBK"/>
              </w:rPr>
            </w:pPr>
          </w:p>
        </w:tc>
        <w:tc>
          <w:tcPr>
            <w:tcW w:w="1251" w:type="dxa"/>
            <w:vAlign w:val="center"/>
          </w:tcPr>
          <w:p w14:paraId="40C60971">
            <w:pPr>
              <w:pStyle w:val="6"/>
              <w:jc w:val="center"/>
              <w:rPr>
                <w:rFonts w:ascii="方正仿宋_GBK" w:hAnsi="方正仿宋_GBK" w:eastAsia="方正仿宋_GBK" w:cs="方正仿宋_GBK"/>
              </w:rPr>
            </w:pPr>
          </w:p>
        </w:tc>
      </w:tr>
    </w:tbl>
    <w:p w14:paraId="0934CA19">
      <w:pPr>
        <w:snapToGrid w:val="0"/>
        <w:spacing w:line="570" w:lineRule="exact"/>
        <w:ind w:firstLine="64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2. 报价文件</w:t>
      </w:r>
    </w:p>
    <w:p w14:paraId="5B371221">
      <w:pPr>
        <w:snapToGrid w:val="0"/>
        <w:spacing w:line="570" w:lineRule="exact"/>
        <w:ind w:firstLine="64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电子扫描版请发送至邮箱mail@bnlib.cn，纸质版寄送至巴南区图书馆龙洲湾总馆。</w:t>
      </w:r>
    </w:p>
    <w:p w14:paraId="0B477DF6">
      <w:pPr>
        <w:snapToGrid w:val="0"/>
        <w:spacing w:line="570" w:lineRule="exact"/>
        <w:ind w:firstLine="64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3. 邮寄信息</w:t>
      </w:r>
    </w:p>
    <w:p w14:paraId="26701D52">
      <w:pPr>
        <w:snapToGrid w:val="0"/>
        <w:spacing w:line="570" w:lineRule="exact"/>
        <w:ind w:firstLine="64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收件人：周老师（023-66281713）</w:t>
      </w:r>
    </w:p>
    <w:p w14:paraId="1181D5B6">
      <w:pPr>
        <w:snapToGrid w:val="0"/>
        <w:spacing w:line="570" w:lineRule="exact"/>
        <w:ind w:firstLine="64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地址：重庆市巴南区龙洲湾巴南文化艺术中心。</w:t>
      </w:r>
    </w:p>
    <w:p w14:paraId="0762D540">
      <w:pPr>
        <w:snapToGrid w:val="0"/>
        <w:spacing w:line="570" w:lineRule="exact"/>
        <w:ind w:firstLine="64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4. 报价时间</w:t>
      </w:r>
    </w:p>
    <w:p w14:paraId="6B6F13B3">
      <w:pPr>
        <w:snapToGrid w:val="0"/>
        <w:spacing w:line="570" w:lineRule="exact"/>
        <w:ind w:firstLine="64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报价截止时间202</w:t>
      </w:r>
      <w:r>
        <w:rPr>
          <w:rFonts w:hint="eastAsia" w:ascii="方正仿宋_GBK" w:hAnsi="方正仿宋_GBK" w:eastAsia="方正仿宋_GBK" w:cs="方正仿宋_GBK"/>
          <w:sz w:val="32"/>
          <w:szCs w:val="32"/>
          <w:lang w:val="en-US" w:eastAsia="zh-CN"/>
        </w:rPr>
        <w:t>5</w:t>
      </w:r>
      <w:r>
        <w:rPr>
          <w:rFonts w:hint="eastAsia" w:ascii="方正仿宋_GBK" w:hAnsi="方正仿宋_GBK" w:eastAsia="方正仿宋_GBK" w:cs="方正仿宋_GBK"/>
          <w:sz w:val="32"/>
          <w:szCs w:val="32"/>
        </w:rPr>
        <w:t>年</w:t>
      </w:r>
      <w:r>
        <w:rPr>
          <w:rFonts w:hint="eastAsia" w:ascii="方正仿宋_GBK" w:hAnsi="方正仿宋_GBK" w:eastAsia="方正仿宋_GBK" w:cs="方正仿宋_GBK"/>
          <w:sz w:val="32"/>
          <w:szCs w:val="32"/>
          <w:lang w:val="en-US" w:eastAsia="zh-CN"/>
        </w:rPr>
        <w:t>12</w:t>
      </w:r>
      <w:r>
        <w:rPr>
          <w:rFonts w:hint="eastAsia" w:ascii="方正仿宋_GBK" w:hAnsi="方正仿宋_GBK" w:eastAsia="方正仿宋_GBK" w:cs="方正仿宋_GBK"/>
          <w:sz w:val="32"/>
          <w:szCs w:val="32"/>
        </w:rPr>
        <w:t>月</w:t>
      </w:r>
      <w:r>
        <w:rPr>
          <w:rFonts w:hint="eastAsia" w:ascii="方正仿宋_GBK" w:hAnsi="方正仿宋_GBK" w:eastAsia="方正仿宋_GBK" w:cs="方正仿宋_GBK"/>
          <w:sz w:val="32"/>
          <w:szCs w:val="32"/>
          <w:lang w:val="en-US" w:eastAsia="zh-CN"/>
        </w:rPr>
        <w:t>15</w:t>
      </w:r>
      <w:r>
        <w:rPr>
          <w:rFonts w:hint="eastAsia" w:ascii="方正仿宋_GBK" w:hAnsi="方正仿宋_GBK" w:eastAsia="方正仿宋_GBK" w:cs="方正仿宋_GBK"/>
          <w:sz w:val="32"/>
          <w:szCs w:val="32"/>
        </w:rPr>
        <w:t>日上午9点。</w:t>
      </w:r>
    </w:p>
    <w:p w14:paraId="628238BD">
      <w:pPr>
        <w:snapToGrid w:val="0"/>
        <w:spacing w:line="570" w:lineRule="exact"/>
        <w:ind w:firstLine="640" w:firstLineChars="200"/>
        <w:rPr>
          <w:rFonts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5. 报价要求</w:t>
      </w:r>
    </w:p>
    <w:p w14:paraId="14A8E4D0">
      <w:pPr>
        <w:snapToGrid w:val="0"/>
        <w:spacing w:line="570" w:lineRule="exact"/>
        <w:ind w:firstLine="640" w:firstLineChars="200"/>
        <w:rPr>
          <w:rFonts w:ascii="方正仿宋_GBK" w:hAnsi="方正仿宋_GBK" w:eastAsia="方正仿宋_GBK" w:cs="方正仿宋_GBK"/>
          <w:sz w:val="32"/>
          <w:szCs w:val="32"/>
        </w:rPr>
      </w:pPr>
      <w:r>
        <w:rPr>
          <w:rFonts w:ascii="方正仿宋_GBK" w:hAnsi="方正仿宋_GBK" w:eastAsia="方正仿宋_GBK" w:cs="方正仿宋_GBK"/>
          <w:sz w:val="32"/>
          <w:szCs w:val="32"/>
        </w:rPr>
        <w:t>报价应包含人工、管理费及税金等该项目涉及的一切费用，以人民币结算。</w:t>
      </w:r>
    </w:p>
    <w:p w14:paraId="48EB970F">
      <w:pPr>
        <w:pStyle w:val="4"/>
      </w:pPr>
    </w:p>
    <w:sectPr>
      <w:footerReference r:id="rId3" w:type="default"/>
      <w:pgSz w:w="11906" w:h="16838"/>
      <w:pgMar w:top="1440" w:right="1080" w:bottom="1440" w:left="1080" w:header="851" w:footer="992" w:gutter="0"/>
      <w:cols w:space="0" w:num="1"/>
      <w:docGrid w:type="lines" w:linePitch="318"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_GBK">
    <w:panose1 w:val="03000509000000000000"/>
    <w:charset w:val="86"/>
    <w:family w:val="auto"/>
    <w:pitch w:val="default"/>
    <w:sig w:usb0="00000001" w:usb1="080E0000" w:usb2="00000000" w:usb3="00000000" w:csb0="00040000" w:csb1="00000000"/>
  </w:font>
  <w:font w:name="微软雅黑">
    <w:panose1 w:val="020B0503020204020204"/>
    <w:charset w:val="86"/>
    <w:family w:val="swiss"/>
    <w:pitch w:val="default"/>
    <w:sig w:usb0="80000287" w:usb1="280F3C52" w:usb2="00000016" w:usb3="00000000" w:csb0="0004001F" w:csb1="00000000"/>
  </w:font>
  <w:font w:name="仿宋_GB2312">
    <w:panose1 w:val="02010609030101010101"/>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5D5D06B">
    <w:pPr>
      <w:pStyle w:val="1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DF0F9F4">
                          <w:pPr>
                            <w:pStyle w:val="10"/>
                            <w:rPr>
                              <w:rFonts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 xml:space="preserve">第 </w:t>
                          </w:r>
                          <w:r>
                            <w:rPr>
                              <w:rFonts w:hint="eastAsia" w:ascii="方正仿宋_GBK" w:hAnsi="方正仿宋_GBK" w:eastAsia="方正仿宋_GBK" w:cs="方正仿宋_GBK"/>
                              <w:sz w:val="24"/>
                              <w:szCs w:val="24"/>
                            </w:rPr>
                            <w:fldChar w:fldCharType="begin"/>
                          </w:r>
                          <w:r>
                            <w:rPr>
                              <w:rFonts w:hint="eastAsia" w:ascii="方正仿宋_GBK" w:hAnsi="方正仿宋_GBK" w:eastAsia="方正仿宋_GBK" w:cs="方正仿宋_GBK"/>
                              <w:sz w:val="24"/>
                              <w:szCs w:val="24"/>
                            </w:rPr>
                            <w:instrText xml:space="preserve"> PAGE  \* MERGEFORMAT </w:instrText>
                          </w:r>
                          <w:r>
                            <w:rPr>
                              <w:rFonts w:hint="eastAsia" w:ascii="方正仿宋_GBK" w:hAnsi="方正仿宋_GBK" w:eastAsia="方正仿宋_GBK" w:cs="方正仿宋_GBK"/>
                              <w:sz w:val="24"/>
                              <w:szCs w:val="24"/>
                            </w:rPr>
                            <w:fldChar w:fldCharType="separate"/>
                          </w:r>
                          <w:r>
                            <w:rPr>
                              <w:rFonts w:hint="eastAsia" w:ascii="方正仿宋_GBK" w:hAnsi="方正仿宋_GBK" w:eastAsia="方正仿宋_GBK" w:cs="方正仿宋_GBK"/>
                              <w:sz w:val="24"/>
                              <w:szCs w:val="24"/>
                            </w:rPr>
                            <w:t>1</w:t>
                          </w:r>
                          <w:r>
                            <w:rPr>
                              <w:rFonts w:hint="eastAsia" w:ascii="方正仿宋_GBK" w:hAnsi="方正仿宋_GBK" w:eastAsia="方正仿宋_GBK" w:cs="方正仿宋_GBK"/>
                              <w:sz w:val="24"/>
                              <w:szCs w:val="24"/>
                            </w:rPr>
                            <w:fldChar w:fldCharType="end"/>
                          </w:r>
                          <w:r>
                            <w:rPr>
                              <w:rFonts w:hint="eastAsia" w:ascii="方正仿宋_GBK" w:hAnsi="方正仿宋_GBK" w:eastAsia="方正仿宋_GBK" w:cs="方正仿宋_GBK"/>
                              <w:sz w:val="24"/>
                              <w:szCs w:val="24"/>
                            </w:rPr>
                            <w:t xml:space="preserve"> 页 共 </w:t>
                          </w:r>
                          <w:r>
                            <w:rPr>
                              <w:rFonts w:hint="eastAsia" w:ascii="方正仿宋_GBK" w:hAnsi="方正仿宋_GBK" w:eastAsia="方正仿宋_GBK" w:cs="方正仿宋_GBK"/>
                              <w:sz w:val="24"/>
                              <w:szCs w:val="24"/>
                            </w:rPr>
                            <w:fldChar w:fldCharType="begin"/>
                          </w:r>
                          <w:r>
                            <w:rPr>
                              <w:rFonts w:hint="eastAsia" w:ascii="方正仿宋_GBK" w:hAnsi="方正仿宋_GBK" w:eastAsia="方正仿宋_GBK" w:cs="方正仿宋_GBK"/>
                              <w:sz w:val="24"/>
                              <w:szCs w:val="24"/>
                            </w:rPr>
                            <w:instrText xml:space="preserve"> NUMPAGES  \* MERGEFORMAT </w:instrText>
                          </w:r>
                          <w:r>
                            <w:rPr>
                              <w:rFonts w:hint="eastAsia" w:ascii="方正仿宋_GBK" w:hAnsi="方正仿宋_GBK" w:eastAsia="方正仿宋_GBK" w:cs="方正仿宋_GBK"/>
                              <w:sz w:val="24"/>
                              <w:szCs w:val="24"/>
                            </w:rPr>
                            <w:fldChar w:fldCharType="separate"/>
                          </w:r>
                          <w:r>
                            <w:rPr>
                              <w:rFonts w:hint="eastAsia" w:ascii="方正仿宋_GBK" w:hAnsi="方正仿宋_GBK" w:eastAsia="方正仿宋_GBK" w:cs="方正仿宋_GBK"/>
                              <w:sz w:val="24"/>
                              <w:szCs w:val="24"/>
                            </w:rPr>
                            <w:t>4</w:t>
                          </w:r>
                          <w:r>
                            <w:rPr>
                              <w:rFonts w:hint="eastAsia" w:ascii="方正仿宋_GBK" w:hAnsi="方正仿宋_GBK" w:eastAsia="方正仿宋_GBK" w:cs="方正仿宋_GBK"/>
                              <w:sz w:val="24"/>
                              <w:szCs w:val="24"/>
                            </w:rPr>
                            <w:fldChar w:fldCharType="end"/>
                          </w:r>
                          <w:r>
                            <w:rPr>
                              <w:rFonts w:hint="eastAsia" w:ascii="方正仿宋_GBK" w:hAnsi="方正仿宋_GBK" w:eastAsia="方正仿宋_GBK" w:cs="方正仿宋_GBK"/>
                              <w:sz w:val="24"/>
                              <w:szCs w:val="24"/>
                            </w:rPr>
                            <w:t xml:space="preserve"> 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14:paraId="2DF0F9F4">
                    <w:pPr>
                      <w:pStyle w:val="10"/>
                      <w:rPr>
                        <w:rFonts w:ascii="方正仿宋_GBK" w:hAnsi="方正仿宋_GBK" w:eastAsia="方正仿宋_GBK" w:cs="方正仿宋_GBK"/>
                        <w:sz w:val="24"/>
                        <w:szCs w:val="24"/>
                      </w:rPr>
                    </w:pPr>
                    <w:r>
                      <w:rPr>
                        <w:rFonts w:hint="eastAsia" w:ascii="方正仿宋_GBK" w:hAnsi="方正仿宋_GBK" w:eastAsia="方正仿宋_GBK" w:cs="方正仿宋_GBK"/>
                        <w:sz w:val="24"/>
                        <w:szCs w:val="24"/>
                      </w:rPr>
                      <w:t xml:space="preserve">第 </w:t>
                    </w:r>
                    <w:r>
                      <w:rPr>
                        <w:rFonts w:hint="eastAsia" w:ascii="方正仿宋_GBK" w:hAnsi="方正仿宋_GBK" w:eastAsia="方正仿宋_GBK" w:cs="方正仿宋_GBK"/>
                        <w:sz w:val="24"/>
                        <w:szCs w:val="24"/>
                      </w:rPr>
                      <w:fldChar w:fldCharType="begin"/>
                    </w:r>
                    <w:r>
                      <w:rPr>
                        <w:rFonts w:hint="eastAsia" w:ascii="方正仿宋_GBK" w:hAnsi="方正仿宋_GBK" w:eastAsia="方正仿宋_GBK" w:cs="方正仿宋_GBK"/>
                        <w:sz w:val="24"/>
                        <w:szCs w:val="24"/>
                      </w:rPr>
                      <w:instrText xml:space="preserve"> PAGE  \* MERGEFORMAT </w:instrText>
                    </w:r>
                    <w:r>
                      <w:rPr>
                        <w:rFonts w:hint="eastAsia" w:ascii="方正仿宋_GBK" w:hAnsi="方正仿宋_GBK" w:eastAsia="方正仿宋_GBK" w:cs="方正仿宋_GBK"/>
                        <w:sz w:val="24"/>
                        <w:szCs w:val="24"/>
                      </w:rPr>
                      <w:fldChar w:fldCharType="separate"/>
                    </w:r>
                    <w:r>
                      <w:rPr>
                        <w:rFonts w:hint="eastAsia" w:ascii="方正仿宋_GBK" w:hAnsi="方正仿宋_GBK" w:eastAsia="方正仿宋_GBK" w:cs="方正仿宋_GBK"/>
                        <w:sz w:val="24"/>
                        <w:szCs w:val="24"/>
                      </w:rPr>
                      <w:t>1</w:t>
                    </w:r>
                    <w:r>
                      <w:rPr>
                        <w:rFonts w:hint="eastAsia" w:ascii="方正仿宋_GBK" w:hAnsi="方正仿宋_GBK" w:eastAsia="方正仿宋_GBK" w:cs="方正仿宋_GBK"/>
                        <w:sz w:val="24"/>
                        <w:szCs w:val="24"/>
                      </w:rPr>
                      <w:fldChar w:fldCharType="end"/>
                    </w:r>
                    <w:r>
                      <w:rPr>
                        <w:rFonts w:hint="eastAsia" w:ascii="方正仿宋_GBK" w:hAnsi="方正仿宋_GBK" w:eastAsia="方正仿宋_GBK" w:cs="方正仿宋_GBK"/>
                        <w:sz w:val="24"/>
                        <w:szCs w:val="24"/>
                      </w:rPr>
                      <w:t xml:space="preserve"> 页 共 </w:t>
                    </w:r>
                    <w:r>
                      <w:rPr>
                        <w:rFonts w:hint="eastAsia" w:ascii="方正仿宋_GBK" w:hAnsi="方正仿宋_GBK" w:eastAsia="方正仿宋_GBK" w:cs="方正仿宋_GBK"/>
                        <w:sz w:val="24"/>
                        <w:szCs w:val="24"/>
                      </w:rPr>
                      <w:fldChar w:fldCharType="begin"/>
                    </w:r>
                    <w:r>
                      <w:rPr>
                        <w:rFonts w:hint="eastAsia" w:ascii="方正仿宋_GBK" w:hAnsi="方正仿宋_GBK" w:eastAsia="方正仿宋_GBK" w:cs="方正仿宋_GBK"/>
                        <w:sz w:val="24"/>
                        <w:szCs w:val="24"/>
                      </w:rPr>
                      <w:instrText xml:space="preserve"> NUMPAGES  \* MERGEFORMAT </w:instrText>
                    </w:r>
                    <w:r>
                      <w:rPr>
                        <w:rFonts w:hint="eastAsia" w:ascii="方正仿宋_GBK" w:hAnsi="方正仿宋_GBK" w:eastAsia="方正仿宋_GBK" w:cs="方正仿宋_GBK"/>
                        <w:sz w:val="24"/>
                        <w:szCs w:val="24"/>
                      </w:rPr>
                      <w:fldChar w:fldCharType="separate"/>
                    </w:r>
                    <w:r>
                      <w:rPr>
                        <w:rFonts w:hint="eastAsia" w:ascii="方正仿宋_GBK" w:hAnsi="方正仿宋_GBK" w:eastAsia="方正仿宋_GBK" w:cs="方正仿宋_GBK"/>
                        <w:sz w:val="24"/>
                        <w:szCs w:val="24"/>
                      </w:rPr>
                      <w:t>4</w:t>
                    </w:r>
                    <w:r>
                      <w:rPr>
                        <w:rFonts w:hint="eastAsia" w:ascii="方正仿宋_GBK" w:hAnsi="方正仿宋_GBK" w:eastAsia="方正仿宋_GBK" w:cs="方正仿宋_GBK"/>
                        <w:sz w:val="24"/>
                        <w:szCs w:val="24"/>
                      </w:rPr>
                      <w:fldChar w:fldCharType="end"/>
                    </w:r>
                    <w:r>
                      <w:rPr>
                        <w:rFonts w:hint="eastAsia" w:ascii="方正仿宋_GBK" w:hAnsi="方正仿宋_GBK" w:eastAsia="方正仿宋_GBK" w:cs="方正仿宋_GBK"/>
                        <w:sz w:val="24"/>
                        <w:szCs w:val="24"/>
                      </w:rPr>
                      <w:t xml:space="preserve"> 页</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A"/>
    <w:multiLevelType w:val="multilevel"/>
    <w:tmpl w:val="0000000A"/>
    <w:lvl w:ilvl="0" w:tentative="0">
      <w:start w:val="5"/>
      <w:numFmt w:val="chineseCounting"/>
      <w:suff w:val="nothing"/>
      <w:lvlText w:val="（%1）"/>
      <w:lvlJc w:val="left"/>
      <w:rPr>
        <w:lang w:val="en-US"/>
      </w:rPr>
    </w:lvl>
    <w:lvl w:ilvl="1" w:tentative="0">
      <w:start w:val="1"/>
      <w:numFmt w:val="decimal"/>
      <w:lvlText w:val="%1.%2"/>
      <w:lvlJc w:val="left"/>
      <w:pPr>
        <w:ind w:left="993" w:hanging="567"/>
      </w:pPr>
    </w:lvl>
    <w:lvl w:ilvl="2" w:tentative="0">
      <w:start w:val="1"/>
      <w:numFmt w:val="decimal"/>
      <w:pStyle w:val="3"/>
      <w:lvlText w:val="%1.%2.%3"/>
      <w:lvlJc w:val="left"/>
      <w:pPr>
        <w:ind w:left="1418" w:hanging="567"/>
      </w:pPr>
    </w:lvl>
    <w:lvl w:ilvl="3" w:tentative="0">
      <w:start w:val="1"/>
      <w:numFmt w:val="decimal"/>
      <w:lvlText w:val="%1.%2.%3.%4"/>
      <w:lvlJc w:val="left"/>
      <w:pPr>
        <w:ind w:left="1984" w:hanging="708"/>
      </w:pPr>
    </w:lvl>
    <w:lvl w:ilvl="4" w:tentative="0">
      <w:start w:val="1"/>
      <w:numFmt w:val="decimal"/>
      <w:lvlText w:val="%1.%2.%3.%4.%5"/>
      <w:lvlJc w:val="left"/>
      <w:pPr>
        <w:ind w:left="2551" w:hanging="850"/>
      </w:pPr>
    </w:lvl>
    <w:lvl w:ilvl="5" w:tentative="0">
      <w:start w:val="1"/>
      <w:numFmt w:val="decimal"/>
      <w:lvlText w:val="%1.%2.%3.%4.%5.%6"/>
      <w:lvlJc w:val="left"/>
      <w:pPr>
        <w:ind w:left="3260" w:hanging="1134"/>
      </w:pPr>
    </w:lvl>
    <w:lvl w:ilvl="6" w:tentative="0">
      <w:start w:val="1"/>
      <w:numFmt w:val="decimal"/>
      <w:lvlText w:val="%1.%2.%3.%4.%5.%6.%7"/>
      <w:lvlJc w:val="left"/>
      <w:pPr>
        <w:ind w:left="3827" w:hanging="1276"/>
      </w:pPr>
    </w:lvl>
    <w:lvl w:ilvl="7" w:tentative="0">
      <w:start w:val="1"/>
      <w:numFmt w:val="decimal"/>
      <w:lvlText w:val="%1.%2.%3.%4.%5.%6.%7.%8"/>
      <w:lvlJc w:val="left"/>
      <w:pPr>
        <w:ind w:left="4394" w:hanging="1418"/>
      </w:pPr>
    </w:lvl>
    <w:lvl w:ilvl="8" w:tentative="0">
      <w:start w:val="1"/>
      <w:numFmt w:val="decimal"/>
      <w:lvlText w:val="%1.%2.%3.%4.%5.%6.%7.%8.%9"/>
      <w:lvlJc w:val="left"/>
      <w:pPr>
        <w:ind w:left="5102" w:hanging="170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zJmODM0MjU3OWJiNTgwNDc2OWYwOTY3ZGZmMWEwYTQifQ=="/>
  </w:docVars>
  <w:rsids>
    <w:rsidRoot w:val="1BD050CD"/>
    <w:rsid w:val="002721B8"/>
    <w:rsid w:val="002A7326"/>
    <w:rsid w:val="003A738F"/>
    <w:rsid w:val="00522102"/>
    <w:rsid w:val="00614E65"/>
    <w:rsid w:val="00663558"/>
    <w:rsid w:val="006D2A98"/>
    <w:rsid w:val="00C419C1"/>
    <w:rsid w:val="00C866C3"/>
    <w:rsid w:val="00D20369"/>
    <w:rsid w:val="00DC66AA"/>
    <w:rsid w:val="00E77192"/>
    <w:rsid w:val="010F1DA1"/>
    <w:rsid w:val="01BA0ED0"/>
    <w:rsid w:val="01BE7323"/>
    <w:rsid w:val="021A09FD"/>
    <w:rsid w:val="023575E5"/>
    <w:rsid w:val="025F28B4"/>
    <w:rsid w:val="02DB623C"/>
    <w:rsid w:val="02DD1A2B"/>
    <w:rsid w:val="035D3297"/>
    <w:rsid w:val="03824AAC"/>
    <w:rsid w:val="039B791C"/>
    <w:rsid w:val="03E12DEA"/>
    <w:rsid w:val="050140F6"/>
    <w:rsid w:val="053242B0"/>
    <w:rsid w:val="0534627A"/>
    <w:rsid w:val="059C6184"/>
    <w:rsid w:val="05A50F26"/>
    <w:rsid w:val="05F7460F"/>
    <w:rsid w:val="066B5CCB"/>
    <w:rsid w:val="071E1F77"/>
    <w:rsid w:val="072365A6"/>
    <w:rsid w:val="078A0D82"/>
    <w:rsid w:val="07F876A6"/>
    <w:rsid w:val="08A515BF"/>
    <w:rsid w:val="08B33959"/>
    <w:rsid w:val="091F0FEF"/>
    <w:rsid w:val="0972111F"/>
    <w:rsid w:val="09F14739"/>
    <w:rsid w:val="0A5F5966"/>
    <w:rsid w:val="0AF96DC4"/>
    <w:rsid w:val="0B3C7C36"/>
    <w:rsid w:val="0B6D4294"/>
    <w:rsid w:val="0BC83278"/>
    <w:rsid w:val="0BD240F7"/>
    <w:rsid w:val="0BE107DE"/>
    <w:rsid w:val="0BFE6C9A"/>
    <w:rsid w:val="0C880C59"/>
    <w:rsid w:val="0C9413AC"/>
    <w:rsid w:val="0CC63A4E"/>
    <w:rsid w:val="0CE9794A"/>
    <w:rsid w:val="0D817B82"/>
    <w:rsid w:val="0ECC307F"/>
    <w:rsid w:val="0ED91C40"/>
    <w:rsid w:val="0EE52393"/>
    <w:rsid w:val="0EE94F7C"/>
    <w:rsid w:val="0F031F59"/>
    <w:rsid w:val="0F470958"/>
    <w:rsid w:val="0F6634D4"/>
    <w:rsid w:val="0F6F3975"/>
    <w:rsid w:val="0F8932E2"/>
    <w:rsid w:val="101453BE"/>
    <w:rsid w:val="103F5AD3"/>
    <w:rsid w:val="10872EA8"/>
    <w:rsid w:val="10AA3894"/>
    <w:rsid w:val="119836EC"/>
    <w:rsid w:val="12C329EB"/>
    <w:rsid w:val="12E017EF"/>
    <w:rsid w:val="134F09E1"/>
    <w:rsid w:val="13675A6C"/>
    <w:rsid w:val="1378121F"/>
    <w:rsid w:val="14131750"/>
    <w:rsid w:val="1418673F"/>
    <w:rsid w:val="146B6818"/>
    <w:rsid w:val="14BE790E"/>
    <w:rsid w:val="14EF637E"/>
    <w:rsid w:val="154A2F50"/>
    <w:rsid w:val="15BD7BC5"/>
    <w:rsid w:val="15C62CD0"/>
    <w:rsid w:val="15F134B4"/>
    <w:rsid w:val="15F335E7"/>
    <w:rsid w:val="168D2386"/>
    <w:rsid w:val="16C15493"/>
    <w:rsid w:val="16DC22CD"/>
    <w:rsid w:val="17822E75"/>
    <w:rsid w:val="17947137"/>
    <w:rsid w:val="17DA31D7"/>
    <w:rsid w:val="17F453F5"/>
    <w:rsid w:val="18381785"/>
    <w:rsid w:val="188E0A8C"/>
    <w:rsid w:val="188E5849"/>
    <w:rsid w:val="189D2014"/>
    <w:rsid w:val="18C1013F"/>
    <w:rsid w:val="18D205AB"/>
    <w:rsid w:val="190653E0"/>
    <w:rsid w:val="1997072D"/>
    <w:rsid w:val="19B72B7E"/>
    <w:rsid w:val="19DB2D10"/>
    <w:rsid w:val="1A1D0C33"/>
    <w:rsid w:val="1A387903"/>
    <w:rsid w:val="1AB175CD"/>
    <w:rsid w:val="1B193AF0"/>
    <w:rsid w:val="1B6034CD"/>
    <w:rsid w:val="1B7C0CF8"/>
    <w:rsid w:val="1B852F33"/>
    <w:rsid w:val="1BD050CD"/>
    <w:rsid w:val="1BF956CF"/>
    <w:rsid w:val="1C2C7629"/>
    <w:rsid w:val="1CAE0268"/>
    <w:rsid w:val="1CF10155"/>
    <w:rsid w:val="1D361749"/>
    <w:rsid w:val="1D7E40DE"/>
    <w:rsid w:val="1DE55F0B"/>
    <w:rsid w:val="1EAD0318"/>
    <w:rsid w:val="1EF1171F"/>
    <w:rsid w:val="1F5275D0"/>
    <w:rsid w:val="1F996FAD"/>
    <w:rsid w:val="1FA63478"/>
    <w:rsid w:val="1FD47FE6"/>
    <w:rsid w:val="203E7B55"/>
    <w:rsid w:val="20511636"/>
    <w:rsid w:val="208C731F"/>
    <w:rsid w:val="20971013"/>
    <w:rsid w:val="20E55C2B"/>
    <w:rsid w:val="21867A05"/>
    <w:rsid w:val="218A7D25"/>
    <w:rsid w:val="21B31E7D"/>
    <w:rsid w:val="220972CA"/>
    <w:rsid w:val="226A42BD"/>
    <w:rsid w:val="228C128A"/>
    <w:rsid w:val="229972C4"/>
    <w:rsid w:val="22CC31F6"/>
    <w:rsid w:val="232C271B"/>
    <w:rsid w:val="235817DC"/>
    <w:rsid w:val="238826AD"/>
    <w:rsid w:val="23E46C65"/>
    <w:rsid w:val="24070C42"/>
    <w:rsid w:val="24741D97"/>
    <w:rsid w:val="24F353B2"/>
    <w:rsid w:val="25675458"/>
    <w:rsid w:val="25D77FCC"/>
    <w:rsid w:val="25ED0053"/>
    <w:rsid w:val="266F2816"/>
    <w:rsid w:val="2677791D"/>
    <w:rsid w:val="26C03072"/>
    <w:rsid w:val="26CB7F1A"/>
    <w:rsid w:val="26E74AA2"/>
    <w:rsid w:val="26F45411"/>
    <w:rsid w:val="27437A60"/>
    <w:rsid w:val="28441A80"/>
    <w:rsid w:val="28857B35"/>
    <w:rsid w:val="289064B1"/>
    <w:rsid w:val="29121B7F"/>
    <w:rsid w:val="29AA1DB7"/>
    <w:rsid w:val="29BB5CBE"/>
    <w:rsid w:val="2A0C329C"/>
    <w:rsid w:val="2A306760"/>
    <w:rsid w:val="2B3758CC"/>
    <w:rsid w:val="2B560404"/>
    <w:rsid w:val="2B6B08B1"/>
    <w:rsid w:val="2BC76C50"/>
    <w:rsid w:val="2BF23854"/>
    <w:rsid w:val="2BF23A18"/>
    <w:rsid w:val="2C1A3C72"/>
    <w:rsid w:val="2C3D6F12"/>
    <w:rsid w:val="2C640943"/>
    <w:rsid w:val="2CB27900"/>
    <w:rsid w:val="2D0C3CE8"/>
    <w:rsid w:val="2D2B320F"/>
    <w:rsid w:val="2D484219"/>
    <w:rsid w:val="2E020414"/>
    <w:rsid w:val="2E5073D1"/>
    <w:rsid w:val="2E5F6D7F"/>
    <w:rsid w:val="2E993BB9"/>
    <w:rsid w:val="2EF31870"/>
    <w:rsid w:val="2F185167"/>
    <w:rsid w:val="2F5B602D"/>
    <w:rsid w:val="2F754C15"/>
    <w:rsid w:val="2FD80CA3"/>
    <w:rsid w:val="2FF124EE"/>
    <w:rsid w:val="30313232"/>
    <w:rsid w:val="303625F7"/>
    <w:rsid w:val="3082583C"/>
    <w:rsid w:val="30901D07"/>
    <w:rsid w:val="30EB518F"/>
    <w:rsid w:val="316D7640"/>
    <w:rsid w:val="319B4E07"/>
    <w:rsid w:val="31C33082"/>
    <w:rsid w:val="32630425"/>
    <w:rsid w:val="32B141B6"/>
    <w:rsid w:val="330662B0"/>
    <w:rsid w:val="3316226B"/>
    <w:rsid w:val="3352267B"/>
    <w:rsid w:val="3364747B"/>
    <w:rsid w:val="337C6572"/>
    <w:rsid w:val="338B2C59"/>
    <w:rsid w:val="33DE0FDB"/>
    <w:rsid w:val="343E7C43"/>
    <w:rsid w:val="34796F56"/>
    <w:rsid w:val="349F69BC"/>
    <w:rsid w:val="34E645EB"/>
    <w:rsid w:val="35011425"/>
    <w:rsid w:val="354362C5"/>
    <w:rsid w:val="356E7C5B"/>
    <w:rsid w:val="35731BF7"/>
    <w:rsid w:val="35BF4E3C"/>
    <w:rsid w:val="371B60A2"/>
    <w:rsid w:val="37825684"/>
    <w:rsid w:val="37EB016A"/>
    <w:rsid w:val="382947EF"/>
    <w:rsid w:val="386D560E"/>
    <w:rsid w:val="38CE5AC2"/>
    <w:rsid w:val="39406294"/>
    <w:rsid w:val="39965EB4"/>
    <w:rsid w:val="39D30B18"/>
    <w:rsid w:val="3A0460EF"/>
    <w:rsid w:val="3A281202"/>
    <w:rsid w:val="3B255741"/>
    <w:rsid w:val="3B5A188F"/>
    <w:rsid w:val="3B7A3CDF"/>
    <w:rsid w:val="3B847DCB"/>
    <w:rsid w:val="3BEC625F"/>
    <w:rsid w:val="3BEE647B"/>
    <w:rsid w:val="3C1A71B0"/>
    <w:rsid w:val="3C3A346E"/>
    <w:rsid w:val="3C46443A"/>
    <w:rsid w:val="3C7A1ABD"/>
    <w:rsid w:val="3C9708C1"/>
    <w:rsid w:val="3D581DFE"/>
    <w:rsid w:val="3D7529B0"/>
    <w:rsid w:val="3D8F3C3E"/>
    <w:rsid w:val="3E0B6E71"/>
    <w:rsid w:val="3E4821D0"/>
    <w:rsid w:val="3F676329"/>
    <w:rsid w:val="3F793A54"/>
    <w:rsid w:val="3FB672B0"/>
    <w:rsid w:val="40084287"/>
    <w:rsid w:val="402406BD"/>
    <w:rsid w:val="405F5252"/>
    <w:rsid w:val="408B6047"/>
    <w:rsid w:val="40BC08F6"/>
    <w:rsid w:val="412A3AB2"/>
    <w:rsid w:val="417D143F"/>
    <w:rsid w:val="42581301"/>
    <w:rsid w:val="42996133"/>
    <w:rsid w:val="42A463CD"/>
    <w:rsid w:val="42BD3552"/>
    <w:rsid w:val="43000F6E"/>
    <w:rsid w:val="43E37D54"/>
    <w:rsid w:val="43F565F9"/>
    <w:rsid w:val="441E71D2"/>
    <w:rsid w:val="44427F33"/>
    <w:rsid w:val="44DF2AD6"/>
    <w:rsid w:val="45361337"/>
    <w:rsid w:val="45366DBD"/>
    <w:rsid w:val="45576302"/>
    <w:rsid w:val="470809A7"/>
    <w:rsid w:val="4770243A"/>
    <w:rsid w:val="486A6E89"/>
    <w:rsid w:val="486C49B0"/>
    <w:rsid w:val="489F68DE"/>
    <w:rsid w:val="496C41A4"/>
    <w:rsid w:val="497526AF"/>
    <w:rsid w:val="497734F1"/>
    <w:rsid w:val="49AD702E"/>
    <w:rsid w:val="4A5D0A54"/>
    <w:rsid w:val="4A8D520D"/>
    <w:rsid w:val="4ADA20A4"/>
    <w:rsid w:val="4AE61FD9"/>
    <w:rsid w:val="4B5D2CD5"/>
    <w:rsid w:val="4B69136D"/>
    <w:rsid w:val="4BFE0015"/>
    <w:rsid w:val="4C184159"/>
    <w:rsid w:val="4C4334E7"/>
    <w:rsid w:val="4C902D5C"/>
    <w:rsid w:val="4CA02E7A"/>
    <w:rsid w:val="4CD64AED"/>
    <w:rsid w:val="4D9D385D"/>
    <w:rsid w:val="4DC62DB4"/>
    <w:rsid w:val="4DC64B62"/>
    <w:rsid w:val="4DD8667B"/>
    <w:rsid w:val="4DE37066"/>
    <w:rsid w:val="4E08619A"/>
    <w:rsid w:val="4E5B704B"/>
    <w:rsid w:val="4E740A62"/>
    <w:rsid w:val="4EB26E94"/>
    <w:rsid w:val="4EE47996"/>
    <w:rsid w:val="4EF43951"/>
    <w:rsid w:val="4F1E5DE7"/>
    <w:rsid w:val="4F85110F"/>
    <w:rsid w:val="4FE85264"/>
    <w:rsid w:val="503E6C32"/>
    <w:rsid w:val="507408A5"/>
    <w:rsid w:val="50D35891"/>
    <w:rsid w:val="510D4856"/>
    <w:rsid w:val="51A258E6"/>
    <w:rsid w:val="52232583"/>
    <w:rsid w:val="52540079"/>
    <w:rsid w:val="52727DC1"/>
    <w:rsid w:val="529671F9"/>
    <w:rsid w:val="52E579D6"/>
    <w:rsid w:val="53590226"/>
    <w:rsid w:val="53901E9A"/>
    <w:rsid w:val="53AC47FA"/>
    <w:rsid w:val="53C2401E"/>
    <w:rsid w:val="53D578AD"/>
    <w:rsid w:val="54E3249D"/>
    <w:rsid w:val="551952E3"/>
    <w:rsid w:val="55651104"/>
    <w:rsid w:val="55872E29"/>
    <w:rsid w:val="55911EF9"/>
    <w:rsid w:val="55D41DE6"/>
    <w:rsid w:val="55E262B1"/>
    <w:rsid w:val="561B17C3"/>
    <w:rsid w:val="562E14F6"/>
    <w:rsid w:val="56462CE4"/>
    <w:rsid w:val="56705FB3"/>
    <w:rsid w:val="567A298E"/>
    <w:rsid w:val="57CB19DE"/>
    <w:rsid w:val="589C308F"/>
    <w:rsid w:val="58A3441E"/>
    <w:rsid w:val="58A9755A"/>
    <w:rsid w:val="58D2260D"/>
    <w:rsid w:val="597731B4"/>
    <w:rsid w:val="599476BF"/>
    <w:rsid w:val="5A2E41BB"/>
    <w:rsid w:val="5A625C12"/>
    <w:rsid w:val="5A7056A7"/>
    <w:rsid w:val="5ABA3CA0"/>
    <w:rsid w:val="5ACE32A8"/>
    <w:rsid w:val="5AF21CB4"/>
    <w:rsid w:val="5B8A7C55"/>
    <w:rsid w:val="5C5958C8"/>
    <w:rsid w:val="5C693288"/>
    <w:rsid w:val="5C983B6D"/>
    <w:rsid w:val="5CA97B29"/>
    <w:rsid w:val="5CB52971"/>
    <w:rsid w:val="5CEE6D21"/>
    <w:rsid w:val="5D8774BB"/>
    <w:rsid w:val="5DFD224D"/>
    <w:rsid w:val="5E547CF9"/>
    <w:rsid w:val="5E5979E0"/>
    <w:rsid w:val="5E8C5954"/>
    <w:rsid w:val="5EE96902"/>
    <w:rsid w:val="5F3A0F0C"/>
    <w:rsid w:val="60115A67"/>
    <w:rsid w:val="61300D6C"/>
    <w:rsid w:val="6155202D"/>
    <w:rsid w:val="618741B1"/>
    <w:rsid w:val="626A7D5A"/>
    <w:rsid w:val="628D57F7"/>
    <w:rsid w:val="62976675"/>
    <w:rsid w:val="62B611F1"/>
    <w:rsid w:val="62E7094C"/>
    <w:rsid w:val="62FB1290"/>
    <w:rsid w:val="6331293E"/>
    <w:rsid w:val="63503522"/>
    <w:rsid w:val="637A3FCD"/>
    <w:rsid w:val="63BA479C"/>
    <w:rsid w:val="63D8361B"/>
    <w:rsid w:val="63FF0976"/>
    <w:rsid w:val="65055B18"/>
    <w:rsid w:val="652A37D1"/>
    <w:rsid w:val="65870C23"/>
    <w:rsid w:val="677A27ED"/>
    <w:rsid w:val="677E1BB2"/>
    <w:rsid w:val="681A7B2C"/>
    <w:rsid w:val="68DD74D8"/>
    <w:rsid w:val="6974326C"/>
    <w:rsid w:val="69EE301F"/>
    <w:rsid w:val="6A0C16F7"/>
    <w:rsid w:val="6A885221"/>
    <w:rsid w:val="6ABE50E7"/>
    <w:rsid w:val="6C7A503E"/>
    <w:rsid w:val="6CFC78E9"/>
    <w:rsid w:val="6D630B66"/>
    <w:rsid w:val="6D893768"/>
    <w:rsid w:val="6DCC18C9"/>
    <w:rsid w:val="6DE34BE2"/>
    <w:rsid w:val="6E492F1A"/>
    <w:rsid w:val="6E804461"/>
    <w:rsid w:val="6F921546"/>
    <w:rsid w:val="7072674B"/>
    <w:rsid w:val="707F4C92"/>
    <w:rsid w:val="70840695"/>
    <w:rsid w:val="70893D25"/>
    <w:rsid w:val="71956476"/>
    <w:rsid w:val="71A86C91"/>
    <w:rsid w:val="71BB0B59"/>
    <w:rsid w:val="721B4BCD"/>
    <w:rsid w:val="72323CC5"/>
    <w:rsid w:val="72924216"/>
    <w:rsid w:val="73E00E2F"/>
    <w:rsid w:val="75387844"/>
    <w:rsid w:val="759E1500"/>
    <w:rsid w:val="75AF3FAA"/>
    <w:rsid w:val="75D73DE6"/>
    <w:rsid w:val="76393874"/>
    <w:rsid w:val="763B41A3"/>
    <w:rsid w:val="76C021E7"/>
    <w:rsid w:val="773427EF"/>
    <w:rsid w:val="77471FC0"/>
    <w:rsid w:val="777A05E8"/>
    <w:rsid w:val="77D548DA"/>
    <w:rsid w:val="78AC657F"/>
    <w:rsid w:val="78FC789E"/>
    <w:rsid w:val="790C78A0"/>
    <w:rsid w:val="79FA674E"/>
    <w:rsid w:val="7A0643B5"/>
    <w:rsid w:val="7A067F11"/>
    <w:rsid w:val="7AC2652D"/>
    <w:rsid w:val="7B2C7E4B"/>
    <w:rsid w:val="7B775554"/>
    <w:rsid w:val="7BC167E5"/>
    <w:rsid w:val="7BDE7397"/>
    <w:rsid w:val="7C0152CF"/>
    <w:rsid w:val="7C3E119D"/>
    <w:rsid w:val="7C4A4A2C"/>
    <w:rsid w:val="7C8D66C7"/>
    <w:rsid w:val="7CCA16C9"/>
    <w:rsid w:val="7CE75F92"/>
    <w:rsid w:val="7CFD376D"/>
    <w:rsid w:val="7D641AFB"/>
    <w:rsid w:val="7DBE3D05"/>
    <w:rsid w:val="7E5D031B"/>
    <w:rsid w:val="7ECF1B17"/>
    <w:rsid w:val="7EEA3A51"/>
    <w:rsid w:val="7EF50554"/>
    <w:rsid w:val="7F613B84"/>
    <w:rsid w:val="7F6F0306"/>
    <w:rsid w:val="7F9B6E3D"/>
    <w:rsid w:val="BBF54A57"/>
    <w:rsid w:val="DFCD97E7"/>
    <w:rsid w:val="FBC1D5BA"/>
    <w:rsid w:val="FCFE36B0"/>
    <w:rsid w:val="FEAF989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tabs>
        <w:tab w:val="left" w:pos="3360"/>
      </w:tabs>
      <w:snapToGrid w:val="0"/>
      <w:spacing w:before="312" w:beforeLines="100" w:after="156" w:afterLines="50" w:line="800" w:lineRule="atLeast"/>
      <w:jc w:val="center"/>
      <w:outlineLvl w:val="0"/>
    </w:pPr>
    <w:rPr>
      <w:rFonts w:eastAsia="黑体"/>
      <w:sz w:val="44"/>
    </w:rPr>
  </w:style>
  <w:style w:type="paragraph" w:styleId="3">
    <w:name w:val="heading 3"/>
    <w:basedOn w:val="1"/>
    <w:next w:val="1"/>
    <w:qFormat/>
    <w:uiPriority w:val="0"/>
    <w:pPr>
      <w:keepNext/>
      <w:keepLines/>
      <w:numPr>
        <w:ilvl w:val="2"/>
        <w:numId w:val="1"/>
      </w:numPr>
      <w:spacing w:before="120" w:line="360" w:lineRule="auto"/>
      <w:outlineLvl w:val="2"/>
    </w:pPr>
    <w:rPr>
      <w:rFonts w:ascii="微软雅黑" w:hAnsi="微软雅黑" w:eastAsia="微软雅黑"/>
      <w:b/>
      <w:bCs/>
      <w:kern w:val="0"/>
      <w:sz w:val="32"/>
      <w:szCs w:val="32"/>
    </w:rPr>
  </w:style>
  <w:style w:type="character" w:default="1" w:styleId="15">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4">
    <w:name w:val="Normal Indent"/>
    <w:basedOn w:val="1"/>
    <w:qFormat/>
    <w:uiPriority w:val="0"/>
    <w:pPr>
      <w:adjustRightInd w:val="0"/>
      <w:snapToGrid w:val="0"/>
      <w:spacing w:line="360" w:lineRule="auto"/>
      <w:ind w:firstLine="420"/>
    </w:pPr>
    <w:rPr>
      <w:sz w:val="24"/>
    </w:rPr>
  </w:style>
  <w:style w:type="paragraph" w:styleId="5">
    <w:name w:val="annotation text"/>
    <w:basedOn w:val="1"/>
    <w:qFormat/>
    <w:uiPriority w:val="0"/>
    <w:pPr>
      <w:jc w:val="left"/>
    </w:pPr>
  </w:style>
  <w:style w:type="paragraph" w:styleId="6">
    <w:name w:val="Body Text"/>
    <w:basedOn w:val="1"/>
    <w:next w:val="1"/>
    <w:link w:val="17"/>
    <w:qFormat/>
    <w:uiPriority w:val="99"/>
    <w:pPr>
      <w:spacing w:after="120"/>
    </w:pPr>
  </w:style>
  <w:style w:type="paragraph" w:styleId="7">
    <w:name w:val="Body Text Indent"/>
    <w:basedOn w:val="1"/>
    <w:next w:val="8"/>
    <w:qFormat/>
    <w:uiPriority w:val="0"/>
    <w:pPr>
      <w:widowControl/>
      <w:spacing w:line="360" w:lineRule="auto"/>
      <w:ind w:firstLine="280" w:firstLineChars="100"/>
    </w:pPr>
    <w:rPr>
      <w:rFonts w:ascii="仿宋_GB2312" w:eastAsia="仿宋_GB2312"/>
      <w:kern w:val="0"/>
      <w:sz w:val="30"/>
      <w:szCs w:val="20"/>
    </w:rPr>
  </w:style>
  <w:style w:type="paragraph" w:styleId="8">
    <w:name w:val="envelope return"/>
    <w:basedOn w:val="1"/>
    <w:qFormat/>
    <w:uiPriority w:val="0"/>
    <w:pPr>
      <w:snapToGrid w:val="0"/>
    </w:pPr>
    <w:rPr>
      <w:rFonts w:ascii="Arial" w:hAnsi="Arial"/>
    </w:rPr>
  </w:style>
  <w:style w:type="paragraph" w:styleId="9">
    <w:name w:val="Plain Text"/>
    <w:basedOn w:val="1"/>
    <w:qFormat/>
    <w:uiPriority w:val="0"/>
    <w:rPr>
      <w:rFonts w:hAnsi="Courier New"/>
      <w:szCs w:val="20"/>
    </w:rPr>
  </w:style>
  <w:style w:type="paragraph" w:styleId="10">
    <w:name w:val="footer"/>
    <w:basedOn w:val="1"/>
    <w:unhideWhenUsed/>
    <w:qFormat/>
    <w:uiPriority w:val="99"/>
    <w:pPr>
      <w:tabs>
        <w:tab w:val="center" w:pos="4153"/>
        <w:tab w:val="right" w:pos="8306"/>
      </w:tabs>
      <w:snapToGrid w:val="0"/>
      <w:jc w:val="left"/>
    </w:pPr>
    <w:rPr>
      <w:sz w:val="18"/>
      <w:szCs w:val="18"/>
    </w:rPr>
  </w:style>
  <w:style w:type="paragraph" w:styleId="11">
    <w:name w:val="Normal (Web)"/>
    <w:basedOn w:val="1"/>
    <w:unhideWhenUsed/>
    <w:qFormat/>
    <w:uiPriority w:val="99"/>
    <w:pPr>
      <w:widowControl/>
      <w:spacing w:before="100" w:beforeAutospacing="1" w:after="100" w:afterAutospacing="1"/>
      <w:jc w:val="left"/>
    </w:pPr>
    <w:rPr>
      <w:rFonts w:ascii="宋体" w:hAnsi="宋体" w:cs="宋体"/>
      <w:kern w:val="0"/>
      <w:sz w:val="24"/>
      <w:szCs w:val="24"/>
    </w:rPr>
  </w:style>
  <w:style w:type="paragraph" w:styleId="12">
    <w:name w:val="Body Text First Indent 2"/>
    <w:basedOn w:val="7"/>
    <w:qFormat/>
    <w:uiPriority w:val="0"/>
    <w:pPr>
      <w:spacing w:after="120"/>
      <w:ind w:left="420" w:leftChars="200" w:firstLine="420" w:firstLineChars="200"/>
    </w:pPr>
    <w:rPr>
      <w:rFonts w:ascii="Times New Roman" w:eastAsia="宋体"/>
      <w:sz w:val="21"/>
    </w:rPr>
  </w:style>
  <w:style w:type="table" w:styleId="14">
    <w:name w:val="Table Grid"/>
    <w:basedOn w:val="1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16">
    <w:name w:val="List Paragraph"/>
    <w:basedOn w:val="1"/>
    <w:qFormat/>
    <w:uiPriority w:val="99"/>
    <w:pPr>
      <w:ind w:firstLine="420" w:firstLineChars="200"/>
    </w:pPr>
  </w:style>
  <w:style w:type="character" w:customStyle="1" w:styleId="17">
    <w:name w:val="正文文本 字符"/>
    <w:basedOn w:val="15"/>
    <w:link w:val="6"/>
    <w:qFormat/>
    <w:uiPriority w:val="99"/>
    <w:rPr>
      <w:kern w:val="2"/>
      <w:sz w:val="21"/>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7</Pages>
  <Words>6384</Words>
  <Characters>6672</Characters>
  <Lines>20</Lines>
  <Paragraphs>5</Paragraphs>
  <TotalTime>0</TotalTime>
  <ScaleCrop>false</ScaleCrop>
  <LinksUpToDate>false</LinksUpToDate>
  <CharactersWithSpaces>6692</CharactersWithSpaces>
  <Application>WPS Office_12.1.0.24034_F1E327BC-269C-435d-A152-05C5408002CA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2022-09-16T15:18:00Z</dcterms:created>
  <dc:creator>完美懈梦</dc:creator>
  <cp:lastModifiedBy>周雨</cp:lastModifiedBy>
  <dcterms:modified xsi:type="dcterms:W3CDTF">2025-12-10T04:00:51Z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2052-12.1.0.24034</vt:lpwstr>
  </property>
  <property fmtid="{D5CDD505-2E9C-101B-9397-08002B2CF9AE}" pid="3" name="ICV">
    <vt:lpwstr>EF7E722BFAAE271496622A63598B1020</vt:lpwstr>
  </property>
  <property fmtid="{D5CDD505-2E9C-101B-9397-08002B2CF9AE}" pid="4" name="KSOSaveFontToCloudKey">
    <vt:lpwstr>444817304_cloud</vt:lpwstr>
  </property>
  <property fmtid="{D5CDD505-2E9C-101B-9397-08002B2CF9AE}" pid="5" name="KSOTemplateDocerSaveRecord">
    <vt:lpwstr>eyJoZGlkIjoiMzJmODM0MjU3OWJiNTgwNDc2OWYwOTY3ZGZmMWEwYTQiLCJ1c2VySWQiOiI0NDQ4MTczMDQifQ==</vt:lpwstr>
  </property>
</Properties>
</file>