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975167">
      <w:pPr>
        <w:pStyle w:val="3"/>
        <w:spacing w:beforeLines="0" w:afterLines="0" w:line="570" w:lineRule="exact"/>
        <w:rPr>
          <w:rFonts w:ascii="方正小标宋_GBK" w:hAnsi="方正小标宋_GBK" w:eastAsia="方正小标宋_GBK" w:cs="方正小标宋_GBK"/>
          <w:kern w:val="0"/>
          <w:szCs w:val="44"/>
        </w:rPr>
      </w:pPr>
      <w:r>
        <w:rPr>
          <w:rFonts w:hint="eastAsia" w:ascii="方正小标宋_GBK" w:hAnsi="方正小标宋_GBK" w:eastAsia="方正小标宋_GBK" w:cs="方正小标宋_GBK"/>
          <w:kern w:val="0"/>
          <w:szCs w:val="44"/>
          <w:lang w:val="en-US" w:eastAsia="zh-CN"/>
        </w:rPr>
        <w:t>巴南区15分钟品质文化生活圈（I-龙洲湾-02、I-木洞-03、I-南泉-02、I-南泉-07圈）文化空间改造和主题分馆建设项目参数需求表</w:t>
      </w:r>
    </w:p>
    <w:p w14:paraId="2A44F2E9">
      <w:pPr>
        <w:spacing w:line="570" w:lineRule="exact"/>
        <w:rPr>
          <w:rFonts w:ascii="方正黑体_GBK" w:eastAsia="方正黑体_GBK"/>
          <w:sz w:val="32"/>
          <w:szCs w:val="32"/>
        </w:rPr>
      </w:pPr>
    </w:p>
    <w:p w14:paraId="15DEB714">
      <w:pPr>
        <w:spacing w:line="570" w:lineRule="exact"/>
        <w:ind w:firstLine="640" w:firstLineChars="200"/>
        <w:rPr>
          <w:rFonts w:ascii="方正黑体_GBK" w:eastAsia="方正黑体_GBK"/>
          <w:sz w:val="32"/>
          <w:szCs w:val="32"/>
        </w:rPr>
      </w:pPr>
      <w:r>
        <w:rPr>
          <w:rFonts w:hint="eastAsia" w:ascii="方正黑体_GBK" w:eastAsia="方正黑体_GBK"/>
          <w:sz w:val="32"/>
          <w:szCs w:val="32"/>
        </w:rPr>
        <w:t>一、项目名称</w:t>
      </w:r>
    </w:p>
    <w:p w14:paraId="035D5134">
      <w:pPr>
        <w:snapToGrid w:val="0"/>
        <w:spacing w:line="570" w:lineRule="exact"/>
        <w:ind w:firstLine="640" w:firstLineChars="200"/>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巴南区15分钟品质文化生活圈（I-龙洲湾-02、I-木洞-03、I-南泉-02、I-南泉-07圈）文化空间改造和主题分馆建设</w:t>
      </w:r>
    </w:p>
    <w:p w14:paraId="20820757">
      <w:pPr>
        <w:snapToGrid w:val="0"/>
        <w:spacing w:line="570" w:lineRule="exact"/>
        <w:ind w:firstLine="640" w:firstLineChars="200"/>
        <w:rPr>
          <w:rFonts w:ascii="方正仿宋_GBK" w:hAnsi="方正仿宋_GBK" w:eastAsia="方正仿宋_GBK" w:cs="方正仿宋_GBK"/>
          <w:color w:val="FF0000"/>
          <w:sz w:val="32"/>
          <w:szCs w:val="32"/>
        </w:rPr>
      </w:pPr>
      <w:r>
        <w:rPr>
          <w:rFonts w:hint="eastAsia" w:ascii="方正黑体_GBK" w:eastAsia="方正黑体_GBK"/>
          <w:sz w:val="32"/>
          <w:szCs w:val="32"/>
        </w:rPr>
        <w:t>二、资格条件</w:t>
      </w:r>
    </w:p>
    <w:p w14:paraId="309B3273">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 具有独立承担民事责任的能力；</w:t>
      </w:r>
    </w:p>
    <w:p w14:paraId="54543257">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 具有良好的商业信誉和健全的财务会计制度；</w:t>
      </w:r>
    </w:p>
    <w:p w14:paraId="77837043">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 具有履行合同所必需的设备和专业技术能力；</w:t>
      </w:r>
    </w:p>
    <w:p w14:paraId="4B1104FB">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 有依法缴纳税收和社会保障资金的良好记录；</w:t>
      </w:r>
    </w:p>
    <w:p w14:paraId="2C21E12B">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 参加政府采购活动前三年内，在经营活动中没有重大违法记录；</w:t>
      </w:r>
    </w:p>
    <w:p w14:paraId="5D357A4C">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 法律、行政法规规定的其他条件。</w:t>
      </w:r>
    </w:p>
    <w:p w14:paraId="79BE2BCD">
      <w:pPr>
        <w:spacing w:line="570" w:lineRule="exact"/>
        <w:ind w:firstLine="640" w:firstLineChars="200"/>
        <w:rPr>
          <w:rFonts w:ascii="方正黑体_GBK" w:eastAsia="方正黑体_GBK"/>
          <w:sz w:val="32"/>
          <w:szCs w:val="32"/>
        </w:rPr>
      </w:pPr>
      <w:r>
        <w:rPr>
          <w:rFonts w:hint="eastAsia" w:ascii="方正黑体_GBK" w:eastAsia="方正黑体_GBK"/>
          <w:sz w:val="32"/>
          <w:szCs w:val="32"/>
        </w:rPr>
        <w:t>三、商务要求</w:t>
      </w:r>
    </w:p>
    <w:p w14:paraId="76A97814">
      <w:pPr>
        <w:snapToGrid w:val="0"/>
        <w:spacing w:line="570" w:lineRule="exact"/>
        <w:ind w:firstLine="640" w:firstLineChars="200"/>
        <w:rPr>
          <w:rFonts w:ascii="方正仿宋_GBK" w:hAnsi="方正仿宋_GBK" w:eastAsia="方正仿宋_GBK" w:cs="方正仿宋_GBK"/>
          <w:sz w:val="32"/>
          <w:szCs w:val="32"/>
        </w:rPr>
      </w:pPr>
      <w:bookmarkStart w:id="0" w:name="_Toc267320049"/>
      <w:r>
        <w:rPr>
          <w:rFonts w:hint="eastAsia" w:ascii="方正仿宋_GBK" w:hAnsi="方正仿宋_GBK" w:eastAsia="方正仿宋_GBK" w:cs="方正仿宋_GBK"/>
          <w:sz w:val="32"/>
          <w:szCs w:val="32"/>
        </w:rPr>
        <w:t>（一）实施时间、地点及验收方式</w:t>
      </w:r>
    </w:p>
    <w:p w14:paraId="3721133A">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1.实施期限：签订合同后20个日历日，如有另行约定的，以该项所要求服务时间为准。</w:t>
      </w:r>
    </w:p>
    <w:p w14:paraId="77021E78">
      <w:pPr>
        <w:snapToGrid w:val="0"/>
        <w:spacing w:line="570" w:lineRule="exact"/>
        <w:ind w:firstLine="640" w:firstLineChars="20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2.实施地点：</w:t>
      </w:r>
      <w:r>
        <w:rPr>
          <w:rFonts w:hint="eastAsia" w:ascii="方正仿宋_GBK" w:hAnsi="方正仿宋_GBK" w:eastAsia="方正仿宋_GBK" w:cs="方正仿宋_GBK"/>
          <w:sz w:val="32"/>
          <w:szCs w:val="32"/>
          <w:lang w:eastAsia="zh-CN"/>
        </w:rPr>
        <w:t>南泉金鹿社区桑榆之家、首创奥特莱斯、南温泉游客中心、木洞生物城文化空间、龙洲湾巴洲产业文化空间。</w:t>
      </w:r>
    </w:p>
    <w:p w14:paraId="507D614A">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3.验收方式：由采购人对成交供应商提供服务和货物及安装实施进行初验和数量清点。项目安装调试完毕后由采购人组织验收，如验收不合格成交供应商必须在限期内整改完毕，否则采购人有权解除合同。</w:t>
      </w:r>
    </w:p>
    <w:p w14:paraId="65146769">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如验收达不到规定要求，对采购人造成一定的影响，成交供应商承担一切责任，并赔偿所造成的损失。</w:t>
      </w:r>
    </w:p>
    <w:bookmarkEnd w:id="0"/>
    <w:p w14:paraId="08E2558F">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（二）质量保证和售后服务</w:t>
      </w:r>
    </w:p>
    <w:p w14:paraId="111C129E">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1.合同材料设备属于国家规定“三包”范围的，其材料设备质量保证期不得低于“三包”规定。</w:t>
      </w:r>
    </w:p>
    <w:p w14:paraId="78B9975A">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2.中标供应商的质量保证期承诺优于上述年限及国家“三包”规定的，按中标供应商实际承诺执行。</w:t>
      </w:r>
    </w:p>
    <w:p w14:paraId="61332438">
      <w:pPr>
        <w:snapToGrid w:val="0"/>
        <w:spacing w:line="570" w:lineRule="exact"/>
        <w:ind w:firstLine="640" w:firstLineChars="20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3.中标供应商和制造商在质量保证期内应当为采购人提供以下技术支持和服务</w:t>
      </w:r>
      <w:r>
        <w:rPr>
          <w:rFonts w:hint="eastAsia" w:ascii="方正仿宋_GBK" w:hAnsi="方正仿宋_GBK" w:eastAsia="方正仿宋_GBK" w:cs="方正仿宋_GBK"/>
          <w:sz w:val="32"/>
          <w:szCs w:val="32"/>
          <w:lang w:eastAsia="zh-CN"/>
        </w:rPr>
        <w:t>。</w:t>
      </w:r>
    </w:p>
    <w:p w14:paraId="4DC7FFEE">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4.售后和质保</w:t>
      </w:r>
    </w:p>
    <w:p w14:paraId="5073719B">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（1）电话咨询：供方和制造商应当为采购人提供技术援助电话，解答采购人在使用中遇到的问题，及时为采购人提出解决问题的建议。</w:t>
      </w:r>
    </w:p>
    <w:p w14:paraId="4E4DA068">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现场响应：采购人遇到使用及技术问题，电话咨询不能解决的，供方和制造商应在2小时内到达现场（远郊区4小时内到达现场）进行处理，确保产品正常工作；无法在12小时内解决的，应在12小时内提供备用产品，使采购人能够正常使用。</w:t>
      </w:r>
    </w:p>
    <w:p w14:paraId="7A19E8EF">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（3）技术服务：在质保期内，如果供方和制造商的产品技术升级，供方应及时通知采购人，如采购人有相应要求，供方和制造商应对采购人购买的产品进行升级服务。</w:t>
      </w:r>
    </w:p>
    <w:p w14:paraId="07757565">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5.其他服务及要求</w:t>
      </w:r>
    </w:p>
    <w:p w14:paraId="42B5A517">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（1）供应商须保证本次提供报价的产品或服务是最新且完备的，且完全与询价要求相符。</w:t>
      </w:r>
    </w:p>
    <w:p w14:paraId="65A70894">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（2）报价产品或服务必须是符合国家技术规范和质量标准的合格产品和服务，能满足采购单位的使用需求，并具有可靠的售后服务体系，质量可靠、使用安全。</w:t>
      </w:r>
    </w:p>
    <w:p w14:paraId="42D66309">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（3）供应商须保证其提供的产品和服务均为具有合法版权或使用权的正版软件和服务。</w:t>
      </w:r>
    </w:p>
    <w:p w14:paraId="7BBA5BDC">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（4）报价人应充分理解并明确响应本项目中采购单位的建设需求，不允许片面响应或故意曲解项目建设内容，不允许妨害采购单位的设备、应用及数据接口的功能完整性，否则将视为无效报价。</w:t>
      </w:r>
    </w:p>
    <w:p w14:paraId="43C9E066">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（5）本次询价无论最终报价结果，都将不作为本项目最终采购定价，只作为本单位对该项目后期采购的市场价格参考，同时采购人保留后期在实际采购中修改调整采购商品和服务相关参数及要求的权利。</w:t>
      </w:r>
    </w:p>
    <w:p w14:paraId="356EEBCD">
      <w:pPr>
        <w:snapToGrid w:val="0"/>
        <w:spacing w:line="57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（6）供应商应自行踏勘现场。供应商需到采购方进行现场勘探，充分了解采购方技术和服务要求，应对勘察中获取的现场资料负责。采购方出具的勘探确认书是询价和投标文件的必要部分，否则视为无效。</w:t>
      </w:r>
    </w:p>
    <w:p w14:paraId="1EDA6DE8">
      <w:pPr>
        <w:spacing w:line="570" w:lineRule="exact"/>
        <w:ind w:firstLine="640" w:firstLineChars="200"/>
        <w:rPr>
          <w:rFonts w:ascii="方正黑体_GBK" w:eastAsia="方正黑体_GBK"/>
          <w:sz w:val="32"/>
          <w:szCs w:val="32"/>
        </w:rPr>
      </w:pPr>
      <w:r>
        <w:rPr>
          <w:rFonts w:hint="eastAsia" w:ascii="方正黑体_GBK" w:eastAsia="方正黑体_GBK"/>
          <w:sz w:val="32"/>
          <w:szCs w:val="32"/>
        </w:rPr>
        <w:t>四、采购清单和技术参数</w:t>
      </w:r>
    </w:p>
    <w:tbl>
      <w:tblPr>
        <w:tblStyle w:val="13"/>
        <w:tblW w:w="480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6"/>
        <w:gridCol w:w="1083"/>
        <w:gridCol w:w="7305"/>
        <w:gridCol w:w="804"/>
      </w:tblGrid>
      <w:tr w14:paraId="6532D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96" w:type="pct"/>
            <w:vAlign w:val="center"/>
          </w:tcPr>
          <w:p w14:paraId="0DA36DE7">
            <w:pPr>
              <w:widowControl/>
              <w:spacing w:line="260" w:lineRule="exact"/>
              <w:jc w:val="center"/>
              <w:textAlignment w:val="center"/>
              <w:rPr>
                <w:rFonts w:ascii="宋体" w:hAnsi="宋体" w:cs="方正粗黑宋简体"/>
                <w:color w:val="000000"/>
                <w:kern w:val="0"/>
                <w:sz w:val="16"/>
                <w:szCs w:val="16"/>
              </w:rPr>
            </w:pPr>
            <w:r>
              <w:rPr>
                <w:rFonts w:hint="eastAsia" w:ascii="宋体" w:hAnsi="宋体" w:cs="方正粗黑宋简体"/>
                <w:color w:val="000000"/>
                <w:kern w:val="0"/>
                <w:sz w:val="16"/>
                <w:szCs w:val="16"/>
              </w:rPr>
              <w:t>序号</w:t>
            </w:r>
          </w:p>
        </w:tc>
        <w:tc>
          <w:tcPr>
            <w:tcW w:w="566" w:type="pct"/>
            <w:vAlign w:val="center"/>
          </w:tcPr>
          <w:p w14:paraId="459BC038">
            <w:pPr>
              <w:widowControl/>
              <w:spacing w:line="260" w:lineRule="exact"/>
              <w:jc w:val="center"/>
              <w:textAlignment w:val="center"/>
              <w:rPr>
                <w:rFonts w:ascii="宋体" w:hAnsi="宋体" w:cs="方正粗黑宋简体"/>
                <w:color w:val="000000"/>
                <w:kern w:val="0"/>
                <w:sz w:val="16"/>
                <w:szCs w:val="16"/>
              </w:rPr>
            </w:pPr>
            <w:r>
              <w:rPr>
                <w:rFonts w:hint="eastAsia" w:ascii="宋体" w:hAnsi="宋体" w:cs="方正粗黑宋简体"/>
                <w:color w:val="000000"/>
                <w:kern w:val="0"/>
                <w:sz w:val="16"/>
                <w:szCs w:val="16"/>
              </w:rPr>
              <w:t>名称</w:t>
            </w:r>
          </w:p>
        </w:tc>
        <w:tc>
          <w:tcPr>
            <w:tcW w:w="3816" w:type="pct"/>
            <w:vAlign w:val="center"/>
          </w:tcPr>
          <w:p w14:paraId="0EBE638E">
            <w:pPr>
              <w:widowControl/>
              <w:spacing w:line="260" w:lineRule="exact"/>
              <w:jc w:val="center"/>
              <w:textAlignment w:val="center"/>
              <w:rPr>
                <w:rFonts w:ascii="宋体" w:hAnsi="宋体" w:cs="方正粗黑宋简体"/>
                <w:color w:val="000000"/>
                <w:kern w:val="0"/>
                <w:sz w:val="16"/>
                <w:szCs w:val="16"/>
              </w:rPr>
            </w:pPr>
            <w:r>
              <w:rPr>
                <w:rFonts w:hint="eastAsia" w:ascii="宋体" w:hAnsi="宋体" w:cs="方正粗黑宋简体"/>
                <w:color w:val="000000"/>
                <w:kern w:val="0"/>
                <w:sz w:val="16"/>
                <w:szCs w:val="16"/>
              </w:rPr>
              <w:t>技术参数要求</w:t>
            </w:r>
          </w:p>
        </w:tc>
        <w:tc>
          <w:tcPr>
            <w:tcW w:w="420" w:type="pct"/>
            <w:vAlign w:val="center"/>
          </w:tcPr>
          <w:p w14:paraId="6B5BD3FD">
            <w:pPr>
              <w:widowControl/>
              <w:spacing w:line="260" w:lineRule="exact"/>
              <w:jc w:val="center"/>
              <w:textAlignment w:val="center"/>
              <w:rPr>
                <w:rFonts w:ascii="宋体" w:hAnsi="宋体" w:cs="方正粗黑宋简体"/>
                <w:color w:val="000000"/>
                <w:kern w:val="0"/>
                <w:sz w:val="16"/>
                <w:szCs w:val="16"/>
              </w:rPr>
            </w:pPr>
            <w:r>
              <w:rPr>
                <w:rFonts w:hint="eastAsia" w:ascii="宋体" w:hAnsi="宋体" w:cs="方正粗黑宋简体"/>
                <w:color w:val="000000"/>
                <w:kern w:val="0"/>
                <w:sz w:val="16"/>
                <w:szCs w:val="16"/>
              </w:rPr>
              <w:t>数量</w:t>
            </w:r>
          </w:p>
        </w:tc>
      </w:tr>
      <w:tr w14:paraId="38BCF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 w:type="pct"/>
            <w:vAlign w:val="center"/>
          </w:tcPr>
          <w:p w14:paraId="5A5ABE74">
            <w:pPr>
              <w:widowControl/>
              <w:spacing w:line="260" w:lineRule="exact"/>
              <w:jc w:val="center"/>
              <w:textAlignment w:val="center"/>
              <w:rPr>
                <w:rFonts w:hint="eastAsia" w:ascii="宋体" w:hAnsi="宋体" w:eastAsia="宋体" w:cs="宋体"/>
                <w:strike w:val="0"/>
                <w:dstrike w:val="0"/>
                <w:kern w:val="0"/>
                <w:sz w:val="16"/>
                <w:szCs w:val="16"/>
                <w:lang w:val="en-US" w:eastAsia="zh-CN"/>
              </w:rPr>
            </w:pPr>
            <w:r>
              <w:rPr>
                <w:rFonts w:hint="eastAsia" w:ascii="宋体" w:hAnsi="宋体" w:eastAsia="宋体" w:cs="宋体"/>
                <w:strike w:val="0"/>
                <w:dstrike w:val="0"/>
                <w:kern w:val="0"/>
                <w:sz w:val="16"/>
                <w:szCs w:val="16"/>
                <w:lang w:val="en-US" w:eastAsia="zh-CN"/>
              </w:rPr>
              <w:t>1</w:t>
            </w:r>
          </w:p>
        </w:tc>
        <w:tc>
          <w:tcPr>
            <w:tcW w:w="566" w:type="pct"/>
            <w:vAlign w:val="center"/>
          </w:tcPr>
          <w:p w14:paraId="6D8515C4">
            <w:pPr>
              <w:widowControl/>
              <w:spacing w:line="260" w:lineRule="exact"/>
              <w:jc w:val="center"/>
              <w:textAlignment w:val="center"/>
              <w:rPr>
                <w:rFonts w:hint="eastAsia" w:ascii="宋体" w:hAnsi="宋体" w:eastAsia="宋体" w:cs="宋体"/>
                <w:color w:val="auto"/>
                <w:kern w:val="0"/>
                <w:sz w:val="16"/>
                <w:szCs w:val="16"/>
                <w:lang w:val="en-US" w:eastAsia="zh-CN"/>
              </w:rPr>
            </w:pPr>
            <w:r>
              <w:rPr>
                <w:rFonts w:hint="eastAsia" w:ascii="宋体" w:hAnsi="宋体" w:eastAsia="宋体" w:cs="宋体"/>
                <w:color w:val="auto"/>
                <w:kern w:val="0"/>
                <w:sz w:val="16"/>
                <w:szCs w:val="16"/>
                <w:lang w:val="en-US" w:eastAsia="zh-CN"/>
              </w:rPr>
              <w:t>阅览桌</w:t>
            </w:r>
          </w:p>
        </w:tc>
        <w:tc>
          <w:tcPr>
            <w:tcW w:w="3816" w:type="pct"/>
            <w:vAlign w:val="center"/>
          </w:tcPr>
          <w:p w14:paraId="2229408F">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1.规格：1600*1000*750。</w:t>
            </w:r>
          </w:p>
          <w:p w14:paraId="432BC3F3">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2.框架采用优质实木框架。辅材采用优质多层板实木板，环保等级达到ENF级：甲醛释放量Enf≤0.025mg/m³。</w:t>
            </w:r>
          </w:p>
          <w:p w14:paraId="06B984F0">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3.采用优质白橡木木皮：依据GB/T3324-2017、GB18584-2001及其引用标准，木材含水率检测合格，甲醛释放量≤0.1mg/L。</w:t>
            </w:r>
          </w:p>
          <w:p w14:paraId="1024E9A7">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4.采用环保胶粘剂（白乳胶）（水基型）：总挥发性有机物 ≤15g/L。</w:t>
            </w:r>
          </w:p>
          <w:p w14:paraId="125587D1">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5.采用环保水性油漆：容器中状态 搅拌均匀无硬块，冲击性：漆膜无脱落、开裂，耐干热性耐磨性好。</w:t>
            </w:r>
          </w:p>
        </w:tc>
        <w:tc>
          <w:tcPr>
            <w:tcW w:w="420" w:type="pct"/>
            <w:vAlign w:val="center"/>
          </w:tcPr>
          <w:p w14:paraId="5B93B8F5">
            <w:pPr>
              <w:widowControl/>
              <w:spacing w:line="260" w:lineRule="exact"/>
              <w:jc w:val="center"/>
              <w:textAlignment w:val="center"/>
              <w:rPr>
                <w:rFonts w:hint="eastAsia" w:ascii="宋体" w:hAnsi="宋体" w:eastAsia="宋体" w:cs="宋体"/>
                <w:strike/>
                <w:dstrike w:val="0"/>
                <w:kern w:val="0"/>
                <w:sz w:val="16"/>
                <w:szCs w:val="16"/>
                <w:lang w:val="en-US" w:eastAsia="zh-CN"/>
              </w:rPr>
            </w:pPr>
            <w:r>
              <w:rPr>
                <w:rFonts w:hint="eastAsia" w:ascii="宋体" w:hAnsi="宋体" w:cs="宋体"/>
                <w:kern w:val="0"/>
                <w:sz w:val="16"/>
                <w:szCs w:val="16"/>
                <w:lang w:val="en-US" w:eastAsia="zh-CN"/>
              </w:rPr>
              <w:t>2张</w:t>
            </w:r>
          </w:p>
        </w:tc>
      </w:tr>
      <w:tr w14:paraId="0F296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 w:type="pct"/>
            <w:vAlign w:val="center"/>
          </w:tcPr>
          <w:p w14:paraId="17B9928C">
            <w:pPr>
              <w:widowControl/>
              <w:spacing w:line="260" w:lineRule="exact"/>
              <w:jc w:val="center"/>
              <w:textAlignment w:val="center"/>
              <w:rPr>
                <w:rFonts w:hint="eastAsia" w:ascii="宋体" w:hAnsi="宋体" w:eastAsia="宋体" w:cs="宋体"/>
                <w:strike w:val="0"/>
                <w:dstrike w:val="0"/>
                <w:kern w:val="0"/>
                <w:sz w:val="16"/>
                <w:szCs w:val="16"/>
                <w:lang w:val="en-US" w:eastAsia="zh-CN"/>
              </w:rPr>
            </w:pPr>
            <w:r>
              <w:rPr>
                <w:rFonts w:hint="eastAsia" w:ascii="宋体" w:hAnsi="宋体" w:eastAsia="宋体" w:cs="宋体"/>
                <w:strike w:val="0"/>
                <w:dstrike w:val="0"/>
                <w:kern w:val="0"/>
                <w:sz w:val="16"/>
                <w:szCs w:val="16"/>
                <w:lang w:val="en-US" w:eastAsia="zh-CN"/>
              </w:rPr>
              <w:t>2</w:t>
            </w:r>
          </w:p>
        </w:tc>
        <w:tc>
          <w:tcPr>
            <w:tcW w:w="566" w:type="pct"/>
            <w:vAlign w:val="center"/>
          </w:tcPr>
          <w:p w14:paraId="4DDD88C4">
            <w:pPr>
              <w:widowControl/>
              <w:spacing w:line="260" w:lineRule="exact"/>
              <w:jc w:val="center"/>
              <w:textAlignment w:val="center"/>
              <w:rPr>
                <w:rFonts w:hint="eastAsia" w:ascii="宋体" w:hAnsi="宋体" w:eastAsia="宋体" w:cs="宋体"/>
                <w:color w:val="auto"/>
                <w:kern w:val="0"/>
                <w:sz w:val="16"/>
                <w:szCs w:val="16"/>
                <w:lang w:val="en-US" w:eastAsia="zh-CN"/>
              </w:rPr>
            </w:pPr>
            <w:r>
              <w:rPr>
                <w:rFonts w:hint="eastAsia" w:ascii="宋体" w:hAnsi="宋体" w:eastAsia="宋体" w:cs="宋体"/>
                <w:color w:val="auto"/>
                <w:kern w:val="0"/>
                <w:sz w:val="16"/>
                <w:szCs w:val="16"/>
                <w:lang w:val="en-US" w:eastAsia="zh-CN"/>
              </w:rPr>
              <w:t>阅览椅</w:t>
            </w:r>
          </w:p>
        </w:tc>
        <w:tc>
          <w:tcPr>
            <w:tcW w:w="3816" w:type="pct"/>
            <w:vAlign w:val="center"/>
          </w:tcPr>
          <w:p w14:paraId="0193D17A">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1.规格：常规</w:t>
            </w:r>
          </w:p>
          <w:p w14:paraId="6940EC85">
            <w:pPr>
              <w:widowControl/>
              <w:spacing w:line="260" w:lineRule="exact"/>
              <w:jc w:val="left"/>
              <w:textAlignment w:val="center"/>
              <w:rPr>
                <w:rFonts w:hint="default"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2</w:t>
            </w:r>
            <w:r>
              <w:rPr>
                <w:rFonts w:hint="default" w:ascii="宋体" w:hAnsi="宋体" w:eastAsia="宋体" w:cs="方正粗黑宋简体"/>
                <w:color w:val="000000"/>
                <w:kern w:val="0"/>
                <w:sz w:val="16"/>
                <w:szCs w:val="16"/>
                <w:lang w:val="en-US" w:eastAsia="zh-CN"/>
              </w:rPr>
              <w:t>.整体采用实木：主辅材料一致，木质平整光滑、无裂痕、无残缺、无死节，经烘干处理木材含水率≤11.5%，木家具中不应有虫蛀现象、外表应无腐朽材。</w:t>
            </w:r>
          </w:p>
          <w:p w14:paraId="03495C9D">
            <w:pPr>
              <w:widowControl/>
              <w:spacing w:line="260" w:lineRule="exact"/>
              <w:jc w:val="left"/>
              <w:textAlignment w:val="center"/>
              <w:rPr>
                <w:rFonts w:hint="default"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3</w:t>
            </w:r>
            <w:r>
              <w:rPr>
                <w:rFonts w:hint="default" w:ascii="宋体" w:hAnsi="宋体" w:eastAsia="宋体" w:cs="方正粗黑宋简体"/>
                <w:color w:val="000000"/>
                <w:kern w:val="0"/>
                <w:sz w:val="16"/>
                <w:szCs w:val="16"/>
                <w:lang w:val="en-US" w:eastAsia="zh-CN"/>
              </w:rPr>
              <w:t>.水性油漆：符合GB18581-2020《木器涂料中有害物质限量》；苯系物总和含量[限苯、甲苯、二甲苯（含乙苯）]≤50mg/kg</w:t>
            </w:r>
            <w:r>
              <w:rPr>
                <w:rFonts w:hint="eastAsia" w:ascii="宋体" w:hAnsi="宋体" w:eastAsia="宋体" w:cs="方正粗黑宋简体"/>
                <w:color w:val="000000"/>
                <w:kern w:val="0"/>
                <w:sz w:val="16"/>
                <w:szCs w:val="16"/>
                <w:lang w:val="en-US" w:eastAsia="zh-CN"/>
              </w:rPr>
              <w:t>。</w:t>
            </w:r>
          </w:p>
          <w:p w14:paraId="2CD17D98">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4</w:t>
            </w:r>
            <w:r>
              <w:rPr>
                <w:rFonts w:hint="default" w:ascii="宋体" w:hAnsi="宋体" w:eastAsia="宋体" w:cs="方正粗黑宋简体"/>
                <w:color w:val="000000"/>
                <w:kern w:val="0"/>
                <w:sz w:val="16"/>
                <w:szCs w:val="16"/>
                <w:lang w:val="en-US" w:eastAsia="zh-CN"/>
              </w:rPr>
              <w:t>.面料：优质西皮面料,不含致癌芳香胺染料</w:t>
            </w:r>
            <w:r>
              <w:rPr>
                <w:rFonts w:hint="eastAsia" w:ascii="宋体" w:hAnsi="宋体" w:eastAsia="宋体" w:cs="方正粗黑宋简体"/>
                <w:color w:val="000000"/>
                <w:kern w:val="0"/>
                <w:sz w:val="16"/>
                <w:szCs w:val="16"/>
                <w:lang w:val="en-US" w:eastAsia="zh-CN"/>
              </w:rPr>
              <w:t>。</w:t>
            </w:r>
          </w:p>
        </w:tc>
        <w:tc>
          <w:tcPr>
            <w:tcW w:w="420" w:type="pct"/>
            <w:vAlign w:val="center"/>
          </w:tcPr>
          <w:p w14:paraId="76179053">
            <w:pPr>
              <w:widowControl/>
              <w:spacing w:line="260" w:lineRule="exact"/>
              <w:jc w:val="center"/>
              <w:textAlignment w:val="center"/>
              <w:rPr>
                <w:rFonts w:hint="eastAsia" w:ascii="宋体" w:hAnsi="宋体" w:eastAsia="宋体" w:cs="宋体"/>
                <w:strike/>
                <w:dstrike w:val="0"/>
                <w:kern w:val="0"/>
                <w:sz w:val="16"/>
                <w:szCs w:val="16"/>
                <w:lang w:val="en-US" w:eastAsia="zh-CN"/>
              </w:rPr>
            </w:pPr>
            <w:r>
              <w:rPr>
                <w:rFonts w:hint="eastAsia" w:ascii="宋体" w:hAnsi="宋体" w:cs="宋体"/>
                <w:kern w:val="0"/>
                <w:sz w:val="16"/>
                <w:szCs w:val="16"/>
                <w:lang w:val="en-US" w:eastAsia="zh-CN"/>
              </w:rPr>
              <w:t>8把</w:t>
            </w:r>
          </w:p>
        </w:tc>
      </w:tr>
      <w:tr w14:paraId="5090B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 w:type="pct"/>
            <w:vAlign w:val="center"/>
          </w:tcPr>
          <w:p w14:paraId="6F46E296">
            <w:pPr>
              <w:widowControl/>
              <w:spacing w:line="260" w:lineRule="exact"/>
              <w:jc w:val="center"/>
              <w:textAlignment w:val="center"/>
              <w:rPr>
                <w:rFonts w:hint="eastAsia" w:ascii="宋体" w:hAnsi="宋体" w:eastAsia="宋体" w:cs="宋体"/>
                <w:strike w:val="0"/>
                <w:dstrike w:val="0"/>
                <w:kern w:val="0"/>
                <w:sz w:val="16"/>
                <w:szCs w:val="16"/>
                <w:lang w:val="en-US" w:eastAsia="zh-CN"/>
              </w:rPr>
            </w:pPr>
            <w:r>
              <w:rPr>
                <w:rFonts w:hint="eastAsia" w:ascii="宋体" w:hAnsi="宋体" w:eastAsia="宋体" w:cs="宋体"/>
                <w:strike w:val="0"/>
                <w:dstrike w:val="0"/>
                <w:kern w:val="0"/>
                <w:sz w:val="16"/>
                <w:szCs w:val="16"/>
                <w:lang w:val="en-US" w:eastAsia="zh-CN"/>
              </w:rPr>
              <w:t>3</w:t>
            </w:r>
          </w:p>
        </w:tc>
        <w:tc>
          <w:tcPr>
            <w:tcW w:w="566" w:type="pct"/>
            <w:vAlign w:val="center"/>
          </w:tcPr>
          <w:p w14:paraId="7FCE1A83">
            <w:pPr>
              <w:widowControl/>
              <w:spacing w:line="260" w:lineRule="exact"/>
              <w:jc w:val="center"/>
              <w:textAlignment w:val="center"/>
              <w:rPr>
                <w:rFonts w:hint="eastAsia" w:ascii="宋体" w:hAnsi="宋体" w:eastAsia="宋体" w:cs="宋体"/>
                <w:color w:val="auto"/>
                <w:kern w:val="0"/>
                <w:sz w:val="16"/>
                <w:szCs w:val="16"/>
                <w:lang w:val="en-US" w:eastAsia="zh-CN"/>
              </w:rPr>
            </w:pPr>
            <w:r>
              <w:rPr>
                <w:rFonts w:hint="eastAsia" w:ascii="宋体" w:hAnsi="宋体" w:eastAsia="宋体" w:cs="宋体"/>
                <w:color w:val="auto"/>
                <w:kern w:val="0"/>
                <w:sz w:val="16"/>
                <w:szCs w:val="16"/>
                <w:lang w:val="en-US" w:eastAsia="zh-CN"/>
              </w:rPr>
              <w:t>双人沙发</w:t>
            </w:r>
          </w:p>
        </w:tc>
        <w:tc>
          <w:tcPr>
            <w:tcW w:w="3816" w:type="pct"/>
            <w:vAlign w:val="center"/>
          </w:tcPr>
          <w:p w14:paraId="51BCDE59">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1.规格：双人位</w:t>
            </w:r>
          </w:p>
          <w:p w14:paraId="7E38193F">
            <w:pPr>
              <w:widowControl/>
              <w:spacing w:line="260" w:lineRule="exact"/>
              <w:jc w:val="left"/>
              <w:textAlignment w:val="center"/>
              <w:rPr>
                <w:rFonts w:hint="default"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2</w:t>
            </w:r>
            <w:r>
              <w:rPr>
                <w:rFonts w:hint="default" w:ascii="宋体" w:hAnsi="宋体" w:eastAsia="宋体" w:cs="方正粗黑宋简体"/>
                <w:color w:val="000000"/>
                <w:kern w:val="0"/>
                <w:sz w:val="16"/>
                <w:szCs w:val="16"/>
                <w:lang w:val="en-US" w:eastAsia="zh-CN"/>
              </w:rPr>
              <w:t>.整体采用实木：主辅材料一致，木质平整光滑、无裂痕、无残缺、无死节，经烘干处理木材含水率≤11.5%，木家具中不应有虫蛀现象、外表应无腐朽材。</w:t>
            </w:r>
          </w:p>
          <w:p w14:paraId="24B858E0">
            <w:pPr>
              <w:widowControl/>
              <w:spacing w:line="260" w:lineRule="exact"/>
              <w:jc w:val="left"/>
              <w:textAlignment w:val="center"/>
              <w:rPr>
                <w:rFonts w:hint="default"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3</w:t>
            </w:r>
            <w:r>
              <w:rPr>
                <w:rFonts w:hint="default" w:ascii="宋体" w:hAnsi="宋体" w:eastAsia="宋体" w:cs="方正粗黑宋简体"/>
                <w:color w:val="000000"/>
                <w:kern w:val="0"/>
                <w:sz w:val="16"/>
                <w:szCs w:val="16"/>
                <w:lang w:val="en-US" w:eastAsia="zh-CN"/>
              </w:rPr>
              <w:t>.水性油漆：符合GB 18581-2020《木器涂料中有害物质限量》，、三乙二醇二甲醚）≤50mg/kg；苯系物总和含量[限苯、甲苯、二甲苯（含乙苯）]≤50mg/kg；</w:t>
            </w:r>
          </w:p>
          <w:p w14:paraId="4EBAEEE3">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4</w:t>
            </w:r>
            <w:r>
              <w:rPr>
                <w:rFonts w:hint="default" w:ascii="宋体" w:hAnsi="宋体" w:eastAsia="宋体" w:cs="方正粗黑宋简体"/>
                <w:color w:val="000000"/>
                <w:kern w:val="0"/>
                <w:sz w:val="16"/>
                <w:szCs w:val="16"/>
                <w:lang w:val="en-US" w:eastAsia="zh-CN"/>
              </w:rPr>
              <w:t>.面料：优质布绒面料,不含致癌芳香胺染料;</w:t>
            </w:r>
          </w:p>
        </w:tc>
        <w:tc>
          <w:tcPr>
            <w:tcW w:w="420" w:type="pct"/>
            <w:vAlign w:val="center"/>
          </w:tcPr>
          <w:p w14:paraId="06CF98B9">
            <w:pPr>
              <w:widowControl/>
              <w:spacing w:line="260" w:lineRule="exact"/>
              <w:jc w:val="center"/>
              <w:textAlignment w:val="center"/>
              <w:rPr>
                <w:rFonts w:hint="default" w:ascii="宋体" w:hAnsi="宋体" w:eastAsia="宋体" w:cs="宋体"/>
                <w:strike/>
                <w:dstrike w:val="0"/>
                <w:kern w:val="0"/>
                <w:sz w:val="16"/>
                <w:szCs w:val="16"/>
                <w:lang w:val="en-US" w:eastAsia="zh-CN"/>
              </w:rPr>
            </w:pPr>
            <w:r>
              <w:rPr>
                <w:rFonts w:hint="eastAsia" w:ascii="宋体" w:hAnsi="宋体" w:cs="宋体"/>
                <w:kern w:val="0"/>
                <w:sz w:val="16"/>
                <w:szCs w:val="16"/>
                <w:lang w:val="en-US" w:eastAsia="zh-CN"/>
              </w:rPr>
              <w:t>1张</w:t>
            </w:r>
          </w:p>
        </w:tc>
      </w:tr>
      <w:tr w14:paraId="109FE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 w:type="pct"/>
            <w:vAlign w:val="center"/>
          </w:tcPr>
          <w:p w14:paraId="15B298B6">
            <w:pPr>
              <w:widowControl/>
              <w:spacing w:line="260" w:lineRule="exact"/>
              <w:jc w:val="center"/>
              <w:textAlignment w:val="center"/>
              <w:rPr>
                <w:rFonts w:hint="default" w:ascii="宋体" w:hAnsi="宋体" w:eastAsia="宋体" w:cs="宋体"/>
                <w:strike w:val="0"/>
                <w:dstrike w:val="0"/>
                <w:kern w:val="0"/>
                <w:sz w:val="16"/>
                <w:szCs w:val="16"/>
                <w:lang w:val="en-US" w:eastAsia="zh-CN"/>
              </w:rPr>
            </w:pPr>
            <w:r>
              <w:rPr>
                <w:rFonts w:hint="eastAsia" w:ascii="宋体" w:hAnsi="宋体" w:eastAsia="宋体" w:cs="宋体"/>
                <w:strike w:val="0"/>
                <w:dstrike w:val="0"/>
                <w:kern w:val="0"/>
                <w:sz w:val="16"/>
                <w:szCs w:val="16"/>
                <w:lang w:val="en-US" w:eastAsia="zh-CN"/>
              </w:rPr>
              <w:t>4</w:t>
            </w:r>
          </w:p>
        </w:tc>
        <w:tc>
          <w:tcPr>
            <w:tcW w:w="566" w:type="pct"/>
            <w:vAlign w:val="center"/>
          </w:tcPr>
          <w:p w14:paraId="52E0ADCD">
            <w:pPr>
              <w:widowControl/>
              <w:spacing w:line="260" w:lineRule="exact"/>
              <w:jc w:val="center"/>
              <w:textAlignment w:val="center"/>
              <w:rPr>
                <w:rFonts w:hint="eastAsia" w:ascii="宋体" w:hAnsi="宋体" w:eastAsia="宋体" w:cs="宋体"/>
                <w:color w:val="auto"/>
                <w:kern w:val="0"/>
                <w:sz w:val="16"/>
                <w:szCs w:val="16"/>
                <w:lang w:val="en-US" w:eastAsia="zh-CN"/>
              </w:rPr>
            </w:pPr>
            <w:r>
              <w:rPr>
                <w:rFonts w:hint="eastAsia" w:ascii="宋体" w:hAnsi="宋体" w:eastAsia="宋体" w:cs="宋体"/>
                <w:color w:val="auto"/>
                <w:kern w:val="0"/>
                <w:sz w:val="16"/>
                <w:szCs w:val="16"/>
                <w:lang w:val="en-US" w:eastAsia="zh-CN"/>
              </w:rPr>
              <w:t>休闲沙发</w:t>
            </w:r>
          </w:p>
        </w:tc>
        <w:tc>
          <w:tcPr>
            <w:tcW w:w="3816" w:type="pct"/>
            <w:vAlign w:val="center"/>
          </w:tcPr>
          <w:p w14:paraId="10E650A3">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1.规格：单人位</w:t>
            </w:r>
          </w:p>
          <w:p w14:paraId="4E3486E8">
            <w:pPr>
              <w:widowControl/>
              <w:spacing w:line="260" w:lineRule="exact"/>
              <w:jc w:val="left"/>
              <w:textAlignment w:val="center"/>
              <w:rPr>
                <w:rFonts w:hint="default"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2</w:t>
            </w:r>
            <w:r>
              <w:rPr>
                <w:rFonts w:hint="default" w:ascii="宋体" w:hAnsi="宋体" w:eastAsia="宋体" w:cs="方正粗黑宋简体"/>
                <w:color w:val="000000"/>
                <w:kern w:val="0"/>
                <w:sz w:val="16"/>
                <w:szCs w:val="16"/>
                <w:lang w:val="en-US" w:eastAsia="zh-CN"/>
              </w:rPr>
              <w:t>.整体采用实木：主辅材料一致，木质平整光滑、无裂痕、无残缺、无死节，经烘干处理木材含水率≤11.5%，木家具中不应有虫蛀现象、外表应无腐朽材。</w:t>
            </w:r>
          </w:p>
          <w:p w14:paraId="04CBC4ED">
            <w:pPr>
              <w:widowControl/>
              <w:spacing w:line="260" w:lineRule="exact"/>
              <w:jc w:val="left"/>
              <w:textAlignment w:val="center"/>
              <w:rPr>
                <w:rFonts w:hint="default"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3</w:t>
            </w:r>
            <w:r>
              <w:rPr>
                <w:rFonts w:hint="default" w:ascii="宋体" w:hAnsi="宋体" w:eastAsia="宋体" w:cs="方正粗黑宋简体"/>
                <w:color w:val="000000"/>
                <w:kern w:val="0"/>
                <w:sz w:val="16"/>
                <w:szCs w:val="16"/>
                <w:lang w:val="en-US" w:eastAsia="zh-CN"/>
              </w:rPr>
              <w:t>.水性油漆：符合GB 18581-2020《木器涂料中有害物质限量》，、三乙二醇二甲醚）≤50mg/kg；苯系物总和含量[限苯、甲苯、二甲苯（含乙苯）]≤50mg/kg；</w:t>
            </w:r>
          </w:p>
          <w:p w14:paraId="0E3D29D9">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4</w:t>
            </w:r>
            <w:r>
              <w:rPr>
                <w:rFonts w:hint="default" w:ascii="宋体" w:hAnsi="宋体" w:eastAsia="宋体" w:cs="方正粗黑宋简体"/>
                <w:color w:val="000000"/>
                <w:kern w:val="0"/>
                <w:sz w:val="16"/>
                <w:szCs w:val="16"/>
                <w:lang w:val="en-US" w:eastAsia="zh-CN"/>
              </w:rPr>
              <w:t>.面料：优质布绒面料,不含致癌芳香胺染料;</w:t>
            </w:r>
          </w:p>
        </w:tc>
        <w:tc>
          <w:tcPr>
            <w:tcW w:w="420" w:type="pct"/>
            <w:vAlign w:val="center"/>
          </w:tcPr>
          <w:p w14:paraId="37E542E1">
            <w:pPr>
              <w:widowControl/>
              <w:spacing w:line="260" w:lineRule="exact"/>
              <w:jc w:val="center"/>
              <w:textAlignment w:val="center"/>
              <w:rPr>
                <w:rFonts w:hint="default" w:ascii="宋体" w:hAnsi="宋体" w:eastAsia="宋体" w:cs="宋体"/>
                <w:strike/>
                <w:dstrike w:val="0"/>
                <w:kern w:val="0"/>
                <w:sz w:val="16"/>
                <w:szCs w:val="16"/>
                <w:lang w:val="en-US" w:eastAsia="zh-CN"/>
              </w:rPr>
            </w:pPr>
            <w:r>
              <w:rPr>
                <w:rFonts w:hint="eastAsia" w:ascii="宋体" w:hAnsi="宋体" w:cs="宋体"/>
                <w:kern w:val="0"/>
                <w:sz w:val="16"/>
                <w:szCs w:val="16"/>
                <w:lang w:val="en-US" w:eastAsia="zh-CN"/>
              </w:rPr>
              <w:t>2张</w:t>
            </w:r>
          </w:p>
        </w:tc>
      </w:tr>
      <w:tr w14:paraId="50695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 w:type="pct"/>
            <w:vAlign w:val="center"/>
          </w:tcPr>
          <w:p w14:paraId="22F0D3D6">
            <w:pPr>
              <w:widowControl/>
              <w:spacing w:line="260" w:lineRule="exact"/>
              <w:jc w:val="center"/>
              <w:textAlignment w:val="center"/>
              <w:rPr>
                <w:rFonts w:hint="default" w:ascii="宋体" w:hAnsi="宋体" w:eastAsia="宋体" w:cs="宋体"/>
                <w:strike w:val="0"/>
                <w:dstrike w:val="0"/>
                <w:kern w:val="0"/>
                <w:sz w:val="16"/>
                <w:szCs w:val="16"/>
                <w:lang w:val="en-US" w:eastAsia="zh-CN"/>
              </w:rPr>
            </w:pPr>
            <w:r>
              <w:rPr>
                <w:rFonts w:hint="eastAsia" w:ascii="宋体" w:hAnsi="宋体" w:eastAsia="宋体" w:cs="宋体"/>
                <w:strike w:val="0"/>
                <w:dstrike w:val="0"/>
                <w:kern w:val="0"/>
                <w:sz w:val="16"/>
                <w:szCs w:val="16"/>
                <w:lang w:val="en-US" w:eastAsia="zh-CN"/>
              </w:rPr>
              <w:t>5</w:t>
            </w:r>
          </w:p>
        </w:tc>
        <w:tc>
          <w:tcPr>
            <w:tcW w:w="566" w:type="pct"/>
            <w:vAlign w:val="center"/>
          </w:tcPr>
          <w:p w14:paraId="6885749D">
            <w:pPr>
              <w:widowControl/>
              <w:spacing w:line="260" w:lineRule="exact"/>
              <w:jc w:val="center"/>
              <w:textAlignment w:val="center"/>
              <w:rPr>
                <w:rFonts w:hint="eastAsia" w:ascii="宋体" w:hAnsi="宋体" w:eastAsia="宋体" w:cs="宋体"/>
                <w:color w:val="auto"/>
                <w:kern w:val="0"/>
                <w:sz w:val="16"/>
                <w:szCs w:val="16"/>
                <w:lang w:val="en-US" w:eastAsia="zh-CN"/>
              </w:rPr>
            </w:pPr>
            <w:r>
              <w:rPr>
                <w:rFonts w:hint="eastAsia" w:ascii="宋体" w:hAnsi="宋体" w:eastAsia="宋体" w:cs="宋体"/>
                <w:color w:val="auto"/>
                <w:kern w:val="0"/>
                <w:sz w:val="16"/>
                <w:szCs w:val="16"/>
                <w:lang w:val="en-US" w:eastAsia="zh-CN"/>
              </w:rPr>
              <w:t>小茶几</w:t>
            </w:r>
          </w:p>
        </w:tc>
        <w:tc>
          <w:tcPr>
            <w:tcW w:w="3816" w:type="pct"/>
            <w:vAlign w:val="center"/>
          </w:tcPr>
          <w:p w14:paraId="77B32952">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1.规格：φ600*450</w:t>
            </w:r>
          </w:p>
          <w:p w14:paraId="3D6E0C37">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2.框架采用优质实木框架。辅材采用优质中密度纤维板，环保等级达到ENF级：甲醛释放量Enf≤0.025mg/m³。</w:t>
            </w:r>
          </w:p>
          <w:p w14:paraId="0617E5E0">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3.采用优质白橡木木皮：依据GB/T3324-2017、GB18584-2001及其引用标准，木材含水率检测合格，甲醛释放量≤0.1mg/L。</w:t>
            </w:r>
          </w:p>
          <w:p w14:paraId="4392720A">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4.采用环保胶粘剂（白乳胶）（水基型）：总挥发性有机物 ≤15g/L。</w:t>
            </w:r>
          </w:p>
          <w:p w14:paraId="58B59F79">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5.采用环保水性油漆：容器中状态 搅拌均匀无硬块，冲击性：漆膜无脱落、开裂，耐干热性耐磨性好。</w:t>
            </w:r>
          </w:p>
        </w:tc>
        <w:tc>
          <w:tcPr>
            <w:tcW w:w="420" w:type="pct"/>
            <w:vAlign w:val="center"/>
          </w:tcPr>
          <w:p w14:paraId="72B06331">
            <w:pPr>
              <w:widowControl/>
              <w:spacing w:line="260" w:lineRule="exact"/>
              <w:jc w:val="center"/>
              <w:textAlignment w:val="center"/>
              <w:rPr>
                <w:rFonts w:hint="default" w:ascii="宋体" w:hAnsi="宋体" w:eastAsia="宋体" w:cs="宋体"/>
                <w:strike/>
                <w:dstrike w:val="0"/>
                <w:kern w:val="0"/>
                <w:sz w:val="16"/>
                <w:szCs w:val="16"/>
                <w:lang w:val="en-US" w:eastAsia="zh-CN"/>
              </w:rPr>
            </w:pPr>
            <w:r>
              <w:rPr>
                <w:rFonts w:hint="eastAsia" w:ascii="宋体" w:hAnsi="宋体" w:cs="宋体"/>
                <w:kern w:val="0"/>
                <w:sz w:val="16"/>
                <w:szCs w:val="16"/>
                <w:lang w:val="en-US" w:eastAsia="zh-CN"/>
              </w:rPr>
              <w:t>1组</w:t>
            </w:r>
          </w:p>
        </w:tc>
      </w:tr>
      <w:tr w14:paraId="763ED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 w:type="pct"/>
            <w:vAlign w:val="center"/>
          </w:tcPr>
          <w:p w14:paraId="132471A7">
            <w:pPr>
              <w:widowControl/>
              <w:spacing w:line="260" w:lineRule="exact"/>
              <w:jc w:val="center"/>
              <w:textAlignment w:val="center"/>
              <w:rPr>
                <w:rFonts w:hint="default" w:ascii="宋体" w:hAnsi="宋体" w:eastAsia="宋体" w:cs="宋体"/>
                <w:strike w:val="0"/>
                <w:dstrike w:val="0"/>
                <w:kern w:val="0"/>
                <w:sz w:val="16"/>
                <w:szCs w:val="16"/>
                <w:lang w:val="en-US" w:eastAsia="zh-CN"/>
              </w:rPr>
            </w:pPr>
            <w:r>
              <w:rPr>
                <w:rFonts w:hint="eastAsia" w:ascii="宋体" w:hAnsi="宋体" w:eastAsia="宋体" w:cs="宋体"/>
                <w:strike w:val="0"/>
                <w:dstrike w:val="0"/>
                <w:kern w:val="0"/>
                <w:sz w:val="16"/>
                <w:szCs w:val="16"/>
                <w:lang w:val="en-US" w:eastAsia="zh-CN"/>
              </w:rPr>
              <w:t>6</w:t>
            </w:r>
          </w:p>
        </w:tc>
        <w:tc>
          <w:tcPr>
            <w:tcW w:w="566" w:type="pct"/>
            <w:vAlign w:val="center"/>
          </w:tcPr>
          <w:p w14:paraId="44B2A011">
            <w:pPr>
              <w:widowControl/>
              <w:spacing w:line="260" w:lineRule="exact"/>
              <w:jc w:val="center"/>
              <w:textAlignment w:val="center"/>
              <w:rPr>
                <w:rFonts w:hint="eastAsia" w:ascii="宋体" w:hAnsi="宋体" w:eastAsia="宋体" w:cs="宋体"/>
                <w:color w:val="auto"/>
                <w:kern w:val="0"/>
                <w:sz w:val="16"/>
                <w:szCs w:val="16"/>
                <w:lang w:val="en-US" w:eastAsia="zh-CN"/>
              </w:rPr>
            </w:pPr>
            <w:r>
              <w:rPr>
                <w:rFonts w:hint="eastAsia" w:ascii="宋体" w:hAnsi="宋体" w:eastAsia="宋体" w:cs="宋体"/>
                <w:color w:val="auto"/>
                <w:kern w:val="0"/>
                <w:sz w:val="16"/>
                <w:szCs w:val="16"/>
                <w:lang w:val="en-US" w:eastAsia="zh-CN"/>
              </w:rPr>
              <w:t>大茶几</w:t>
            </w:r>
          </w:p>
        </w:tc>
        <w:tc>
          <w:tcPr>
            <w:tcW w:w="3816" w:type="pct"/>
            <w:vAlign w:val="center"/>
          </w:tcPr>
          <w:p w14:paraId="6D52576F">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1.规格：φ800*350</w:t>
            </w:r>
          </w:p>
          <w:p w14:paraId="032149E1">
            <w:pPr>
              <w:widowControl/>
              <w:spacing w:line="260" w:lineRule="exact"/>
              <w:jc w:val="left"/>
              <w:textAlignment w:val="center"/>
              <w:rPr>
                <w:rFonts w:hint="default"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2</w:t>
            </w:r>
            <w:r>
              <w:rPr>
                <w:rFonts w:hint="default" w:ascii="宋体" w:hAnsi="宋体" w:eastAsia="宋体" w:cs="方正粗黑宋简体"/>
                <w:color w:val="000000"/>
                <w:kern w:val="0"/>
                <w:sz w:val="16"/>
                <w:szCs w:val="16"/>
                <w:lang w:val="en-US" w:eastAsia="zh-CN"/>
              </w:rPr>
              <w:t>.框架采用优质实木框架。辅材采用优质中密度纤维板，环保等级达到ENF级：甲醛释放量Enf≤0.025mg/m³。</w:t>
            </w:r>
          </w:p>
          <w:p w14:paraId="008BB3FA">
            <w:pPr>
              <w:widowControl/>
              <w:spacing w:line="260" w:lineRule="exact"/>
              <w:jc w:val="left"/>
              <w:textAlignment w:val="center"/>
              <w:rPr>
                <w:rFonts w:hint="default"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3</w:t>
            </w:r>
            <w:r>
              <w:rPr>
                <w:rFonts w:hint="default" w:ascii="宋体" w:hAnsi="宋体" w:eastAsia="宋体" w:cs="方正粗黑宋简体"/>
                <w:color w:val="000000"/>
                <w:kern w:val="0"/>
                <w:sz w:val="16"/>
                <w:szCs w:val="16"/>
                <w:lang w:val="en-US" w:eastAsia="zh-CN"/>
              </w:rPr>
              <w:t>.采用优质白橡木木皮：依据GB/T3324-2017、GB18584-2001及其引用标准，木材含水率检测合格，甲醛释放量≤0.1mg/L。</w:t>
            </w:r>
          </w:p>
          <w:p w14:paraId="707B8ED8">
            <w:pPr>
              <w:widowControl/>
              <w:spacing w:line="260" w:lineRule="exact"/>
              <w:jc w:val="left"/>
              <w:textAlignment w:val="center"/>
              <w:rPr>
                <w:rFonts w:hint="default"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4</w:t>
            </w:r>
            <w:r>
              <w:rPr>
                <w:rFonts w:hint="default" w:ascii="宋体" w:hAnsi="宋体" w:eastAsia="宋体" w:cs="方正粗黑宋简体"/>
                <w:color w:val="000000"/>
                <w:kern w:val="0"/>
                <w:sz w:val="16"/>
                <w:szCs w:val="16"/>
                <w:lang w:val="en-US" w:eastAsia="zh-CN"/>
              </w:rPr>
              <w:t>.采用环保胶粘剂（白乳胶）（水基型）：总挥发性有机物 ≤15g/L。</w:t>
            </w:r>
          </w:p>
          <w:p w14:paraId="29C387AF">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5</w:t>
            </w:r>
            <w:r>
              <w:rPr>
                <w:rFonts w:hint="default" w:ascii="宋体" w:hAnsi="宋体" w:eastAsia="宋体" w:cs="方正粗黑宋简体"/>
                <w:color w:val="000000"/>
                <w:kern w:val="0"/>
                <w:sz w:val="16"/>
                <w:szCs w:val="16"/>
                <w:lang w:val="en-US" w:eastAsia="zh-CN"/>
              </w:rPr>
              <w:t>.采用环保水性油漆：容器中状态 搅拌均匀无硬块，冲击性：漆膜无脱落、开裂，耐干热性耐磨性好。</w:t>
            </w:r>
          </w:p>
        </w:tc>
        <w:tc>
          <w:tcPr>
            <w:tcW w:w="420" w:type="pct"/>
            <w:vAlign w:val="center"/>
          </w:tcPr>
          <w:p w14:paraId="56A30757">
            <w:pPr>
              <w:widowControl/>
              <w:spacing w:line="260" w:lineRule="exact"/>
              <w:jc w:val="center"/>
              <w:textAlignment w:val="center"/>
              <w:rPr>
                <w:rFonts w:hint="default" w:ascii="宋体" w:hAnsi="宋体" w:eastAsia="宋体" w:cs="宋体"/>
                <w:strike/>
                <w:dstrike w:val="0"/>
                <w:kern w:val="0"/>
                <w:sz w:val="16"/>
                <w:szCs w:val="16"/>
                <w:lang w:val="en-US" w:eastAsia="zh-CN"/>
              </w:rPr>
            </w:pPr>
            <w:r>
              <w:rPr>
                <w:rFonts w:hint="eastAsia" w:ascii="宋体" w:hAnsi="宋体" w:cs="宋体"/>
                <w:kern w:val="0"/>
                <w:sz w:val="16"/>
                <w:szCs w:val="16"/>
                <w:lang w:val="en-US" w:eastAsia="zh-CN"/>
              </w:rPr>
              <w:t>1组</w:t>
            </w:r>
          </w:p>
        </w:tc>
      </w:tr>
      <w:tr w14:paraId="77925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 w:type="pct"/>
            <w:vAlign w:val="center"/>
          </w:tcPr>
          <w:p w14:paraId="6CBD5BC4">
            <w:pPr>
              <w:widowControl/>
              <w:spacing w:line="260" w:lineRule="exact"/>
              <w:jc w:val="center"/>
              <w:textAlignment w:val="center"/>
              <w:rPr>
                <w:rFonts w:hint="default" w:ascii="宋体" w:hAnsi="宋体" w:eastAsia="宋体" w:cs="宋体"/>
                <w:strike w:val="0"/>
                <w:dstrike w:val="0"/>
                <w:kern w:val="0"/>
                <w:sz w:val="16"/>
                <w:szCs w:val="16"/>
                <w:lang w:val="en-US" w:eastAsia="zh-CN"/>
              </w:rPr>
            </w:pPr>
            <w:r>
              <w:rPr>
                <w:rFonts w:hint="eastAsia" w:ascii="宋体" w:hAnsi="宋体" w:eastAsia="宋体" w:cs="宋体"/>
                <w:strike w:val="0"/>
                <w:dstrike w:val="0"/>
                <w:kern w:val="0"/>
                <w:sz w:val="16"/>
                <w:szCs w:val="16"/>
                <w:lang w:val="en-US" w:eastAsia="zh-CN"/>
              </w:rPr>
              <w:t>7</w:t>
            </w:r>
          </w:p>
        </w:tc>
        <w:tc>
          <w:tcPr>
            <w:tcW w:w="566" w:type="pct"/>
            <w:vAlign w:val="center"/>
          </w:tcPr>
          <w:p w14:paraId="63A32468">
            <w:pPr>
              <w:widowControl/>
              <w:spacing w:line="260" w:lineRule="exact"/>
              <w:jc w:val="center"/>
              <w:textAlignment w:val="center"/>
              <w:rPr>
                <w:rFonts w:hint="eastAsia" w:ascii="宋体" w:hAnsi="宋体" w:eastAsia="宋体" w:cs="宋体"/>
                <w:color w:val="auto"/>
                <w:kern w:val="0"/>
                <w:sz w:val="16"/>
                <w:szCs w:val="16"/>
                <w:lang w:val="en-US" w:eastAsia="zh-CN"/>
              </w:rPr>
            </w:pPr>
            <w:r>
              <w:rPr>
                <w:rFonts w:hint="eastAsia" w:ascii="宋体" w:hAnsi="宋体" w:cs="宋体"/>
                <w:color w:val="auto"/>
                <w:kern w:val="0"/>
                <w:sz w:val="16"/>
                <w:szCs w:val="16"/>
                <w:lang w:val="en-US" w:eastAsia="zh-CN"/>
              </w:rPr>
              <w:t>休闲</w:t>
            </w:r>
            <w:r>
              <w:rPr>
                <w:rFonts w:hint="eastAsia" w:ascii="宋体" w:hAnsi="宋体" w:eastAsia="宋体" w:cs="宋体"/>
                <w:color w:val="auto"/>
                <w:kern w:val="0"/>
                <w:sz w:val="16"/>
                <w:szCs w:val="16"/>
                <w:lang w:val="en-US" w:eastAsia="zh-CN"/>
              </w:rPr>
              <w:t>桌</w:t>
            </w:r>
          </w:p>
        </w:tc>
        <w:tc>
          <w:tcPr>
            <w:tcW w:w="3816" w:type="pct"/>
            <w:vAlign w:val="center"/>
          </w:tcPr>
          <w:p w14:paraId="7AD373FB">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1.规格：Φ700*700</w:t>
            </w:r>
          </w:p>
          <w:p w14:paraId="79F9B638">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 xml:space="preserve">2.基材：采用18mm无毒无醛的大理石面,防水抗霉菌抗重压韧性强抗霜冻。                                                      </w:t>
            </w:r>
          </w:p>
          <w:p w14:paraId="18BD72A4">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3.配件：采用不锈钢，表面电镀金色处理，钢材焊接，须经打磨、封釉等工艺。抗氧化能力强。表层无漏喷、锈蚀和脱色、掉色现象，涂层 光滑均匀、色泽一致，无流挂、疙瘩、飞漆等缺陷。                                                                  4.底架：碳素钢管焊接而成，表面磨砂、黑色哑光工艺。抗氧化能力强。底层无漏喷、锈蚀和脱色、掉色现象，涂层 光滑均匀、色泽一致，无流挂、疙瘩、飞漆等缺陷。</w:t>
            </w:r>
          </w:p>
        </w:tc>
        <w:tc>
          <w:tcPr>
            <w:tcW w:w="420" w:type="pct"/>
            <w:vAlign w:val="center"/>
          </w:tcPr>
          <w:p w14:paraId="40A16E99">
            <w:pPr>
              <w:widowControl/>
              <w:spacing w:line="260" w:lineRule="exact"/>
              <w:jc w:val="center"/>
              <w:textAlignment w:val="center"/>
              <w:rPr>
                <w:rFonts w:hint="default" w:ascii="宋体" w:hAnsi="宋体" w:eastAsia="宋体" w:cs="宋体"/>
                <w:color w:val="auto"/>
                <w:kern w:val="0"/>
                <w:sz w:val="16"/>
                <w:szCs w:val="16"/>
                <w:lang w:val="en-US" w:eastAsia="zh-CN"/>
              </w:rPr>
            </w:pPr>
            <w:r>
              <w:rPr>
                <w:rFonts w:hint="eastAsia" w:ascii="宋体" w:hAnsi="宋体" w:cs="宋体"/>
                <w:color w:val="auto"/>
                <w:kern w:val="0"/>
                <w:sz w:val="16"/>
                <w:szCs w:val="16"/>
                <w:lang w:val="en-US" w:eastAsia="zh-CN"/>
              </w:rPr>
              <w:t>4张</w:t>
            </w:r>
          </w:p>
        </w:tc>
      </w:tr>
      <w:tr w14:paraId="4B104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 w:type="pct"/>
            <w:vAlign w:val="center"/>
          </w:tcPr>
          <w:p w14:paraId="28385EFE">
            <w:pPr>
              <w:widowControl/>
              <w:spacing w:line="260" w:lineRule="exact"/>
              <w:jc w:val="center"/>
              <w:textAlignment w:val="center"/>
              <w:rPr>
                <w:rFonts w:hint="default" w:ascii="宋体" w:hAnsi="宋体" w:eastAsia="宋体" w:cs="宋体"/>
                <w:strike w:val="0"/>
                <w:dstrike w:val="0"/>
                <w:kern w:val="0"/>
                <w:sz w:val="16"/>
                <w:szCs w:val="16"/>
                <w:lang w:val="en-US" w:eastAsia="zh-CN"/>
              </w:rPr>
            </w:pPr>
            <w:r>
              <w:rPr>
                <w:rFonts w:hint="eastAsia" w:ascii="宋体" w:hAnsi="宋体" w:eastAsia="宋体" w:cs="宋体"/>
                <w:strike w:val="0"/>
                <w:dstrike w:val="0"/>
                <w:kern w:val="0"/>
                <w:sz w:val="16"/>
                <w:szCs w:val="16"/>
                <w:lang w:val="en-US" w:eastAsia="zh-CN"/>
              </w:rPr>
              <w:t>8</w:t>
            </w:r>
          </w:p>
        </w:tc>
        <w:tc>
          <w:tcPr>
            <w:tcW w:w="566" w:type="pct"/>
            <w:vAlign w:val="center"/>
          </w:tcPr>
          <w:p w14:paraId="2F65987E">
            <w:pPr>
              <w:widowControl/>
              <w:spacing w:line="260" w:lineRule="exact"/>
              <w:jc w:val="center"/>
              <w:textAlignment w:val="center"/>
              <w:rPr>
                <w:rFonts w:hint="eastAsia" w:ascii="宋体" w:hAnsi="宋体" w:eastAsia="宋体" w:cs="宋体"/>
                <w:color w:val="auto"/>
                <w:kern w:val="0"/>
                <w:sz w:val="16"/>
                <w:szCs w:val="16"/>
                <w:lang w:val="en-US" w:eastAsia="zh-CN"/>
              </w:rPr>
            </w:pPr>
            <w:r>
              <w:rPr>
                <w:rFonts w:hint="eastAsia" w:ascii="宋体" w:hAnsi="宋体" w:cs="宋体"/>
                <w:color w:val="auto"/>
                <w:kern w:val="0"/>
                <w:sz w:val="16"/>
                <w:szCs w:val="16"/>
                <w:lang w:val="en-US" w:eastAsia="zh-CN"/>
              </w:rPr>
              <w:t>休闲</w:t>
            </w:r>
            <w:r>
              <w:rPr>
                <w:rFonts w:hint="eastAsia" w:ascii="宋体" w:hAnsi="宋体" w:eastAsia="宋体" w:cs="宋体"/>
                <w:color w:val="auto"/>
                <w:kern w:val="0"/>
                <w:sz w:val="16"/>
                <w:szCs w:val="16"/>
                <w:lang w:val="en-US" w:eastAsia="zh-CN"/>
              </w:rPr>
              <w:t>椅</w:t>
            </w:r>
          </w:p>
        </w:tc>
        <w:tc>
          <w:tcPr>
            <w:tcW w:w="3816" w:type="pct"/>
            <w:vAlign w:val="center"/>
          </w:tcPr>
          <w:p w14:paraId="6057878B">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1.规格：常规</w:t>
            </w:r>
          </w:p>
          <w:p w14:paraId="60EAF061">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 xml:space="preserve">2.面料：优质环保西皮，柔软而富有韧性，手感舒适，耐磨性强、无异味、弹性好、肌理清晰，健康环保，经久耐用。      </w:t>
            </w:r>
          </w:p>
          <w:p w14:paraId="479A342C">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3.海绵：用高密度定型棉，理化性能符合国家现行标准。</w:t>
            </w:r>
          </w:p>
          <w:p w14:paraId="33EF9B4C">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 xml:space="preserve">4.海绵内铁架支撑，软硬适中，反复坐压不变形、不塌陷，表面涂有防止老化变形的保护膜，性能参数达到国家现行检测标准。国标五金配件符合金属家具通用技术条件GB/T 3325-2017。      </w:t>
            </w:r>
          </w:p>
        </w:tc>
        <w:tc>
          <w:tcPr>
            <w:tcW w:w="420" w:type="pct"/>
            <w:vAlign w:val="center"/>
          </w:tcPr>
          <w:p w14:paraId="45111350">
            <w:pPr>
              <w:widowControl/>
              <w:spacing w:line="260" w:lineRule="exact"/>
              <w:jc w:val="center"/>
              <w:textAlignment w:val="center"/>
              <w:rPr>
                <w:rFonts w:hint="default" w:ascii="宋体" w:hAnsi="宋体" w:eastAsia="宋体" w:cs="宋体"/>
                <w:color w:val="auto"/>
                <w:kern w:val="0"/>
                <w:sz w:val="16"/>
                <w:szCs w:val="16"/>
                <w:lang w:val="en-US" w:eastAsia="zh-CN"/>
              </w:rPr>
            </w:pPr>
            <w:r>
              <w:rPr>
                <w:rFonts w:hint="eastAsia" w:ascii="宋体" w:hAnsi="宋体" w:cs="宋体"/>
                <w:color w:val="auto"/>
                <w:kern w:val="0"/>
                <w:sz w:val="16"/>
                <w:szCs w:val="16"/>
                <w:lang w:val="en-US" w:eastAsia="zh-CN"/>
              </w:rPr>
              <w:t>12把</w:t>
            </w:r>
          </w:p>
        </w:tc>
      </w:tr>
      <w:tr w14:paraId="301E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 w:type="pct"/>
            <w:vAlign w:val="center"/>
          </w:tcPr>
          <w:p w14:paraId="17F0BD17">
            <w:pPr>
              <w:widowControl/>
              <w:spacing w:line="260" w:lineRule="exact"/>
              <w:jc w:val="center"/>
              <w:textAlignment w:val="center"/>
              <w:rPr>
                <w:rFonts w:hint="default" w:ascii="宋体" w:hAnsi="宋体" w:eastAsia="宋体" w:cs="宋体"/>
                <w:strike w:val="0"/>
                <w:dstrike w:val="0"/>
                <w:kern w:val="0"/>
                <w:sz w:val="16"/>
                <w:szCs w:val="16"/>
                <w:lang w:val="en-US" w:eastAsia="zh-CN"/>
              </w:rPr>
            </w:pPr>
            <w:r>
              <w:rPr>
                <w:rFonts w:hint="eastAsia" w:ascii="宋体" w:hAnsi="宋体" w:eastAsia="宋体" w:cs="宋体"/>
                <w:strike w:val="0"/>
                <w:dstrike w:val="0"/>
                <w:kern w:val="0"/>
                <w:sz w:val="16"/>
                <w:szCs w:val="16"/>
                <w:lang w:val="en-US" w:eastAsia="zh-CN"/>
              </w:rPr>
              <w:t>9</w:t>
            </w:r>
          </w:p>
        </w:tc>
        <w:tc>
          <w:tcPr>
            <w:tcW w:w="566" w:type="pct"/>
            <w:vAlign w:val="center"/>
          </w:tcPr>
          <w:p w14:paraId="4EA9AAAB">
            <w:pPr>
              <w:widowControl/>
              <w:spacing w:line="260" w:lineRule="exact"/>
              <w:jc w:val="center"/>
              <w:textAlignment w:val="center"/>
              <w:rPr>
                <w:rFonts w:hint="eastAsia" w:ascii="宋体" w:hAnsi="宋体" w:eastAsia="宋体" w:cs="宋体"/>
                <w:color w:val="auto"/>
                <w:kern w:val="0"/>
                <w:sz w:val="16"/>
                <w:szCs w:val="16"/>
                <w:lang w:val="en-US" w:eastAsia="zh-CN"/>
              </w:rPr>
            </w:pPr>
            <w:r>
              <w:rPr>
                <w:rFonts w:hint="eastAsia" w:ascii="宋体" w:hAnsi="宋体" w:eastAsia="宋体" w:cs="宋体"/>
                <w:color w:val="auto"/>
                <w:kern w:val="0"/>
                <w:sz w:val="16"/>
                <w:szCs w:val="16"/>
                <w:lang w:val="en-US" w:eastAsia="zh-CN"/>
              </w:rPr>
              <w:t>数字触摸展示屏</w:t>
            </w:r>
          </w:p>
        </w:tc>
        <w:tc>
          <w:tcPr>
            <w:tcW w:w="3816" w:type="pct"/>
            <w:vAlign w:val="center"/>
          </w:tcPr>
          <w:p w14:paraId="0E231302">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1.屏幕尺寸≥65英寸；背光类型：直下式；分辨率≥3840×2160；屏幕比例：16:9。</w:t>
            </w:r>
          </w:p>
          <w:p w14:paraId="7881DB00">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2.边框材质：铝型材（氧化拉丝工艺）；表面防护≥3.5mm钢化玻璃；安装方式：挂架、移动支架或液压支架；标准</w:t>
            </w:r>
            <w:r>
              <w:rPr>
                <w:rFonts w:hint="default" w:ascii="宋体" w:hAnsi="宋体" w:eastAsia="宋体" w:cs="方正粗黑宋简体"/>
                <w:color w:val="000000"/>
                <w:kern w:val="0"/>
                <w:sz w:val="16"/>
                <w:szCs w:val="16"/>
                <w:lang w:val="en-US" w:eastAsia="zh-CN"/>
              </w:rPr>
              <w:t>VESA 孔位</w:t>
            </w:r>
            <w:r>
              <w:rPr>
                <w:rFonts w:hint="eastAsia" w:ascii="宋体" w:hAnsi="宋体" w:eastAsia="宋体" w:cs="方正粗黑宋简体"/>
                <w:color w:val="000000"/>
                <w:kern w:val="0"/>
                <w:sz w:val="16"/>
                <w:szCs w:val="16"/>
                <w:lang w:val="en-US" w:eastAsia="zh-CN"/>
              </w:rPr>
              <w:t>。</w:t>
            </w:r>
          </w:p>
          <w:p w14:paraId="454DDBDB">
            <w:pPr>
              <w:widowControl/>
              <w:spacing w:line="260" w:lineRule="exact"/>
              <w:jc w:val="left"/>
              <w:textAlignment w:val="center"/>
              <w:rPr>
                <w:rFonts w:hint="default"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3.触摸方式：内置红外触摸；触摸精度≤1.5mm；</w:t>
            </w:r>
          </w:p>
          <w:p w14:paraId="4667D5AD">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4.硬件参数：CPU≥Intel I5-4200U；运行内存》8GB;硬盘存储&gt;128GB;网络支持：以太网+WiFi+蓝牙;接口配置：HDMI-OUT≥1、VGA-OUT≥1、USB3.0≥2、USB2.0≥1、3.5耳机≥1、MIC≥1、RJ45≥1、Touch≥1、USB≥1、HDMI-IN≥1、VGA输入≥1、PC音频输入≥1、AV输出≥1、音频输出≥1；</w:t>
            </w:r>
          </w:p>
          <w:p w14:paraId="6AF99C69">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5.支持通过HDMI/DP接口输入显示；通过USB连接外接主机，可对输入信号源进行反控触摸；支持OPS关机+输入源无信号时自动进入待机状态；可自定义开机首选OPS或HDMI/DP输入通道；支持OPS与信号输入源切换可通过触摸/遥控进行切换；支持中文、繁体、英语等多国语言；支持0°、90°、180°、270旋转屏幕；通电自启、定时开关、网络唤醒、中控控制、遥控开关；支持4K音视频解码；支持有线/无线鼠标、键盘热拔插；可以自定义开机LOGO；</w:t>
            </w:r>
          </w:p>
          <w:p w14:paraId="492EE7C9">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6.输入电压：AC110-240V；待机功率：≤1W，额定功率：≤160W；</w:t>
            </w:r>
          </w:p>
          <w:p w14:paraId="242B7D35">
            <w:pPr>
              <w:widowControl/>
              <w:spacing w:line="260" w:lineRule="exact"/>
              <w:jc w:val="left"/>
              <w:textAlignment w:val="center"/>
              <w:rPr>
                <w:rFonts w:hint="default"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7.内置操作系统Windows 7/10/11。</w:t>
            </w:r>
          </w:p>
        </w:tc>
        <w:tc>
          <w:tcPr>
            <w:tcW w:w="420" w:type="pct"/>
            <w:vAlign w:val="center"/>
          </w:tcPr>
          <w:p w14:paraId="2D767275">
            <w:pPr>
              <w:widowControl/>
              <w:spacing w:line="260" w:lineRule="exact"/>
              <w:jc w:val="center"/>
              <w:textAlignment w:val="center"/>
              <w:rPr>
                <w:rFonts w:hint="eastAsia" w:ascii="宋体" w:hAnsi="宋体" w:eastAsia="宋体" w:cs="宋体"/>
                <w:kern w:val="0"/>
                <w:sz w:val="16"/>
                <w:szCs w:val="16"/>
                <w:lang w:val="en-US" w:eastAsia="zh-CN"/>
              </w:rPr>
            </w:pPr>
            <w:r>
              <w:rPr>
                <w:rFonts w:hint="eastAsia" w:ascii="宋体" w:hAnsi="宋体" w:cs="宋体"/>
                <w:kern w:val="0"/>
                <w:sz w:val="16"/>
                <w:szCs w:val="16"/>
                <w:lang w:val="en-US" w:eastAsia="zh-CN"/>
              </w:rPr>
              <w:t>1台</w:t>
            </w:r>
          </w:p>
        </w:tc>
      </w:tr>
      <w:tr w14:paraId="35178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 w:type="pct"/>
            <w:vAlign w:val="center"/>
          </w:tcPr>
          <w:p w14:paraId="02221313">
            <w:pPr>
              <w:widowControl/>
              <w:spacing w:line="260" w:lineRule="exact"/>
              <w:jc w:val="center"/>
              <w:textAlignment w:val="center"/>
              <w:rPr>
                <w:rFonts w:hint="default" w:ascii="宋体" w:hAnsi="宋体" w:eastAsia="宋体" w:cs="宋体"/>
                <w:strike w:val="0"/>
                <w:dstrike w:val="0"/>
                <w:kern w:val="0"/>
                <w:sz w:val="16"/>
                <w:szCs w:val="16"/>
                <w:lang w:val="en-US" w:eastAsia="zh-CN"/>
              </w:rPr>
            </w:pPr>
            <w:r>
              <w:rPr>
                <w:rFonts w:hint="eastAsia" w:ascii="宋体" w:hAnsi="宋体" w:eastAsia="宋体" w:cs="宋体"/>
                <w:strike w:val="0"/>
                <w:dstrike w:val="0"/>
                <w:kern w:val="0"/>
                <w:sz w:val="16"/>
                <w:szCs w:val="16"/>
                <w:lang w:val="en-US" w:eastAsia="zh-CN"/>
              </w:rPr>
              <w:t>10</w:t>
            </w:r>
          </w:p>
        </w:tc>
        <w:tc>
          <w:tcPr>
            <w:tcW w:w="566" w:type="pct"/>
            <w:vAlign w:val="center"/>
          </w:tcPr>
          <w:p w14:paraId="0B84BAE4">
            <w:pPr>
              <w:widowControl/>
              <w:spacing w:line="260" w:lineRule="exact"/>
              <w:jc w:val="center"/>
              <w:textAlignment w:val="center"/>
              <w:rPr>
                <w:rFonts w:hint="eastAsia" w:ascii="宋体" w:hAnsi="宋体" w:eastAsia="宋体" w:cs="宋体"/>
                <w:color w:val="auto"/>
                <w:kern w:val="0"/>
                <w:sz w:val="16"/>
                <w:szCs w:val="16"/>
                <w:lang w:val="en-US" w:eastAsia="zh-CN"/>
              </w:rPr>
            </w:pPr>
            <w:r>
              <w:rPr>
                <w:rFonts w:hint="eastAsia" w:ascii="宋体" w:hAnsi="宋体" w:eastAsia="宋体" w:cs="宋体"/>
                <w:color w:val="auto"/>
                <w:kern w:val="0"/>
                <w:sz w:val="16"/>
                <w:szCs w:val="16"/>
                <w:lang w:val="en-US" w:eastAsia="zh-CN"/>
              </w:rPr>
              <w:t>讲座培训智能终端</w:t>
            </w:r>
          </w:p>
        </w:tc>
        <w:tc>
          <w:tcPr>
            <w:tcW w:w="3816" w:type="pct"/>
            <w:vAlign w:val="center"/>
          </w:tcPr>
          <w:p w14:paraId="73BEE133">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1.整机屏幕为液晶显示器，尺寸≥86英寸,支持彩色制式：自动PAL/NTSC等制式，屏幕占比≥90%，分辨率≥3840*2160，可视角度≥178°，色域覆盖率≥72% NTSC。</w:t>
            </w:r>
          </w:p>
          <w:p w14:paraId="128D8FA2">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2.整机采用全物理钢化玻璃，钢化玻璃厚度≤3mm，表面硬度≥9H；整机采用防眩光玻璃，屏幕支持防眩光功能，透光率≥90%。</w:t>
            </w:r>
          </w:p>
          <w:p w14:paraId="39896FDB">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3.采用红外触控方式，全通道支持≥10点触摸，最大支持≥20点触摸.</w:t>
            </w:r>
          </w:p>
          <w:p w14:paraId="4E28718D">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4.触摸定位精度≤±1mm，最小识别直径≤3mm，书写高度≤2mm，触摸响应时间≤2ms。</w:t>
            </w:r>
          </w:p>
          <w:p w14:paraId="00F17EDB">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5.采用内置广角摄像头，像素≥4000万；整机内置≥8阵列麦克风，内置2.0声道扬声器。</w:t>
            </w:r>
          </w:p>
          <w:p w14:paraId="0E275D02">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6.支持音频解码格式包含：MPEG1/2、AC3、EAC3(DDP)、AAC、HEAAC、WMA、WMA10 proM0、WMA10 pro M1、WMA10 pro M2、VORBIS、LPCM、IMA-ADPCM、MS-ADPCM、LBR、FLAC、DRA、OPUS、AC4、MPEG-H TV、Fraunhofer。</w:t>
            </w:r>
          </w:p>
          <w:p w14:paraId="7A7B97CE">
            <w:pPr>
              <w:widowControl/>
              <w:spacing w:line="260" w:lineRule="exact"/>
              <w:jc w:val="left"/>
              <w:textAlignment w:val="center"/>
              <w:rPr>
                <w:rFonts w:hint="default"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7.支持视频解码格式包含：AVS、AV3+、AVS2.0、H263、H264、H265、MPEG-1、MPEG-2、MPEG-4、VC1、VP6、VP8、VP9、MJPEG。</w:t>
            </w:r>
          </w:p>
          <w:p w14:paraId="5B77B11C">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8.前置接口：HDMI In接口≥1路，Touch接口≥1路，USB接口≥3路 ，Type-c接口≥1路。</w:t>
            </w:r>
          </w:p>
          <w:p w14:paraId="1ABD89E7">
            <w:pPr>
              <w:widowControl/>
              <w:spacing w:line="260" w:lineRule="exact"/>
              <w:jc w:val="left"/>
              <w:textAlignment w:val="center"/>
              <w:rPr>
                <w:rFonts w:hint="default"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9.后置端口：LAN IN≥1路，SPDIF(COAX) ≥1路，Earphone≥1路，AV IN≥1路，RS232≥1路，HDMI IN 2.0≥1路，Touch≥1路，USB 2.0≥2路。</w:t>
            </w:r>
          </w:p>
          <w:p w14:paraId="65ED585D">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10.支持蓝牙5.0标准，支持手机通过蓝牙连接智能交互平板，可以调用音响进行音频播放，智能交互平板可通过蓝牙模块与蓝牙音箱连接，通过蓝牙音箱播放智能交互平板音频。</w:t>
            </w:r>
          </w:p>
          <w:p w14:paraId="260A4A55">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11.具有物理防蓝光功能，液晶显示屏支持过滤LED光源中的有害蓝光，保护视力健康。</w:t>
            </w:r>
          </w:p>
          <w:p w14:paraId="2DE37848">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12.内置安卓嵌入式系统≥Android*13.0，CPU≥8核，GPU≥2核；整机机身内存≥32G ROM，运行内存≥4GRAM。</w:t>
            </w:r>
          </w:p>
          <w:p w14:paraId="1163FAD1">
            <w:pPr>
              <w:widowControl/>
              <w:spacing w:line="260" w:lineRule="exact"/>
              <w:jc w:val="left"/>
              <w:textAlignment w:val="center"/>
              <w:rPr>
                <w:rFonts w:hint="default"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13.支持外接信号输入时自动唤醒功能，外接电脑显示信号通过HDMI传输线连接至整机时，整机可智能识别外接电脑设备信号输入并自动开机。</w:t>
            </w:r>
          </w:p>
          <w:p w14:paraId="005A27DA">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14.支持应用之上叠加一个应用的悬浮窗，实现双应用双窗口。</w:t>
            </w:r>
          </w:p>
          <w:p w14:paraId="3C8BC815">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15.支持密码解锁（输入密码解锁），手势解锁（指定手势解锁），USB锁（需要解锁才能读取USB），APP锁（打开选定的应用进行需要解锁）以及触摸锁（锁定PC触摸功能）。</w:t>
            </w:r>
          </w:p>
          <w:p w14:paraId="31C16377">
            <w:pPr>
              <w:widowControl/>
              <w:spacing w:line="260" w:lineRule="exact"/>
              <w:jc w:val="left"/>
              <w:textAlignment w:val="center"/>
              <w:rPr>
                <w:rFonts w:hint="default"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16.支持在任意通道下快捷调出悬浮菜单，悬浮菜单包括主页、内置电脑、白板、信号源、返回、信号源、批注等不少于6个功能，并支持一个自定义功能，并可在任意通道下通过两指双击屏幕快速调用此悬浮菜单到屏幕任意位置，且悬浮菜单在使用完毕后会自动隐藏。</w:t>
            </w:r>
          </w:p>
          <w:p w14:paraId="1BCF0880">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17.系统具备高清4K视频处理能力，4K 高清显示，保证显示效果清晰流畅。</w:t>
            </w:r>
          </w:p>
          <w:p w14:paraId="6302B339">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18.系统具备扫描二维码发起投票功能，支持单选、多选投票，投票结束可查看结果。</w:t>
            </w:r>
          </w:p>
          <w:p w14:paraId="79EFA6CE">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19.支持设置五指手势（包含五指左滑，五指右滑，五指上滑，五指下滑等操作），可自定义五指手势唤醒的功能（包括半屏模式，息屏，批注，回到桌面等功能）。</w:t>
            </w:r>
          </w:p>
          <w:p w14:paraId="76A485CA">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20.安卓电子白板支持单点和多点书写切换，支持移动、缩放等功能；书写笔支持9种预置颜色和自定义无极颜色；书写笔支持字体粗细通过滑条自由拖动改变。</w:t>
            </w:r>
          </w:p>
          <w:p w14:paraId="57861413">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21.安卓电子白板支持≥5种颜色背景，每种颜色支持至少14种网格背景。</w:t>
            </w:r>
          </w:p>
          <w:p w14:paraId="46D52425">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22.电子白板支持手写识别文字包括中文、英文，支持插入思维导图。</w:t>
            </w:r>
          </w:p>
        </w:tc>
        <w:tc>
          <w:tcPr>
            <w:tcW w:w="420" w:type="pct"/>
            <w:vAlign w:val="center"/>
          </w:tcPr>
          <w:p w14:paraId="321B0E19">
            <w:pPr>
              <w:widowControl/>
              <w:spacing w:line="260" w:lineRule="exact"/>
              <w:jc w:val="center"/>
              <w:textAlignment w:val="center"/>
              <w:rPr>
                <w:rFonts w:hint="default" w:ascii="宋体" w:hAnsi="宋体" w:cs="宋体"/>
                <w:kern w:val="0"/>
                <w:sz w:val="16"/>
                <w:szCs w:val="16"/>
                <w:lang w:val="en-US" w:eastAsia="zh-CN"/>
              </w:rPr>
            </w:pPr>
            <w:r>
              <w:rPr>
                <w:rFonts w:hint="eastAsia" w:ascii="宋体" w:hAnsi="宋体" w:cs="宋体"/>
                <w:kern w:val="0"/>
                <w:sz w:val="16"/>
                <w:szCs w:val="16"/>
                <w:lang w:val="en-US" w:eastAsia="zh-CN"/>
              </w:rPr>
              <w:t>1台</w:t>
            </w:r>
          </w:p>
        </w:tc>
      </w:tr>
      <w:tr w14:paraId="1A849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 w:type="pct"/>
            <w:vAlign w:val="center"/>
          </w:tcPr>
          <w:p w14:paraId="2ED9A364">
            <w:pPr>
              <w:widowControl/>
              <w:spacing w:line="260" w:lineRule="exact"/>
              <w:jc w:val="center"/>
              <w:textAlignment w:val="center"/>
              <w:rPr>
                <w:rFonts w:hint="default" w:ascii="宋体" w:hAnsi="宋体" w:eastAsia="宋体" w:cs="宋体"/>
                <w:strike w:val="0"/>
                <w:dstrike w:val="0"/>
                <w:kern w:val="0"/>
                <w:sz w:val="16"/>
                <w:szCs w:val="16"/>
                <w:lang w:val="en-US" w:eastAsia="zh-CN"/>
              </w:rPr>
            </w:pPr>
            <w:r>
              <w:rPr>
                <w:rFonts w:hint="eastAsia" w:ascii="宋体" w:hAnsi="宋体" w:eastAsia="宋体" w:cs="宋体"/>
                <w:strike w:val="0"/>
                <w:dstrike w:val="0"/>
                <w:kern w:val="0"/>
                <w:sz w:val="16"/>
                <w:szCs w:val="16"/>
                <w:lang w:val="en-US" w:eastAsia="zh-CN"/>
              </w:rPr>
              <w:t>11</w:t>
            </w:r>
          </w:p>
        </w:tc>
        <w:tc>
          <w:tcPr>
            <w:tcW w:w="566" w:type="pct"/>
            <w:vAlign w:val="center"/>
          </w:tcPr>
          <w:p w14:paraId="4BAF2EFD">
            <w:pPr>
              <w:widowControl/>
              <w:spacing w:line="260" w:lineRule="exact"/>
              <w:jc w:val="center"/>
              <w:textAlignment w:val="center"/>
              <w:rPr>
                <w:rFonts w:hint="eastAsia" w:ascii="宋体" w:hAnsi="宋体" w:eastAsia="宋体" w:cs="宋体"/>
                <w:color w:val="auto"/>
                <w:kern w:val="0"/>
                <w:sz w:val="16"/>
                <w:szCs w:val="16"/>
                <w:lang w:val="en-US" w:eastAsia="zh-CN"/>
              </w:rPr>
            </w:pPr>
            <w:r>
              <w:rPr>
                <w:rFonts w:hint="eastAsia" w:ascii="宋体" w:hAnsi="宋体" w:eastAsia="宋体" w:cs="宋体"/>
                <w:color w:val="auto"/>
                <w:kern w:val="0"/>
                <w:sz w:val="16"/>
                <w:szCs w:val="16"/>
                <w:lang w:val="en-US" w:eastAsia="zh-CN"/>
              </w:rPr>
              <w:t>南泉历史专题资源库</w:t>
            </w:r>
          </w:p>
        </w:tc>
        <w:tc>
          <w:tcPr>
            <w:tcW w:w="3816" w:type="pct"/>
            <w:vAlign w:val="center"/>
          </w:tcPr>
          <w:p w14:paraId="17F62DC8">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1.按照采购方要求，提供南泉历史专题数据资源采集加工，包括抗战文化类资源、南泉历史文化类等专题多媒体资源，资源类型包括音视频、图片和文字。</w:t>
            </w:r>
          </w:p>
          <w:p w14:paraId="04CD8982">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2.资源库建设，资源库展示版面页面整体设计（整体页面需通过采购方审核通过）、资源库数据资料存档。</w:t>
            </w:r>
          </w:p>
          <w:p w14:paraId="4578C7D3">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3.资源库发布，通过专用数字屏对外发布资源库，对接采购方官方网站、微信互联网媒体对外发布专题资源库。</w:t>
            </w:r>
          </w:p>
          <w:p w14:paraId="30E48342">
            <w:pPr>
              <w:widowControl/>
              <w:spacing w:line="260" w:lineRule="exact"/>
              <w:jc w:val="left"/>
              <w:textAlignment w:val="center"/>
              <w:rPr>
                <w:rFonts w:hint="default"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4.资源库后台管理系统，具备资源采集、资源管理、资源发布、图片视频等多媒体上传管理功能。</w:t>
            </w:r>
          </w:p>
        </w:tc>
        <w:tc>
          <w:tcPr>
            <w:tcW w:w="420" w:type="pct"/>
            <w:vAlign w:val="center"/>
          </w:tcPr>
          <w:p w14:paraId="5F4EC074">
            <w:pPr>
              <w:widowControl/>
              <w:spacing w:line="260" w:lineRule="exact"/>
              <w:jc w:val="center"/>
              <w:textAlignment w:val="center"/>
              <w:rPr>
                <w:rFonts w:hint="default" w:ascii="宋体" w:hAnsi="宋体" w:eastAsia="宋体" w:cs="宋体"/>
                <w:kern w:val="0"/>
                <w:sz w:val="16"/>
                <w:szCs w:val="16"/>
                <w:lang w:val="en-US" w:eastAsia="zh-CN"/>
              </w:rPr>
            </w:pPr>
            <w:r>
              <w:rPr>
                <w:rFonts w:hint="eastAsia" w:ascii="宋体" w:hAnsi="宋体" w:cs="宋体"/>
                <w:kern w:val="0"/>
                <w:sz w:val="16"/>
                <w:szCs w:val="16"/>
                <w:lang w:val="en-US" w:eastAsia="zh-CN"/>
              </w:rPr>
              <w:t>1项</w:t>
            </w:r>
          </w:p>
        </w:tc>
      </w:tr>
      <w:tr w14:paraId="144C4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 w:type="pct"/>
            <w:vAlign w:val="center"/>
          </w:tcPr>
          <w:p w14:paraId="13C56BF8">
            <w:pPr>
              <w:widowControl/>
              <w:spacing w:line="260" w:lineRule="exact"/>
              <w:jc w:val="center"/>
              <w:textAlignment w:val="center"/>
              <w:rPr>
                <w:rFonts w:hint="default" w:ascii="宋体" w:hAnsi="宋体" w:eastAsia="宋体" w:cs="宋体"/>
                <w:strike w:val="0"/>
                <w:dstrike w:val="0"/>
                <w:kern w:val="0"/>
                <w:sz w:val="16"/>
                <w:szCs w:val="16"/>
                <w:lang w:val="en-US" w:eastAsia="zh-CN"/>
              </w:rPr>
            </w:pPr>
            <w:r>
              <w:rPr>
                <w:rFonts w:hint="eastAsia" w:ascii="宋体" w:hAnsi="宋体" w:eastAsia="宋体" w:cs="宋体"/>
                <w:strike w:val="0"/>
                <w:dstrike w:val="0"/>
                <w:kern w:val="0"/>
                <w:sz w:val="16"/>
                <w:szCs w:val="16"/>
                <w:lang w:val="en-US" w:eastAsia="zh-CN"/>
              </w:rPr>
              <w:t>12</w:t>
            </w:r>
          </w:p>
        </w:tc>
        <w:tc>
          <w:tcPr>
            <w:tcW w:w="566" w:type="pct"/>
            <w:vAlign w:val="center"/>
          </w:tcPr>
          <w:p w14:paraId="03B6A3A3">
            <w:pPr>
              <w:widowControl/>
              <w:spacing w:line="260" w:lineRule="exact"/>
              <w:jc w:val="center"/>
              <w:textAlignment w:val="center"/>
              <w:rPr>
                <w:rFonts w:hint="eastAsia" w:ascii="宋体" w:hAnsi="宋体" w:eastAsia="宋体" w:cs="宋体"/>
                <w:color w:val="auto"/>
                <w:kern w:val="0"/>
                <w:sz w:val="16"/>
                <w:szCs w:val="16"/>
                <w:lang w:val="en-US" w:eastAsia="zh-CN"/>
              </w:rPr>
            </w:pPr>
            <w:r>
              <w:rPr>
                <w:rFonts w:hint="eastAsia" w:ascii="宋体" w:hAnsi="宋体" w:eastAsia="宋体" w:cs="宋体"/>
                <w:color w:val="auto"/>
                <w:kern w:val="0"/>
                <w:sz w:val="16"/>
                <w:szCs w:val="16"/>
                <w:lang w:val="en-US" w:eastAsia="zh-CN"/>
              </w:rPr>
              <w:t>便民饮水设备</w:t>
            </w:r>
          </w:p>
        </w:tc>
        <w:tc>
          <w:tcPr>
            <w:tcW w:w="3816" w:type="pct"/>
            <w:vAlign w:val="center"/>
          </w:tcPr>
          <w:p w14:paraId="2D0FB0B4">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1.功率≥2KW，电源220V/50HZ。</w:t>
            </w:r>
          </w:p>
          <w:p w14:paraId="284D4323">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2.触摸按键取水，2个龙头出水，1开水，1直饮水。</w:t>
            </w:r>
          </w:p>
          <w:p w14:paraId="7E46D7DC">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3.过滤要求:不低于5级反渗透过滤配置;净水流量≥1.05L/min;额定总净水量≥5500L；加热内胆容量：≥15升；符合《生活饮用水水质处理器卫生安全与功能评价规范-反渗透处理装置》(2001)的要求；</w:t>
            </w:r>
          </w:p>
          <w:p w14:paraId="78F8D013">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4.饮水机的各级滤芯出水水质符合《饮用净水水质标准》CJ/T 94-2005要求。</w:t>
            </w:r>
          </w:p>
          <w:p w14:paraId="767F9811">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5.加热管：采用800不锈钢加热管（提供与投标产品型号一致的整机《涉及饮用水卫生安全产品卫生许可批件》复印件做为依据，证件内需体现加热管不锈钢牌号）。</w:t>
            </w:r>
          </w:p>
          <w:p w14:paraId="7FC48552">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6.滤瓶：采用聚丙烯（PP）；（提供与整机批件申请单位一致的滤瓶《涉及饮用水卫生安全产品卫生许可批件》复印件做为依据）。</w:t>
            </w:r>
          </w:p>
          <w:p w14:paraId="43EBC46A">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cs="方正粗黑宋简体"/>
                <w:color w:val="000000"/>
                <w:kern w:val="0"/>
                <w:sz w:val="16"/>
                <w:szCs w:val="16"/>
                <w:lang w:val="en-US" w:eastAsia="zh-CN"/>
              </w:rPr>
              <w:t>7</w:t>
            </w:r>
            <w:r>
              <w:rPr>
                <w:rFonts w:hint="eastAsia" w:ascii="宋体" w:hAnsi="宋体" w:eastAsia="宋体" w:cs="方正粗黑宋简体"/>
                <w:color w:val="000000"/>
                <w:kern w:val="0"/>
                <w:sz w:val="16"/>
                <w:szCs w:val="16"/>
                <w:lang w:val="en-US" w:eastAsia="zh-CN"/>
              </w:rPr>
              <w:t>.采用步进式加热技术，饮水机加热停止4小时后，温度下降≤3℃/h。</w:t>
            </w:r>
          </w:p>
          <w:p w14:paraId="64B62935">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cs="方正粗黑宋简体"/>
                <w:color w:val="000000"/>
                <w:kern w:val="0"/>
                <w:sz w:val="16"/>
                <w:szCs w:val="16"/>
                <w:lang w:val="en-US" w:eastAsia="zh-CN"/>
              </w:rPr>
              <w:t>8</w:t>
            </w:r>
            <w:r>
              <w:rPr>
                <w:rFonts w:hint="eastAsia" w:ascii="宋体" w:hAnsi="宋体" w:eastAsia="宋体" w:cs="方正粗黑宋简体"/>
                <w:color w:val="000000"/>
                <w:kern w:val="0"/>
                <w:sz w:val="16"/>
                <w:szCs w:val="16"/>
                <w:lang w:val="en-US" w:eastAsia="zh-CN"/>
              </w:rPr>
              <w:t>.饮水机表面、边缘部位无腐蚀痕迹，符合GB/T 10125-2021耐腐蚀试验，试验时间≥96h，送检单位或委托单位须为所投产品制造商。</w:t>
            </w:r>
          </w:p>
          <w:p w14:paraId="32742C03">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cs="方正粗黑宋简体"/>
                <w:color w:val="000000"/>
                <w:kern w:val="0"/>
                <w:sz w:val="16"/>
                <w:szCs w:val="16"/>
                <w:lang w:val="en-US" w:eastAsia="zh-CN"/>
              </w:rPr>
              <w:t>9</w:t>
            </w:r>
            <w:r>
              <w:rPr>
                <w:rFonts w:hint="eastAsia" w:ascii="宋体" w:hAnsi="宋体" w:eastAsia="宋体" w:cs="方正粗黑宋简体"/>
                <w:color w:val="000000"/>
                <w:kern w:val="0"/>
                <w:sz w:val="16"/>
                <w:szCs w:val="16"/>
                <w:lang w:val="en-US" w:eastAsia="zh-CN"/>
              </w:rPr>
              <w:t>.饮水机的电极具有防止电腐蚀功能，确保不腐蚀出重金属，确保水质安全。</w:t>
            </w:r>
          </w:p>
          <w:p w14:paraId="6E5A9246">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w:t>
            </w:r>
            <w:r>
              <w:rPr>
                <w:rFonts w:hint="eastAsia" w:ascii="宋体" w:hAnsi="宋体" w:cs="方正粗黑宋简体"/>
                <w:color w:val="000000"/>
                <w:kern w:val="0"/>
                <w:sz w:val="16"/>
                <w:szCs w:val="16"/>
                <w:lang w:val="en-US" w:eastAsia="zh-CN"/>
              </w:rPr>
              <w:t>0</w:t>
            </w:r>
            <w:r>
              <w:rPr>
                <w:rFonts w:hint="eastAsia" w:ascii="宋体" w:hAnsi="宋体" w:eastAsia="宋体" w:cs="方正粗黑宋简体"/>
                <w:color w:val="000000"/>
                <w:kern w:val="0"/>
                <w:sz w:val="16"/>
                <w:szCs w:val="16"/>
                <w:lang w:val="en-US" w:eastAsia="zh-CN"/>
              </w:rPr>
              <w:t>.饮水机的噪音≤40dB（A）。</w:t>
            </w:r>
          </w:p>
          <w:p w14:paraId="0177583B">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w:t>
            </w:r>
            <w:r>
              <w:rPr>
                <w:rFonts w:hint="eastAsia" w:ascii="宋体" w:hAnsi="宋体" w:cs="方正粗黑宋简体"/>
                <w:color w:val="000000"/>
                <w:kern w:val="0"/>
                <w:sz w:val="16"/>
                <w:szCs w:val="16"/>
                <w:lang w:val="en-US" w:eastAsia="zh-CN"/>
              </w:rPr>
              <w:t>1</w:t>
            </w:r>
            <w:r>
              <w:rPr>
                <w:rFonts w:hint="eastAsia" w:ascii="宋体" w:hAnsi="宋体" w:eastAsia="宋体" w:cs="方正粗黑宋简体"/>
                <w:color w:val="000000"/>
                <w:kern w:val="0"/>
                <w:sz w:val="16"/>
                <w:szCs w:val="16"/>
                <w:lang w:val="en-US" w:eastAsia="zh-CN"/>
              </w:rPr>
              <w:t>.饮水机符合GB/T 26572-2011、GB/T 26125-2011、GB/T 39560.301-2020、GB/T 39560.4-2021、GB/T 39560.5-2021、GB/T39560.6-2020、GB/T 39560.701-2020、GB/T 39560.702-2021标准。</w:t>
            </w:r>
          </w:p>
          <w:p w14:paraId="7095FC0B">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w:t>
            </w:r>
            <w:r>
              <w:rPr>
                <w:rFonts w:hint="eastAsia" w:ascii="宋体" w:hAnsi="宋体" w:cs="方正粗黑宋简体"/>
                <w:color w:val="000000"/>
                <w:kern w:val="0"/>
                <w:sz w:val="16"/>
                <w:szCs w:val="16"/>
                <w:lang w:val="en-US" w:eastAsia="zh-CN"/>
              </w:rPr>
              <w:t>2</w:t>
            </w:r>
            <w:r>
              <w:rPr>
                <w:rFonts w:hint="eastAsia" w:ascii="宋体" w:hAnsi="宋体" w:eastAsia="宋体" w:cs="方正粗黑宋简体"/>
                <w:color w:val="000000"/>
                <w:kern w:val="0"/>
                <w:sz w:val="16"/>
                <w:szCs w:val="16"/>
                <w:lang w:val="en-US" w:eastAsia="zh-CN"/>
              </w:rPr>
              <w:t>.饮水机的加热内胆、水位电极、波纹管、温度探头、水嘴均采用304不锈钢材质，符合GB 4806.9-2023的要求；净水接头、滤瓶、膜壳符合GB 4806.7-2023的要求；电源线符合GB 4806.11-2023的要求。</w:t>
            </w:r>
          </w:p>
          <w:p w14:paraId="17825B21">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w:t>
            </w:r>
            <w:r>
              <w:rPr>
                <w:rFonts w:hint="eastAsia" w:ascii="宋体" w:hAnsi="宋体" w:cs="方正粗黑宋简体"/>
                <w:color w:val="000000"/>
                <w:kern w:val="0"/>
                <w:sz w:val="16"/>
                <w:szCs w:val="16"/>
                <w:lang w:val="en-US" w:eastAsia="zh-CN"/>
              </w:rPr>
              <w:t>3</w:t>
            </w:r>
            <w:r>
              <w:rPr>
                <w:rFonts w:hint="eastAsia" w:ascii="宋体" w:hAnsi="宋体" w:eastAsia="宋体" w:cs="方正粗黑宋简体"/>
                <w:color w:val="000000"/>
                <w:kern w:val="0"/>
                <w:sz w:val="16"/>
                <w:szCs w:val="16"/>
                <w:lang w:val="en-US" w:eastAsia="zh-CN"/>
              </w:rPr>
              <w:t>.饮水机具有防干烧、防开盖、防火阻燃、漏电保护、缺水保护、智能排放隔夜水等功能。</w:t>
            </w:r>
          </w:p>
          <w:p w14:paraId="6DFE88E1">
            <w:pPr>
              <w:widowControl/>
              <w:spacing w:line="260" w:lineRule="exact"/>
              <w:jc w:val="left"/>
              <w:textAlignment w:val="center"/>
              <w:rPr>
                <w:rFonts w:hint="default"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w:t>
            </w:r>
            <w:r>
              <w:rPr>
                <w:rFonts w:hint="eastAsia" w:ascii="宋体" w:hAnsi="宋体" w:cs="方正粗黑宋简体"/>
                <w:color w:val="000000"/>
                <w:kern w:val="0"/>
                <w:sz w:val="16"/>
                <w:szCs w:val="16"/>
                <w:lang w:val="en-US" w:eastAsia="zh-CN"/>
              </w:rPr>
              <w:t>4</w:t>
            </w:r>
            <w:r>
              <w:rPr>
                <w:rFonts w:hint="eastAsia" w:ascii="宋体" w:hAnsi="宋体" w:eastAsia="宋体" w:cs="方正粗黑宋简体"/>
                <w:color w:val="000000"/>
                <w:kern w:val="0"/>
                <w:sz w:val="16"/>
                <w:szCs w:val="16"/>
                <w:lang w:val="en-US" w:eastAsia="zh-CN"/>
              </w:rPr>
              <w:t>.饮水机的门板、水槽防溅网板采用304无指纹不锈钢材质，符合GB 11170-2008及GB 3280-2015标准。</w:t>
            </w:r>
          </w:p>
        </w:tc>
        <w:tc>
          <w:tcPr>
            <w:tcW w:w="420" w:type="pct"/>
            <w:vAlign w:val="center"/>
          </w:tcPr>
          <w:p w14:paraId="27A4135A">
            <w:pPr>
              <w:widowControl/>
              <w:spacing w:line="260" w:lineRule="exact"/>
              <w:jc w:val="center"/>
              <w:textAlignment w:val="center"/>
              <w:rPr>
                <w:rFonts w:hint="default" w:ascii="宋体" w:hAnsi="宋体" w:cs="宋体"/>
                <w:kern w:val="0"/>
                <w:sz w:val="16"/>
                <w:szCs w:val="16"/>
                <w:lang w:val="en-US" w:eastAsia="zh-CN"/>
              </w:rPr>
            </w:pPr>
            <w:r>
              <w:rPr>
                <w:rFonts w:hint="eastAsia" w:ascii="宋体" w:hAnsi="宋体" w:cs="宋体"/>
                <w:kern w:val="0"/>
                <w:sz w:val="16"/>
                <w:szCs w:val="16"/>
                <w:lang w:val="en-US" w:eastAsia="zh-CN"/>
              </w:rPr>
              <w:t>1台</w:t>
            </w:r>
          </w:p>
        </w:tc>
      </w:tr>
      <w:tr w14:paraId="45ED3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 w:type="pct"/>
            <w:vAlign w:val="center"/>
          </w:tcPr>
          <w:p w14:paraId="59C2165A">
            <w:pPr>
              <w:widowControl/>
              <w:spacing w:line="260" w:lineRule="exact"/>
              <w:jc w:val="center"/>
              <w:textAlignment w:val="center"/>
              <w:rPr>
                <w:rFonts w:hint="default" w:ascii="宋体" w:hAnsi="宋体" w:eastAsia="宋体" w:cs="宋体"/>
                <w:strike w:val="0"/>
                <w:dstrike w:val="0"/>
                <w:kern w:val="0"/>
                <w:sz w:val="16"/>
                <w:szCs w:val="16"/>
                <w:lang w:val="en-US" w:eastAsia="zh-CN"/>
              </w:rPr>
            </w:pPr>
            <w:r>
              <w:rPr>
                <w:rFonts w:hint="eastAsia" w:ascii="宋体" w:hAnsi="宋体" w:eastAsia="宋体" w:cs="宋体"/>
                <w:strike w:val="0"/>
                <w:dstrike w:val="0"/>
                <w:kern w:val="0"/>
                <w:sz w:val="16"/>
                <w:szCs w:val="16"/>
                <w:lang w:val="en-US" w:eastAsia="zh-CN"/>
              </w:rPr>
              <w:t>13</w:t>
            </w:r>
          </w:p>
        </w:tc>
        <w:tc>
          <w:tcPr>
            <w:tcW w:w="566" w:type="pct"/>
            <w:vAlign w:val="center"/>
          </w:tcPr>
          <w:p w14:paraId="5ACF038A">
            <w:pPr>
              <w:widowControl/>
              <w:spacing w:line="260" w:lineRule="exact"/>
              <w:jc w:val="center"/>
              <w:textAlignment w:val="center"/>
              <w:rPr>
                <w:rFonts w:hint="eastAsia" w:ascii="宋体" w:hAnsi="宋体" w:eastAsia="宋体" w:cs="宋体"/>
                <w:color w:val="auto"/>
                <w:kern w:val="0"/>
                <w:sz w:val="16"/>
                <w:szCs w:val="16"/>
                <w:lang w:val="en-US" w:eastAsia="zh-CN"/>
              </w:rPr>
            </w:pPr>
            <w:r>
              <w:rPr>
                <w:rFonts w:hint="eastAsia" w:ascii="宋体" w:hAnsi="宋体" w:eastAsia="宋体" w:cs="宋体"/>
                <w:color w:val="auto"/>
                <w:kern w:val="0"/>
                <w:sz w:val="16"/>
                <w:szCs w:val="16"/>
                <w:lang w:val="en-US" w:eastAsia="zh-CN"/>
              </w:rPr>
              <w:t>空间展示效果设计</w:t>
            </w:r>
          </w:p>
        </w:tc>
        <w:tc>
          <w:tcPr>
            <w:tcW w:w="3816" w:type="pct"/>
            <w:vAlign w:val="center"/>
          </w:tcPr>
          <w:p w14:paraId="002E4223">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对巴州产发文化空间进行空间效果设计：包括室内、家具选型、标识、广告、氛围营造等；</w:t>
            </w:r>
          </w:p>
        </w:tc>
        <w:tc>
          <w:tcPr>
            <w:tcW w:w="420" w:type="pct"/>
            <w:vAlign w:val="center"/>
          </w:tcPr>
          <w:p w14:paraId="223A36DD">
            <w:pPr>
              <w:widowControl/>
              <w:spacing w:line="260" w:lineRule="exact"/>
              <w:jc w:val="center"/>
              <w:textAlignment w:val="center"/>
              <w:rPr>
                <w:rFonts w:hint="default" w:ascii="宋体" w:hAnsi="宋体" w:cs="宋体"/>
                <w:kern w:val="0"/>
                <w:sz w:val="16"/>
                <w:szCs w:val="16"/>
                <w:lang w:val="en-US" w:eastAsia="zh-CN"/>
              </w:rPr>
            </w:pPr>
            <w:r>
              <w:rPr>
                <w:rFonts w:hint="eastAsia" w:ascii="宋体" w:hAnsi="宋体" w:cs="宋体"/>
                <w:kern w:val="0"/>
                <w:sz w:val="16"/>
                <w:szCs w:val="16"/>
                <w:lang w:val="en-US" w:eastAsia="zh-CN"/>
              </w:rPr>
              <w:t>1项</w:t>
            </w:r>
          </w:p>
        </w:tc>
      </w:tr>
      <w:tr w14:paraId="105CD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 w:type="pct"/>
            <w:vAlign w:val="center"/>
          </w:tcPr>
          <w:p w14:paraId="2C996FD3">
            <w:pPr>
              <w:widowControl/>
              <w:spacing w:line="260" w:lineRule="exact"/>
              <w:jc w:val="center"/>
              <w:textAlignment w:val="center"/>
              <w:rPr>
                <w:rFonts w:hint="default" w:ascii="宋体" w:hAnsi="宋体" w:eastAsia="宋体" w:cs="宋体"/>
                <w:strike w:val="0"/>
                <w:dstrike w:val="0"/>
                <w:kern w:val="0"/>
                <w:sz w:val="16"/>
                <w:szCs w:val="16"/>
                <w:lang w:val="en-US" w:eastAsia="zh-CN"/>
              </w:rPr>
            </w:pPr>
            <w:r>
              <w:rPr>
                <w:rFonts w:hint="eastAsia" w:ascii="宋体" w:hAnsi="宋体" w:eastAsia="宋体" w:cs="宋体"/>
                <w:strike w:val="0"/>
                <w:dstrike w:val="0"/>
                <w:kern w:val="0"/>
                <w:sz w:val="16"/>
                <w:szCs w:val="16"/>
                <w:lang w:val="en-US" w:eastAsia="zh-CN"/>
              </w:rPr>
              <w:t>14</w:t>
            </w:r>
          </w:p>
        </w:tc>
        <w:tc>
          <w:tcPr>
            <w:tcW w:w="566" w:type="pct"/>
            <w:vAlign w:val="center"/>
          </w:tcPr>
          <w:p w14:paraId="74B14058">
            <w:pPr>
              <w:widowControl/>
              <w:spacing w:line="260" w:lineRule="exact"/>
              <w:jc w:val="center"/>
              <w:textAlignment w:val="center"/>
              <w:rPr>
                <w:rFonts w:hint="eastAsia" w:ascii="宋体" w:hAnsi="宋体" w:eastAsia="宋体" w:cs="宋体"/>
                <w:color w:val="auto"/>
                <w:kern w:val="0"/>
                <w:sz w:val="16"/>
                <w:szCs w:val="16"/>
                <w:lang w:val="en-US" w:eastAsia="zh-CN"/>
              </w:rPr>
            </w:pPr>
            <w:r>
              <w:rPr>
                <w:rFonts w:hint="eastAsia" w:ascii="宋体" w:hAnsi="宋体" w:eastAsia="宋体" w:cs="宋体"/>
                <w:color w:val="auto"/>
                <w:kern w:val="0"/>
                <w:sz w:val="16"/>
                <w:szCs w:val="16"/>
                <w:lang w:val="en-US" w:eastAsia="zh-CN"/>
              </w:rPr>
              <w:t>室外招牌和上墙广告</w:t>
            </w:r>
          </w:p>
        </w:tc>
        <w:tc>
          <w:tcPr>
            <w:tcW w:w="3816" w:type="pct"/>
            <w:vAlign w:val="center"/>
          </w:tcPr>
          <w:p w14:paraId="26F7B8F1">
            <w:pPr>
              <w:widowControl/>
              <w:spacing w:line="260" w:lineRule="exact"/>
              <w:jc w:val="left"/>
              <w:textAlignment w:val="center"/>
              <w:rPr>
                <w:rFonts w:hint="default"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1.针对桑榆之家、首创奥莱文化空间、南温泉游客中心、巴州产发文化空间和木洞生物文化空间进行室外招牌、上墙制度和广告元素进行设计制作。</w:t>
            </w:r>
          </w:p>
          <w:p w14:paraId="124BA3D9">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2.规格：根据现场定制；</w:t>
            </w:r>
          </w:p>
          <w:p w14:paraId="7B8696DE">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3.不锈钢框架，1CMPVC底板，画面超卡板裱写真。</w:t>
            </w:r>
          </w:p>
          <w:p w14:paraId="61267CD1">
            <w:pPr>
              <w:widowControl/>
              <w:spacing w:line="260" w:lineRule="exact"/>
              <w:jc w:val="left"/>
              <w:textAlignment w:val="center"/>
              <w:rPr>
                <w:rFonts w:hint="default"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4.室外宣传海报制作和布展。</w:t>
            </w:r>
          </w:p>
          <w:p w14:paraId="20401065">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5.不锈钢焊接钢架，进口亚克力。</w:t>
            </w:r>
          </w:p>
        </w:tc>
        <w:tc>
          <w:tcPr>
            <w:tcW w:w="420" w:type="pct"/>
            <w:vAlign w:val="center"/>
          </w:tcPr>
          <w:p w14:paraId="51D0650F">
            <w:pPr>
              <w:widowControl/>
              <w:spacing w:line="260" w:lineRule="exact"/>
              <w:jc w:val="center"/>
              <w:textAlignment w:val="center"/>
              <w:rPr>
                <w:rFonts w:hint="eastAsia" w:ascii="宋体" w:hAnsi="宋体" w:cs="宋体"/>
                <w:kern w:val="0"/>
                <w:sz w:val="16"/>
                <w:szCs w:val="16"/>
                <w:lang w:val="en-US" w:eastAsia="zh-CN"/>
              </w:rPr>
            </w:pPr>
            <w:r>
              <w:rPr>
                <w:rFonts w:hint="eastAsia" w:ascii="宋体" w:hAnsi="宋体" w:cs="宋体"/>
                <w:kern w:val="0"/>
                <w:sz w:val="16"/>
                <w:szCs w:val="16"/>
                <w:lang w:val="en-US" w:eastAsia="zh-CN"/>
              </w:rPr>
              <w:t>1项</w:t>
            </w:r>
          </w:p>
        </w:tc>
      </w:tr>
      <w:tr w14:paraId="230D3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 w:type="pct"/>
            <w:vAlign w:val="center"/>
          </w:tcPr>
          <w:p w14:paraId="071B3770">
            <w:pPr>
              <w:widowControl/>
              <w:spacing w:line="260" w:lineRule="exact"/>
              <w:jc w:val="center"/>
              <w:textAlignment w:val="center"/>
              <w:rPr>
                <w:rFonts w:hint="default" w:ascii="宋体" w:hAnsi="宋体" w:eastAsia="宋体" w:cs="宋体"/>
                <w:strike w:val="0"/>
                <w:dstrike w:val="0"/>
                <w:kern w:val="0"/>
                <w:sz w:val="16"/>
                <w:szCs w:val="16"/>
                <w:lang w:val="en-US" w:eastAsia="zh-CN"/>
              </w:rPr>
            </w:pPr>
            <w:r>
              <w:rPr>
                <w:rFonts w:hint="eastAsia" w:ascii="宋体" w:hAnsi="宋体" w:eastAsia="宋体" w:cs="宋体"/>
                <w:strike w:val="0"/>
                <w:dstrike w:val="0"/>
                <w:kern w:val="0"/>
                <w:sz w:val="16"/>
                <w:szCs w:val="16"/>
                <w:lang w:val="en-US" w:eastAsia="zh-CN"/>
              </w:rPr>
              <w:t>15</w:t>
            </w:r>
          </w:p>
        </w:tc>
        <w:tc>
          <w:tcPr>
            <w:tcW w:w="566" w:type="pct"/>
            <w:vAlign w:val="center"/>
          </w:tcPr>
          <w:p w14:paraId="4FB3562F">
            <w:pPr>
              <w:widowControl/>
              <w:spacing w:line="260" w:lineRule="exact"/>
              <w:jc w:val="center"/>
              <w:textAlignment w:val="center"/>
              <w:rPr>
                <w:rFonts w:hint="eastAsia" w:ascii="宋体" w:hAnsi="宋体" w:eastAsia="宋体" w:cs="宋体"/>
                <w:color w:val="auto"/>
                <w:kern w:val="0"/>
                <w:sz w:val="16"/>
                <w:szCs w:val="16"/>
                <w:lang w:val="en-US" w:eastAsia="zh-CN"/>
              </w:rPr>
            </w:pPr>
            <w:r>
              <w:rPr>
                <w:rFonts w:hint="eastAsia" w:ascii="宋体" w:hAnsi="宋体" w:eastAsia="宋体" w:cs="宋体"/>
                <w:color w:val="auto"/>
                <w:kern w:val="0"/>
                <w:sz w:val="16"/>
                <w:szCs w:val="16"/>
                <w:lang w:val="en-US" w:eastAsia="zh-CN"/>
              </w:rPr>
              <w:t>家具搬运、安装、质保</w:t>
            </w:r>
          </w:p>
        </w:tc>
        <w:tc>
          <w:tcPr>
            <w:tcW w:w="3816" w:type="pct"/>
            <w:vAlign w:val="center"/>
          </w:tcPr>
          <w:p w14:paraId="24C14F9B">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1</w:t>
            </w:r>
            <w:r>
              <w:rPr>
                <w:rFonts w:hint="eastAsia" w:ascii="宋体" w:hAnsi="宋体" w:cs="方正粗黑宋简体"/>
                <w:color w:val="000000"/>
                <w:kern w:val="0"/>
                <w:sz w:val="16"/>
                <w:szCs w:val="16"/>
                <w:lang w:val="en-US" w:eastAsia="zh-CN"/>
              </w:rPr>
              <w:t>.</w:t>
            </w:r>
            <w:r>
              <w:rPr>
                <w:rFonts w:hint="eastAsia" w:ascii="宋体" w:hAnsi="宋体" w:eastAsia="宋体" w:cs="方正粗黑宋简体"/>
                <w:color w:val="000000"/>
                <w:kern w:val="0"/>
                <w:sz w:val="16"/>
                <w:szCs w:val="16"/>
                <w:lang w:val="en-US" w:eastAsia="zh-CN"/>
              </w:rPr>
              <w:t>旧家具搬运、安装、建筑垃圾除运。</w:t>
            </w:r>
          </w:p>
          <w:p w14:paraId="19EC4568">
            <w:pPr>
              <w:widowControl/>
              <w:spacing w:line="260" w:lineRule="exact"/>
              <w:jc w:val="left"/>
              <w:textAlignment w:val="center"/>
              <w:rPr>
                <w:rFonts w:hint="eastAsia" w:ascii="宋体" w:hAnsi="宋体" w:eastAsia="宋体" w:cs="方正粗黑宋简体"/>
                <w:color w:val="000000"/>
                <w:kern w:val="0"/>
                <w:sz w:val="16"/>
                <w:szCs w:val="16"/>
                <w:lang w:val="en-US" w:eastAsia="zh-CN"/>
              </w:rPr>
            </w:pPr>
            <w:r>
              <w:rPr>
                <w:rFonts w:hint="eastAsia" w:ascii="宋体" w:hAnsi="宋体" w:eastAsia="宋体" w:cs="方正粗黑宋简体"/>
                <w:color w:val="000000"/>
                <w:kern w:val="0"/>
                <w:sz w:val="16"/>
                <w:szCs w:val="16"/>
                <w:lang w:val="en-US" w:eastAsia="zh-CN"/>
              </w:rPr>
              <w:t>2</w:t>
            </w:r>
            <w:r>
              <w:rPr>
                <w:rFonts w:hint="eastAsia" w:ascii="宋体" w:hAnsi="宋体" w:cs="方正粗黑宋简体"/>
                <w:color w:val="000000"/>
                <w:kern w:val="0"/>
                <w:sz w:val="16"/>
                <w:szCs w:val="16"/>
                <w:lang w:val="en-US" w:eastAsia="zh-CN"/>
              </w:rPr>
              <w:t>.</w:t>
            </w:r>
            <w:bookmarkStart w:id="1" w:name="_GoBack"/>
            <w:bookmarkEnd w:id="1"/>
            <w:r>
              <w:rPr>
                <w:rFonts w:hint="eastAsia" w:ascii="宋体" w:hAnsi="宋体" w:eastAsia="宋体" w:cs="方正粗黑宋简体"/>
                <w:color w:val="000000"/>
                <w:kern w:val="0"/>
                <w:sz w:val="16"/>
                <w:szCs w:val="16"/>
                <w:lang w:val="en-US" w:eastAsia="zh-CN"/>
              </w:rPr>
              <w:t>质量售后保证，自验收之日起3年。</w:t>
            </w:r>
          </w:p>
        </w:tc>
        <w:tc>
          <w:tcPr>
            <w:tcW w:w="420" w:type="pct"/>
            <w:vAlign w:val="center"/>
          </w:tcPr>
          <w:p w14:paraId="1339E39E">
            <w:pPr>
              <w:widowControl/>
              <w:spacing w:line="260" w:lineRule="exact"/>
              <w:jc w:val="center"/>
              <w:textAlignment w:val="center"/>
              <w:rPr>
                <w:rFonts w:hint="default" w:ascii="宋体" w:hAnsi="宋体" w:cs="宋体"/>
                <w:kern w:val="0"/>
                <w:sz w:val="16"/>
                <w:szCs w:val="16"/>
                <w:lang w:val="en-US" w:eastAsia="zh-CN"/>
              </w:rPr>
            </w:pPr>
            <w:r>
              <w:rPr>
                <w:rFonts w:hint="eastAsia" w:ascii="宋体" w:hAnsi="宋体" w:cs="宋体"/>
                <w:kern w:val="0"/>
                <w:sz w:val="16"/>
                <w:szCs w:val="16"/>
                <w:lang w:val="en-US" w:eastAsia="zh-CN"/>
              </w:rPr>
              <w:t>1项</w:t>
            </w:r>
          </w:p>
        </w:tc>
      </w:tr>
    </w:tbl>
    <w:p w14:paraId="6E127A25">
      <w:pPr>
        <w:spacing w:line="570" w:lineRule="exact"/>
        <w:ind w:firstLine="640" w:firstLineChars="200"/>
        <w:rPr>
          <w:rFonts w:ascii="方正仿宋_GBK" w:hAnsi="方正仿宋_GBK" w:eastAsia="方正仿宋_GBK" w:cs="方正仿宋_GBK"/>
          <w:sz w:val="32"/>
          <w:szCs w:val="32"/>
        </w:rPr>
      </w:pPr>
      <w:r>
        <w:rPr>
          <w:rFonts w:hint="eastAsia" w:ascii="方正黑体_GBK" w:eastAsia="方正黑体_GBK"/>
          <w:sz w:val="32"/>
          <w:szCs w:val="32"/>
        </w:rPr>
        <w:t>五、报价要求</w:t>
      </w:r>
    </w:p>
    <w:p w14:paraId="1B9CE2BA">
      <w:pPr>
        <w:snapToGrid w:val="0"/>
        <w:spacing w:line="570" w:lineRule="exact"/>
        <w:ind w:firstLine="640" w:firstLineChars="200"/>
      </w:pPr>
      <w:r>
        <w:rPr>
          <w:rFonts w:hint="eastAsia" w:ascii="方正仿宋_GBK" w:hAnsi="方正仿宋_GBK" w:eastAsia="方正仿宋_GBK" w:cs="方正仿宋_GBK"/>
          <w:sz w:val="32"/>
          <w:szCs w:val="32"/>
        </w:rPr>
        <w:t>1.报价表参考格式（可根据实际情况自行调整）</w:t>
      </w:r>
    </w:p>
    <w:tbl>
      <w:tblPr>
        <w:tblStyle w:val="14"/>
        <w:tblW w:w="81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1629"/>
        <w:gridCol w:w="1350"/>
        <w:gridCol w:w="725"/>
        <w:gridCol w:w="780"/>
        <w:gridCol w:w="735"/>
        <w:gridCol w:w="1005"/>
        <w:gridCol w:w="1251"/>
      </w:tblGrid>
      <w:tr w14:paraId="715AD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713" w:type="dxa"/>
            <w:vAlign w:val="center"/>
          </w:tcPr>
          <w:p w14:paraId="7BD7B7CF">
            <w:pPr>
              <w:pStyle w:val="2"/>
              <w:spacing w:after="0"/>
              <w:jc w:val="center"/>
              <w:rPr>
                <w:rFonts w:ascii="方正仿宋_GBK" w:hAnsi="方正仿宋_GBK" w:eastAsia="方正仿宋_GBK" w:cs="方正仿宋_GBK"/>
                <w:b/>
                <w:bCs/>
              </w:rPr>
            </w:pPr>
            <w:r>
              <w:rPr>
                <w:rFonts w:hint="eastAsia" w:ascii="方正仿宋_GBK" w:hAnsi="方正仿宋_GBK" w:eastAsia="方正仿宋_GBK" w:cs="方正仿宋_GBK"/>
                <w:b/>
                <w:bCs/>
              </w:rPr>
              <w:t>序号</w:t>
            </w:r>
          </w:p>
        </w:tc>
        <w:tc>
          <w:tcPr>
            <w:tcW w:w="1629" w:type="dxa"/>
            <w:vAlign w:val="center"/>
          </w:tcPr>
          <w:p w14:paraId="4037E1E0">
            <w:pPr>
              <w:pStyle w:val="2"/>
              <w:spacing w:after="0"/>
              <w:jc w:val="center"/>
              <w:rPr>
                <w:rFonts w:ascii="方正仿宋_GBK" w:hAnsi="方正仿宋_GBK" w:eastAsia="方正仿宋_GBK" w:cs="方正仿宋_GBK"/>
                <w:b/>
                <w:bCs/>
              </w:rPr>
            </w:pPr>
            <w:r>
              <w:rPr>
                <w:rFonts w:hint="eastAsia" w:ascii="方正仿宋_GBK" w:hAnsi="方正仿宋_GBK" w:eastAsia="方正仿宋_GBK" w:cs="方正仿宋_GBK"/>
                <w:b/>
                <w:bCs/>
              </w:rPr>
              <w:t>服务物品名称</w:t>
            </w:r>
          </w:p>
        </w:tc>
        <w:tc>
          <w:tcPr>
            <w:tcW w:w="1350" w:type="dxa"/>
            <w:vAlign w:val="center"/>
          </w:tcPr>
          <w:p w14:paraId="75D09A2A">
            <w:pPr>
              <w:pStyle w:val="2"/>
              <w:spacing w:after="0"/>
              <w:jc w:val="center"/>
              <w:rPr>
                <w:rFonts w:ascii="方正仿宋_GBK" w:hAnsi="方正仿宋_GBK" w:eastAsia="方正仿宋_GBK" w:cs="方正仿宋_GBK"/>
                <w:b/>
                <w:bCs/>
              </w:rPr>
            </w:pPr>
            <w:r>
              <w:rPr>
                <w:rFonts w:hint="eastAsia" w:ascii="方正仿宋_GBK" w:hAnsi="方正仿宋_GBK" w:eastAsia="方正仿宋_GBK" w:cs="方正仿宋_GBK"/>
                <w:b/>
                <w:bCs/>
              </w:rPr>
              <w:t>参数及要求</w:t>
            </w:r>
          </w:p>
        </w:tc>
        <w:tc>
          <w:tcPr>
            <w:tcW w:w="725" w:type="dxa"/>
            <w:vAlign w:val="center"/>
          </w:tcPr>
          <w:p w14:paraId="71022CA2">
            <w:pPr>
              <w:pStyle w:val="2"/>
              <w:spacing w:after="0"/>
              <w:jc w:val="center"/>
              <w:rPr>
                <w:rFonts w:ascii="方正仿宋_GBK" w:hAnsi="方正仿宋_GBK" w:eastAsia="方正仿宋_GBK" w:cs="方正仿宋_GBK"/>
                <w:b/>
                <w:bCs/>
              </w:rPr>
            </w:pPr>
            <w:r>
              <w:rPr>
                <w:rFonts w:hint="eastAsia" w:ascii="方正仿宋_GBK" w:hAnsi="方正仿宋_GBK" w:eastAsia="方正仿宋_GBK" w:cs="方正仿宋_GBK"/>
                <w:b/>
                <w:bCs/>
              </w:rPr>
              <w:t>单位</w:t>
            </w:r>
          </w:p>
        </w:tc>
        <w:tc>
          <w:tcPr>
            <w:tcW w:w="780" w:type="dxa"/>
            <w:vAlign w:val="center"/>
          </w:tcPr>
          <w:p w14:paraId="5CAAEF87">
            <w:pPr>
              <w:pStyle w:val="2"/>
              <w:spacing w:after="0"/>
              <w:jc w:val="center"/>
              <w:rPr>
                <w:rFonts w:ascii="方正仿宋_GBK" w:hAnsi="方正仿宋_GBK" w:eastAsia="方正仿宋_GBK" w:cs="方正仿宋_GBK"/>
                <w:b/>
                <w:bCs/>
              </w:rPr>
            </w:pPr>
            <w:r>
              <w:rPr>
                <w:rFonts w:hint="eastAsia" w:ascii="方正仿宋_GBK" w:hAnsi="方正仿宋_GBK" w:eastAsia="方正仿宋_GBK" w:cs="方正仿宋_GBK"/>
                <w:b/>
                <w:bCs/>
              </w:rPr>
              <w:t>数量</w:t>
            </w:r>
          </w:p>
        </w:tc>
        <w:tc>
          <w:tcPr>
            <w:tcW w:w="735" w:type="dxa"/>
            <w:vAlign w:val="center"/>
          </w:tcPr>
          <w:p w14:paraId="41BF3CC3">
            <w:pPr>
              <w:pStyle w:val="2"/>
              <w:spacing w:after="0"/>
              <w:jc w:val="center"/>
              <w:rPr>
                <w:rFonts w:ascii="方正仿宋_GBK" w:hAnsi="方正仿宋_GBK" w:eastAsia="方正仿宋_GBK" w:cs="方正仿宋_GBK"/>
                <w:b/>
                <w:bCs/>
              </w:rPr>
            </w:pPr>
            <w:r>
              <w:rPr>
                <w:rFonts w:hint="eastAsia" w:ascii="方正仿宋_GBK" w:hAnsi="方正仿宋_GBK" w:eastAsia="方正仿宋_GBK" w:cs="方正仿宋_GBK"/>
                <w:b/>
                <w:bCs/>
              </w:rPr>
              <w:t>单价</w:t>
            </w:r>
          </w:p>
        </w:tc>
        <w:tc>
          <w:tcPr>
            <w:tcW w:w="1005" w:type="dxa"/>
            <w:vAlign w:val="center"/>
          </w:tcPr>
          <w:p w14:paraId="6EB7F0E0">
            <w:pPr>
              <w:pStyle w:val="2"/>
              <w:spacing w:after="0"/>
              <w:jc w:val="center"/>
              <w:rPr>
                <w:rFonts w:ascii="方正仿宋_GBK" w:hAnsi="方正仿宋_GBK" w:eastAsia="方正仿宋_GBK" w:cs="方正仿宋_GBK"/>
                <w:b/>
                <w:bCs/>
              </w:rPr>
            </w:pPr>
            <w:r>
              <w:rPr>
                <w:rFonts w:hint="eastAsia" w:ascii="方正仿宋_GBK" w:hAnsi="方正仿宋_GBK" w:eastAsia="方正仿宋_GBK" w:cs="方正仿宋_GBK"/>
                <w:b/>
                <w:bCs/>
              </w:rPr>
              <w:t>总价</w:t>
            </w:r>
          </w:p>
        </w:tc>
        <w:tc>
          <w:tcPr>
            <w:tcW w:w="1251" w:type="dxa"/>
            <w:vAlign w:val="center"/>
          </w:tcPr>
          <w:p w14:paraId="168ECA25">
            <w:pPr>
              <w:pStyle w:val="2"/>
              <w:spacing w:after="0"/>
              <w:jc w:val="center"/>
              <w:rPr>
                <w:rFonts w:ascii="方正仿宋_GBK" w:hAnsi="方正仿宋_GBK" w:eastAsia="方正仿宋_GBK" w:cs="方正仿宋_GBK"/>
                <w:b/>
                <w:bCs/>
              </w:rPr>
            </w:pPr>
            <w:r>
              <w:rPr>
                <w:rFonts w:hint="eastAsia" w:ascii="方正仿宋_GBK" w:hAnsi="方正仿宋_GBK" w:eastAsia="方正仿宋_GBK" w:cs="方正仿宋_GBK"/>
                <w:b/>
                <w:bCs/>
              </w:rPr>
              <w:t>备注信息</w:t>
            </w:r>
          </w:p>
        </w:tc>
      </w:tr>
      <w:tr w14:paraId="73CF8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vAlign w:val="center"/>
          </w:tcPr>
          <w:p w14:paraId="3850C66D">
            <w:pPr>
              <w:pStyle w:val="2"/>
              <w:spacing w:after="0"/>
              <w:jc w:val="center"/>
              <w:rPr>
                <w:rFonts w:ascii="方正仿宋_GBK" w:hAnsi="方正仿宋_GBK" w:eastAsia="方正仿宋_GBK" w:cs="方正仿宋_GBK"/>
              </w:rPr>
            </w:pPr>
            <w:r>
              <w:rPr>
                <w:rFonts w:hint="eastAsia" w:ascii="方正仿宋_GBK" w:hAnsi="方正仿宋_GBK" w:eastAsia="方正仿宋_GBK" w:cs="方正仿宋_GBK"/>
              </w:rPr>
              <w:t>1</w:t>
            </w:r>
          </w:p>
        </w:tc>
        <w:tc>
          <w:tcPr>
            <w:tcW w:w="1629" w:type="dxa"/>
            <w:vAlign w:val="center"/>
          </w:tcPr>
          <w:p w14:paraId="1D8C9A38">
            <w:pPr>
              <w:pStyle w:val="2"/>
              <w:spacing w:after="0"/>
              <w:jc w:val="center"/>
              <w:rPr>
                <w:rFonts w:ascii="方正仿宋_GBK" w:hAnsi="方正仿宋_GBK" w:eastAsia="方正仿宋_GBK" w:cs="方正仿宋_GBK"/>
              </w:rPr>
            </w:pPr>
          </w:p>
        </w:tc>
        <w:tc>
          <w:tcPr>
            <w:tcW w:w="1350" w:type="dxa"/>
            <w:vAlign w:val="center"/>
          </w:tcPr>
          <w:p w14:paraId="7FF11215">
            <w:pPr>
              <w:pStyle w:val="2"/>
              <w:spacing w:after="0"/>
              <w:jc w:val="center"/>
              <w:rPr>
                <w:rFonts w:ascii="方正仿宋_GBK" w:hAnsi="方正仿宋_GBK" w:eastAsia="方正仿宋_GBK" w:cs="方正仿宋_GBK"/>
              </w:rPr>
            </w:pPr>
          </w:p>
        </w:tc>
        <w:tc>
          <w:tcPr>
            <w:tcW w:w="725" w:type="dxa"/>
            <w:vAlign w:val="center"/>
          </w:tcPr>
          <w:p w14:paraId="048B5977">
            <w:pPr>
              <w:pStyle w:val="2"/>
              <w:spacing w:after="0"/>
              <w:jc w:val="center"/>
              <w:rPr>
                <w:rFonts w:ascii="方正仿宋_GBK" w:hAnsi="方正仿宋_GBK" w:eastAsia="方正仿宋_GBK" w:cs="方正仿宋_GBK"/>
              </w:rPr>
            </w:pPr>
          </w:p>
        </w:tc>
        <w:tc>
          <w:tcPr>
            <w:tcW w:w="780" w:type="dxa"/>
            <w:vAlign w:val="center"/>
          </w:tcPr>
          <w:p w14:paraId="4E15DE0F">
            <w:pPr>
              <w:pStyle w:val="2"/>
              <w:spacing w:after="0"/>
              <w:jc w:val="center"/>
              <w:rPr>
                <w:rFonts w:ascii="方正仿宋_GBK" w:hAnsi="方正仿宋_GBK" w:eastAsia="方正仿宋_GBK" w:cs="方正仿宋_GBK"/>
              </w:rPr>
            </w:pPr>
          </w:p>
        </w:tc>
        <w:tc>
          <w:tcPr>
            <w:tcW w:w="735" w:type="dxa"/>
            <w:vAlign w:val="center"/>
          </w:tcPr>
          <w:p w14:paraId="56DBB916">
            <w:pPr>
              <w:pStyle w:val="2"/>
              <w:spacing w:after="0"/>
              <w:jc w:val="center"/>
              <w:rPr>
                <w:rFonts w:ascii="方正仿宋_GBK" w:hAnsi="方正仿宋_GBK" w:eastAsia="方正仿宋_GBK" w:cs="方正仿宋_GBK"/>
              </w:rPr>
            </w:pPr>
          </w:p>
        </w:tc>
        <w:tc>
          <w:tcPr>
            <w:tcW w:w="1005" w:type="dxa"/>
            <w:vAlign w:val="center"/>
          </w:tcPr>
          <w:p w14:paraId="18F4C31F">
            <w:pPr>
              <w:pStyle w:val="2"/>
              <w:spacing w:after="0"/>
              <w:jc w:val="center"/>
              <w:rPr>
                <w:rFonts w:ascii="方正仿宋_GBK" w:hAnsi="方正仿宋_GBK" w:eastAsia="方正仿宋_GBK" w:cs="方正仿宋_GBK"/>
              </w:rPr>
            </w:pPr>
          </w:p>
        </w:tc>
        <w:tc>
          <w:tcPr>
            <w:tcW w:w="1251" w:type="dxa"/>
            <w:vAlign w:val="center"/>
          </w:tcPr>
          <w:p w14:paraId="2354C21D">
            <w:pPr>
              <w:pStyle w:val="2"/>
              <w:spacing w:after="0"/>
              <w:jc w:val="center"/>
              <w:rPr>
                <w:rFonts w:ascii="方正仿宋_GBK" w:hAnsi="方正仿宋_GBK" w:eastAsia="方正仿宋_GBK" w:cs="方正仿宋_GBK"/>
              </w:rPr>
            </w:pPr>
          </w:p>
        </w:tc>
      </w:tr>
      <w:tr w14:paraId="07205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vAlign w:val="center"/>
          </w:tcPr>
          <w:p w14:paraId="3024B353">
            <w:pPr>
              <w:pStyle w:val="2"/>
              <w:spacing w:after="0"/>
              <w:jc w:val="center"/>
              <w:rPr>
                <w:rFonts w:ascii="方正仿宋_GBK" w:hAnsi="方正仿宋_GBK" w:eastAsia="方正仿宋_GBK" w:cs="方正仿宋_GBK"/>
              </w:rPr>
            </w:pPr>
            <w:r>
              <w:rPr>
                <w:rFonts w:hint="eastAsia" w:ascii="方正仿宋_GBK" w:hAnsi="方正仿宋_GBK" w:eastAsia="方正仿宋_GBK" w:cs="方正仿宋_GBK"/>
              </w:rPr>
              <w:t>2</w:t>
            </w:r>
          </w:p>
        </w:tc>
        <w:tc>
          <w:tcPr>
            <w:tcW w:w="1629" w:type="dxa"/>
            <w:vAlign w:val="center"/>
          </w:tcPr>
          <w:p w14:paraId="0C3A8D0E">
            <w:pPr>
              <w:pStyle w:val="2"/>
              <w:spacing w:after="0"/>
              <w:jc w:val="center"/>
              <w:rPr>
                <w:rFonts w:ascii="方正仿宋_GBK" w:hAnsi="方正仿宋_GBK" w:eastAsia="方正仿宋_GBK" w:cs="方正仿宋_GBK"/>
              </w:rPr>
            </w:pPr>
          </w:p>
        </w:tc>
        <w:tc>
          <w:tcPr>
            <w:tcW w:w="1350" w:type="dxa"/>
            <w:vAlign w:val="center"/>
          </w:tcPr>
          <w:p w14:paraId="3BE5607B">
            <w:pPr>
              <w:pStyle w:val="2"/>
              <w:spacing w:after="0"/>
              <w:jc w:val="center"/>
              <w:rPr>
                <w:rFonts w:ascii="方正仿宋_GBK" w:hAnsi="方正仿宋_GBK" w:eastAsia="方正仿宋_GBK" w:cs="方正仿宋_GBK"/>
              </w:rPr>
            </w:pPr>
          </w:p>
        </w:tc>
        <w:tc>
          <w:tcPr>
            <w:tcW w:w="725" w:type="dxa"/>
            <w:vAlign w:val="center"/>
          </w:tcPr>
          <w:p w14:paraId="20E44577">
            <w:pPr>
              <w:pStyle w:val="2"/>
              <w:spacing w:after="0"/>
              <w:jc w:val="center"/>
              <w:rPr>
                <w:rFonts w:ascii="方正仿宋_GBK" w:hAnsi="方正仿宋_GBK" w:eastAsia="方正仿宋_GBK" w:cs="方正仿宋_GBK"/>
              </w:rPr>
            </w:pPr>
          </w:p>
        </w:tc>
        <w:tc>
          <w:tcPr>
            <w:tcW w:w="780" w:type="dxa"/>
            <w:vAlign w:val="center"/>
          </w:tcPr>
          <w:p w14:paraId="0E942732">
            <w:pPr>
              <w:pStyle w:val="2"/>
              <w:spacing w:after="0"/>
              <w:jc w:val="center"/>
              <w:rPr>
                <w:rFonts w:ascii="方正仿宋_GBK" w:hAnsi="方正仿宋_GBK" w:eastAsia="方正仿宋_GBK" w:cs="方正仿宋_GBK"/>
              </w:rPr>
            </w:pPr>
          </w:p>
        </w:tc>
        <w:tc>
          <w:tcPr>
            <w:tcW w:w="735" w:type="dxa"/>
            <w:vAlign w:val="center"/>
          </w:tcPr>
          <w:p w14:paraId="5ADE2946">
            <w:pPr>
              <w:pStyle w:val="2"/>
              <w:spacing w:after="0"/>
              <w:jc w:val="center"/>
              <w:rPr>
                <w:rFonts w:ascii="方正仿宋_GBK" w:hAnsi="方正仿宋_GBK" w:eastAsia="方正仿宋_GBK" w:cs="方正仿宋_GBK"/>
              </w:rPr>
            </w:pPr>
          </w:p>
        </w:tc>
        <w:tc>
          <w:tcPr>
            <w:tcW w:w="1005" w:type="dxa"/>
            <w:vAlign w:val="center"/>
          </w:tcPr>
          <w:p w14:paraId="71002214">
            <w:pPr>
              <w:pStyle w:val="2"/>
              <w:spacing w:after="0"/>
              <w:jc w:val="center"/>
              <w:rPr>
                <w:rFonts w:ascii="方正仿宋_GBK" w:hAnsi="方正仿宋_GBK" w:eastAsia="方正仿宋_GBK" w:cs="方正仿宋_GBK"/>
              </w:rPr>
            </w:pPr>
          </w:p>
        </w:tc>
        <w:tc>
          <w:tcPr>
            <w:tcW w:w="1251" w:type="dxa"/>
            <w:vAlign w:val="center"/>
          </w:tcPr>
          <w:p w14:paraId="298D3B22">
            <w:pPr>
              <w:pStyle w:val="2"/>
              <w:spacing w:after="0"/>
              <w:jc w:val="center"/>
              <w:rPr>
                <w:rFonts w:ascii="方正仿宋_GBK" w:hAnsi="方正仿宋_GBK" w:eastAsia="方正仿宋_GBK" w:cs="方正仿宋_GBK"/>
              </w:rPr>
            </w:pPr>
          </w:p>
        </w:tc>
      </w:tr>
      <w:tr w14:paraId="4AD4B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vAlign w:val="center"/>
          </w:tcPr>
          <w:p w14:paraId="686625EB">
            <w:pPr>
              <w:pStyle w:val="2"/>
              <w:spacing w:after="0"/>
              <w:jc w:val="center"/>
              <w:rPr>
                <w:rFonts w:ascii="方正仿宋_GBK" w:hAnsi="方正仿宋_GBK" w:eastAsia="方正仿宋_GBK" w:cs="方正仿宋_GBK"/>
              </w:rPr>
            </w:pPr>
            <w:r>
              <w:rPr>
                <w:rFonts w:hint="eastAsia" w:ascii="方正仿宋_GBK" w:hAnsi="方正仿宋_GBK" w:eastAsia="方正仿宋_GBK" w:cs="方正仿宋_GBK"/>
              </w:rPr>
              <w:t>3</w:t>
            </w:r>
          </w:p>
        </w:tc>
        <w:tc>
          <w:tcPr>
            <w:tcW w:w="1629" w:type="dxa"/>
            <w:vAlign w:val="center"/>
          </w:tcPr>
          <w:p w14:paraId="53450BC6">
            <w:pPr>
              <w:pStyle w:val="2"/>
              <w:spacing w:after="0"/>
              <w:jc w:val="center"/>
              <w:rPr>
                <w:rFonts w:ascii="方正仿宋_GBK" w:hAnsi="方正仿宋_GBK" w:eastAsia="方正仿宋_GBK" w:cs="方正仿宋_GBK"/>
              </w:rPr>
            </w:pPr>
          </w:p>
        </w:tc>
        <w:tc>
          <w:tcPr>
            <w:tcW w:w="1350" w:type="dxa"/>
            <w:vAlign w:val="center"/>
          </w:tcPr>
          <w:p w14:paraId="68B69B31">
            <w:pPr>
              <w:pStyle w:val="2"/>
              <w:spacing w:after="0"/>
              <w:jc w:val="center"/>
              <w:rPr>
                <w:rFonts w:ascii="方正仿宋_GBK" w:hAnsi="方正仿宋_GBK" w:eastAsia="方正仿宋_GBK" w:cs="方正仿宋_GBK"/>
              </w:rPr>
            </w:pPr>
          </w:p>
        </w:tc>
        <w:tc>
          <w:tcPr>
            <w:tcW w:w="725" w:type="dxa"/>
            <w:vAlign w:val="center"/>
          </w:tcPr>
          <w:p w14:paraId="2D599DB6">
            <w:pPr>
              <w:pStyle w:val="2"/>
              <w:spacing w:after="0"/>
              <w:jc w:val="center"/>
              <w:rPr>
                <w:rFonts w:ascii="方正仿宋_GBK" w:hAnsi="方正仿宋_GBK" w:eastAsia="方正仿宋_GBK" w:cs="方正仿宋_GBK"/>
              </w:rPr>
            </w:pPr>
          </w:p>
        </w:tc>
        <w:tc>
          <w:tcPr>
            <w:tcW w:w="780" w:type="dxa"/>
            <w:vAlign w:val="center"/>
          </w:tcPr>
          <w:p w14:paraId="69BD1433">
            <w:pPr>
              <w:pStyle w:val="2"/>
              <w:spacing w:after="0"/>
              <w:jc w:val="center"/>
              <w:rPr>
                <w:rFonts w:ascii="方正仿宋_GBK" w:hAnsi="方正仿宋_GBK" w:eastAsia="方正仿宋_GBK" w:cs="方正仿宋_GBK"/>
              </w:rPr>
            </w:pPr>
          </w:p>
        </w:tc>
        <w:tc>
          <w:tcPr>
            <w:tcW w:w="735" w:type="dxa"/>
            <w:vAlign w:val="center"/>
          </w:tcPr>
          <w:p w14:paraId="12DC4E7B">
            <w:pPr>
              <w:pStyle w:val="2"/>
              <w:spacing w:after="0"/>
              <w:jc w:val="center"/>
              <w:rPr>
                <w:rFonts w:ascii="方正仿宋_GBK" w:hAnsi="方正仿宋_GBK" w:eastAsia="方正仿宋_GBK" w:cs="方正仿宋_GBK"/>
              </w:rPr>
            </w:pPr>
          </w:p>
        </w:tc>
        <w:tc>
          <w:tcPr>
            <w:tcW w:w="1005" w:type="dxa"/>
            <w:vAlign w:val="center"/>
          </w:tcPr>
          <w:p w14:paraId="4CB5A008">
            <w:pPr>
              <w:pStyle w:val="2"/>
              <w:spacing w:after="0"/>
              <w:jc w:val="center"/>
              <w:rPr>
                <w:rFonts w:ascii="方正仿宋_GBK" w:hAnsi="方正仿宋_GBK" w:eastAsia="方正仿宋_GBK" w:cs="方正仿宋_GBK"/>
              </w:rPr>
            </w:pPr>
          </w:p>
        </w:tc>
        <w:tc>
          <w:tcPr>
            <w:tcW w:w="1251" w:type="dxa"/>
            <w:vAlign w:val="center"/>
          </w:tcPr>
          <w:p w14:paraId="5B8A312A">
            <w:pPr>
              <w:pStyle w:val="2"/>
              <w:spacing w:after="0"/>
              <w:jc w:val="center"/>
              <w:rPr>
                <w:rFonts w:ascii="方正仿宋_GBK" w:hAnsi="方正仿宋_GBK" w:eastAsia="方正仿宋_GBK" w:cs="方正仿宋_GBK"/>
              </w:rPr>
            </w:pPr>
          </w:p>
        </w:tc>
      </w:tr>
      <w:tr w14:paraId="6AE7A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2" w:type="dxa"/>
            <w:gridSpan w:val="6"/>
            <w:vAlign w:val="center"/>
          </w:tcPr>
          <w:p w14:paraId="1C4D44DA">
            <w:pPr>
              <w:pStyle w:val="2"/>
              <w:spacing w:after="0"/>
              <w:jc w:val="center"/>
              <w:rPr>
                <w:rFonts w:ascii="方正仿宋_GBK" w:hAnsi="方正仿宋_GBK" w:eastAsia="方正仿宋_GBK" w:cs="方正仿宋_GBK"/>
              </w:rPr>
            </w:pPr>
            <w:r>
              <w:rPr>
                <w:rFonts w:hint="eastAsia" w:ascii="方正仿宋_GBK" w:hAnsi="方正仿宋_GBK" w:eastAsia="方正仿宋_GBK" w:cs="方正仿宋_GBK"/>
              </w:rPr>
              <w:t>合计</w:t>
            </w:r>
          </w:p>
        </w:tc>
        <w:tc>
          <w:tcPr>
            <w:tcW w:w="1005" w:type="dxa"/>
            <w:vAlign w:val="center"/>
          </w:tcPr>
          <w:p w14:paraId="6D4D1E47">
            <w:pPr>
              <w:pStyle w:val="2"/>
              <w:spacing w:after="0"/>
              <w:jc w:val="center"/>
              <w:rPr>
                <w:rFonts w:ascii="方正仿宋_GBK" w:hAnsi="方正仿宋_GBK" w:eastAsia="方正仿宋_GBK" w:cs="方正仿宋_GBK"/>
              </w:rPr>
            </w:pPr>
          </w:p>
        </w:tc>
        <w:tc>
          <w:tcPr>
            <w:tcW w:w="1251" w:type="dxa"/>
            <w:vAlign w:val="center"/>
          </w:tcPr>
          <w:p w14:paraId="68A066C3">
            <w:pPr>
              <w:pStyle w:val="2"/>
              <w:spacing w:after="0"/>
              <w:jc w:val="center"/>
              <w:rPr>
                <w:rFonts w:ascii="方正仿宋_GBK" w:hAnsi="方正仿宋_GBK" w:eastAsia="方正仿宋_GBK" w:cs="方正仿宋_GBK"/>
              </w:rPr>
            </w:pPr>
          </w:p>
        </w:tc>
      </w:tr>
    </w:tbl>
    <w:p w14:paraId="6FE4A371">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2.报价文件</w:t>
      </w:r>
    </w:p>
    <w:p w14:paraId="4227988C">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电子扫描版请发送至邮箱mail@bnlib.cn，纸质版寄送至巴南区图书馆龙洲湾总馆。</w:t>
      </w:r>
    </w:p>
    <w:p w14:paraId="6E8650F8">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3.联系信息</w:t>
      </w:r>
    </w:p>
    <w:p w14:paraId="200E9A89">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联系人：周老师（023-66281713）</w:t>
      </w:r>
    </w:p>
    <w:p w14:paraId="35BBE796">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联系地址：重庆市巴南区龙洲湾巴南文化艺术中心。</w:t>
      </w:r>
    </w:p>
    <w:p w14:paraId="0D6F6F6F">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4.报价时间</w:t>
      </w:r>
    </w:p>
    <w:p w14:paraId="46AF67AB">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报价截止时间2025年</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日上午9点。</w:t>
      </w:r>
    </w:p>
    <w:p w14:paraId="11DD9168">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5.报价要求</w:t>
      </w:r>
    </w:p>
    <w:p w14:paraId="4A1A699B">
      <w:pPr>
        <w:snapToGrid w:val="0"/>
        <w:spacing w:line="570" w:lineRule="exact"/>
        <w:ind w:firstLine="640" w:firstLineChars="200"/>
        <w:rPr>
          <w:rFonts w:ascii="方正仿宋_GBK" w:hAnsi="方正仿宋_GBK" w:eastAsia="方正仿宋_GBK" w:cs="方正仿宋_GBK"/>
          <w:sz w:val="32"/>
          <w:szCs w:val="32"/>
        </w:rPr>
      </w:pPr>
      <w:r>
        <w:rPr>
          <w:rFonts w:ascii="方正仿宋_GBK" w:hAnsi="方正仿宋_GBK" w:eastAsia="方正仿宋_GBK" w:cs="方正仿宋_GBK"/>
          <w:sz w:val="32"/>
          <w:szCs w:val="32"/>
        </w:rPr>
        <w:t>报价应包含人工、管理费及税金等该项目涉及的一切费用，以人民币结算</w:t>
      </w:r>
      <w:r>
        <w:rPr>
          <w:rFonts w:hint="eastAsia" w:ascii="方正仿宋_GBK" w:hAnsi="方正仿宋_GBK" w:eastAsia="方正仿宋_GBK" w:cs="方正仿宋_GBK"/>
          <w:sz w:val="32"/>
          <w:szCs w:val="32"/>
        </w:rPr>
        <w:t>。</w:t>
      </w:r>
    </w:p>
    <w:p w14:paraId="57B4225C">
      <w:pPr>
        <w:pStyle w:val="2"/>
      </w:pPr>
    </w:p>
    <w:sectPr>
      <w:footerReference r:id="rId3" w:type="default"/>
      <w:pgSz w:w="11906" w:h="16838"/>
      <w:pgMar w:top="1440" w:right="1080" w:bottom="1440" w:left="1080" w:header="851" w:footer="992"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粗黑宋简体">
    <w:altName w:val="宋体"/>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E1CBE6">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D0774BD">
                          <w:pPr>
                            <w:pStyle w:val="9"/>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第 </w:t>
                          </w: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PAGE  \* MERGEFORMAT </w:instrText>
                          </w:r>
                          <w:r>
                            <w:rPr>
                              <w:rFonts w:hint="eastAsia" w:ascii="方正仿宋_GBK" w:hAnsi="方正仿宋_GBK" w:eastAsia="方正仿宋_GBK" w:cs="方正仿宋_GBK"/>
                              <w:sz w:val="24"/>
                              <w:szCs w:val="24"/>
                            </w:rPr>
                            <w:fldChar w:fldCharType="separate"/>
                          </w:r>
                          <w:r>
                            <w:rPr>
                              <w:rFonts w:ascii="方正仿宋_GBK" w:hAnsi="方正仿宋_GBK" w:eastAsia="方正仿宋_GBK" w:cs="方正仿宋_GBK"/>
                              <w:sz w:val="24"/>
                              <w:szCs w:val="24"/>
                            </w:rPr>
                            <w:t>4</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 xml:space="preserve"> 页 共 </w:t>
                          </w:r>
                          <w:r>
                            <w:fldChar w:fldCharType="begin"/>
                          </w:r>
                          <w:r>
                            <w:instrText xml:space="preserve"> NUMPAGES  \* MERGEFORMAT </w:instrText>
                          </w:r>
                          <w:r>
                            <w:fldChar w:fldCharType="separate"/>
                          </w:r>
                          <w:r>
                            <w:rPr>
                              <w:rFonts w:ascii="方正仿宋_GBK" w:hAnsi="方正仿宋_GBK" w:eastAsia="方正仿宋_GBK" w:cs="方正仿宋_GBK"/>
                              <w:sz w:val="24"/>
                              <w:szCs w:val="24"/>
                            </w:rPr>
                            <w:t>5</w:t>
                          </w:r>
                          <w:r>
                            <w:rPr>
                              <w:rFonts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2D0774BD">
                    <w:pPr>
                      <w:pStyle w:val="9"/>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第 </w:t>
                    </w: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PAGE  \* MERGEFORMAT </w:instrText>
                    </w:r>
                    <w:r>
                      <w:rPr>
                        <w:rFonts w:hint="eastAsia" w:ascii="方正仿宋_GBK" w:hAnsi="方正仿宋_GBK" w:eastAsia="方正仿宋_GBK" w:cs="方正仿宋_GBK"/>
                        <w:sz w:val="24"/>
                        <w:szCs w:val="24"/>
                      </w:rPr>
                      <w:fldChar w:fldCharType="separate"/>
                    </w:r>
                    <w:r>
                      <w:rPr>
                        <w:rFonts w:ascii="方正仿宋_GBK" w:hAnsi="方正仿宋_GBK" w:eastAsia="方正仿宋_GBK" w:cs="方正仿宋_GBK"/>
                        <w:sz w:val="24"/>
                        <w:szCs w:val="24"/>
                      </w:rPr>
                      <w:t>4</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 xml:space="preserve"> 页 共 </w:t>
                    </w:r>
                    <w:r>
                      <w:fldChar w:fldCharType="begin"/>
                    </w:r>
                    <w:r>
                      <w:instrText xml:space="preserve"> NUMPAGES  \* MERGEFORMAT </w:instrText>
                    </w:r>
                    <w:r>
                      <w:fldChar w:fldCharType="separate"/>
                    </w:r>
                    <w:r>
                      <w:rPr>
                        <w:rFonts w:ascii="方正仿宋_GBK" w:hAnsi="方正仿宋_GBK" w:eastAsia="方正仿宋_GBK" w:cs="方正仿宋_GBK"/>
                        <w:sz w:val="24"/>
                        <w:szCs w:val="24"/>
                      </w:rPr>
                      <w:t>5</w:t>
                    </w:r>
                    <w:r>
                      <w:rPr>
                        <w:rFonts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5"/>
      <w:numFmt w:val="chineseCounting"/>
      <w:suff w:val="nothing"/>
      <w:lvlText w:val="（%1）"/>
      <w:lvlJc w:val="left"/>
      <w:rPr>
        <w:lang w:val="en-US"/>
      </w:rPr>
    </w:lvl>
    <w:lvl w:ilvl="1" w:tentative="0">
      <w:start w:val="1"/>
      <w:numFmt w:val="decimal"/>
      <w:lvlText w:val="%1.%2"/>
      <w:lvlJc w:val="left"/>
      <w:pPr>
        <w:ind w:left="993" w:hanging="567"/>
      </w:pPr>
    </w:lvl>
    <w:lvl w:ilvl="2" w:tentative="0">
      <w:start w:val="1"/>
      <w:numFmt w:val="decimal"/>
      <w:pStyle w:val="4"/>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mODM0MjU3OWJiNTgwNDc2OWYwOTY3ZGZmMWEwYTQifQ=="/>
  </w:docVars>
  <w:rsids>
    <w:rsidRoot w:val="1BD050CD"/>
    <w:rsid w:val="00041097"/>
    <w:rsid w:val="00082043"/>
    <w:rsid w:val="000A4972"/>
    <w:rsid w:val="00224DCC"/>
    <w:rsid w:val="00230A92"/>
    <w:rsid w:val="002721B8"/>
    <w:rsid w:val="002A0D91"/>
    <w:rsid w:val="002A7326"/>
    <w:rsid w:val="00365259"/>
    <w:rsid w:val="003A738F"/>
    <w:rsid w:val="00522102"/>
    <w:rsid w:val="00614E65"/>
    <w:rsid w:val="00663558"/>
    <w:rsid w:val="006D2A98"/>
    <w:rsid w:val="00A15602"/>
    <w:rsid w:val="00BD2DA1"/>
    <w:rsid w:val="00C419C1"/>
    <w:rsid w:val="00C866C3"/>
    <w:rsid w:val="00D20369"/>
    <w:rsid w:val="00DC66AA"/>
    <w:rsid w:val="00E75009"/>
    <w:rsid w:val="00ED0DA7"/>
    <w:rsid w:val="010F1DA1"/>
    <w:rsid w:val="01304A6D"/>
    <w:rsid w:val="01457570"/>
    <w:rsid w:val="015D1EF7"/>
    <w:rsid w:val="017C4C76"/>
    <w:rsid w:val="01987FE8"/>
    <w:rsid w:val="01BA0ED0"/>
    <w:rsid w:val="01BE7323"/>
    <w:rsid w:val="021A09FD"/>
    <w:rsid w:val="023575E5"/>
    <w:rsid w:val="024B505A"/>
    <w:rsid w:val="0253136E"/>
    <w:rsid w:val="025F28B4"/>
    <w:rsid w:val="02702D13"/>
    <w:rsid w:val="02A15075"/>
    <w:rsid w:val="02B052A9"/>
    <w:rsid w:val="02DB623C"/>
    <w:rsid w:val="02DD1A2B"/>
    <w:rsid w:val="035D3297"/>
    <w:rsid w:val="03824AAC"/>
    <w:rsid w:val="039B791C"/>
    <w:rsid w:val="03CD1A9F"/>
    <w:rsid w:val="03F4702C"/>
    <w:rsid w:val="040A684F"/>
    <w:rsid w:val="040B0074"/>
    <w:rsid w:val="04376D64"/>
    <w:rsid w:val="04812FB5"/>
    <w:rsid w:val="04A722F0"/>
    <w:rsid w:val="04AC7907"/>
    <w:rsid w:val="04B769D7"/>
    <w:rsid w:val="04FC61E7"/>
    <w:rsid w:val="052457DD"/>
    <w:rsid w:val="053242B0"/>
    <w:rsid w:val="054144F3"/>
    <w:rsid w:val="055E6E53"/>
    <w:rsid w:val="05834B0B"/>
    <w:rsid w:val="059C6184"/>
    <w:rsid w:val="05A30D0A"/>
    <w:rsid w:val="05A50F26"/>
    <w:rsid w:val="05F11A75"/>
    <w:rsid w:val="062E0F1B"/>
    <w:rsid w:val="064A5629"/>
    <w:rsid w:val="066B5CCB"/>
    <w:rsid w:val="068E3768"/>
    <w:rsid w:val="069F3BC7"/>
    <w:rsid w:val="070C39C0"/>
    <w:rsid w:val="071E1F77"/>
    <w:rsid w:val="072365A6"/>
    <w:rsid w:val="07313774"/>
    <w:rsid w:val="073E518E"/>
    <w:rsid w:val="078A0D82"/>
    <w:rsid w:val="079E79DA"/>
    <w:rsid w:val="07A2707C"/>
    <w:rsid w:val="07B74F40"/>
    <w:rsid w:val="07E775D3"/>
    <w:rsid w:val="07F876A6"/>
    <w:rsid w:val="07FC0BA5"/>
    <w:rsid w:val="08191757"/>
    <w:rsid w:val="0837398B"/>
    <w:rsid w:val="08386081"/>
    <w:rsid w:val="08A515BF"/>
    <w:rsid w:val="08B33959"/>
    <w:rsid w:val="08EC29C7"/>
    <w:rsid w:val="08F33D56"/>
    <w:rsid w:val="091A70EB"/>
    <w:rsid w:val="091F0FEF"/>
    <w:rsid w:val="09594501"/>
    <w:rsid w:val="0972111F"/>
    <w:rsid w:val="099C263F"/>
    <w:rsid w:val="09A03EDE"/>
    <w:rsid w:val="09AB3C87"/>
    <w:rsid w:val="09ED2E9B"/>
    <w:rsid w:val="0A1E12A6"/>
    <w:rsid w:val="0A424F95"/>
    <w:rsid w:val="0A5D3B7D"/>
    <w:rsid w:val="0A5F5966"/>
    <w:rsid w:val="0A60541B"/>
    <w:rsid w:val="0AA3355A"/>
    <w:rsid w:val="0AC7367C"/>
    <w:rsid w:val="0AF96DC4"/>
    <w:rsid w:val="0B0E30C9"/>
    <w:rsid w:val="0B1306DF"/>
    <w:rsid w:val="0B3C7C36"/>
    <w:rsid w:val="0B5A630E"/>
    <w:rsid w:val="0B6D4294"/>
    <w:rsid w:val="0BB05F2E"/>
    <w:rsid w:val="0BC32105"/>
    <w:rsid w:val="0BD240F7"/>
    <w:rsid w:val="0BFE6C9A"/>
    <w:rsid w:val="0C281F69"/>
    <w:rsid w:val="0C396DB4"/>
    <w:rsid w:val="0C880C59"/>
    <w:rsid w:val="0C9413AC"/>
    <w:rsid w:val="0C994C14"/>
    <w:rsid w:val="0CC63A4E"/>
    <w:rsid w:val="0CE9794A"/>
    <w:rsid w:val="0CF12D1E"/>
    <w:rsid w:val="0D42705A"/>
    <w:rsid w:val="0D817B82"/>
    <w:rsid w:val="0D921D8F"/>
    <w:rsid w:val="0DB00467"/>
    <w:rsid w:val="0DB02216"/>
    <w:rsid w:val="0DE819AF"/>
    <w:rsid w:val="0E550E35"/>
    <w:rsid w:val="0E80608C"/>
    <w:rsid w:val="0E8C4A31"/>
    <w:rsid w:val="0ED91C40"/>
    <w:rsid w:val="0EE52393"/>
    <w:rsid w:val="0EE94F7C"/>
    <w:rsid w:val="0F234C69"/>
    <w:rsid w:val="0F6634D4"/>
    <w:rsid w:val="0F6F3975"/>
    <w:rsid w:val="0F8932E2"/>
    <w:rsid w:val="0F956327"/>
    <w:rsid w:val="101453BE"/>
    <w:rsid w:val="103F5AD3"/>
    <w:rsid w:val="107E65FB"/>
    <w:rsid w:val="10872EA8"/>
    <w:rsid w:val="10AA3894"/>
    <w:rsid w:val="11321394"/>
    <w:rsid w:val="12372F05"/>
    <w:rsid w:val="123A29F6"/>
    <w:rsid w:val="125138D3"/>
    <w:rsid w:val="126F4193"/>
    <w:rsid w:val="12922832"/>
    <w:rsid w:val="129245E0"/>
    <w:rsid w:val="12C329EB"/>
    <w:rsid w:val="12C66037"/>
    <w:rsid w:val="12E017EF"/>
    <w:rsid w:val="12FC2ECD"/>
    <w:rsid w:val="131E2317"/>
    <w:rsid w:val="13675A6C"/>
    <w:rsid w:val="1378121F"/>
    <w:rsid w:val="138B632B"/>
    <w:rsid w:val="13BD38DE"/>
    <w:rsid w:val="13EC5F71"/>
    <w:rsid w:val="14131750"/>
    <w:rsid w:val="1418673F"/>
    <w:rsid w:val="141B15AC"/>
    <w:rsid w:val="14551D69"/>
    <w:rsid w:val="145F4995"/>
    <w:rsid w:val="146B6818"/>
    <w:rsid w:val="14BE790E"/>
    <w:rsid w:val="14DB60FF"/>
    <w:rsid w:val="14EF637E"/>
    <w:rsid w:val="14F43330"/>
    <w:rsid w:val="154A2F50"/>
    <w:rsid w:val="15714A54"/>
    <w:rsid w:val="15743686"/>
    <w:rsid w:val="15A22D8C"/>
    <w:rsid w:val="15BD7BC5"/>
    <w:rsid w:val="15C62CD0"/>
    <w:rsid w:val="15EC008F"/>
    <w:rsid w:val="15F134B4"/>
    <w:rsid w:val="15F335E7"/>
    <w:rsid w:val="160F7CF5"/>
    <w:rsid w:val="162D49FB"/>
    <w:rsid w:val="16314110"/>
    <w:rsid w:val="164B51D1"/>
    <w:rsid w:val="166242C9"/>
    <w:rsid w:val="1683496B"/>
    <w:rsid w:val="168D2386"/>
    <w:rsid w:val="16C15493"/>
    <w:rsid w:val="16DC22CD"/>
    <w:rsid w:val="16FC296F"/>
    <w:rsid w:val="17892980"/>
    <w:rsid w:val="17947137"/>
    <w:rsid w:val="17B2302E"/>
    <w:rsid w:val="17B60D70"/>
    <w:rsid w:val="17F453F5"/>
    <w:rsid w:val="18090EA0"/>
    <w:rsid w:val="18381785"/>
    <w:rsid w:val="18447977"/>
    <w:rsid w:val="18461A54"/>
    <w:rsid w:val="18770500"/>
    <w:rsid w:val="188744BB"/>
    <w:rsid w:val="188E0A8C"/>
    <w:rsid w:val="188E5849"/>
    <w:rsid w:val="189D2014"/>
    <w:rsid w:val="18C1013F"/>
    <w:rsid w:val="18D205AB"/>
    <w:rsid w:val="18D31008"/>
    <w:rsid w:val="18FF22A3"/>
    <w:rsid w:val="19045B0B"/>
    <w:rsid w:val="190653E0"/>
    <w:rsid w:val="19157D18"/>
    <w:rsid w:val="196640D0"/>
    <w:rsid w:val="1997072D"/>
    <w:rsid w:val="199E386A"/>
    <w:rsid w:val="19A928E0"/>
    <w:rsid w:val="19B72B7E"/>
    <w:rsid w:val="1A1D0C33"/>
    <w:rsid w:val="1A312930"/>
    <w:rsid w:val="1A387903"/>
    <w:rsid w:val="1B024A1B"/>
    <w:rsid w:val="1B0919D7"/>
    <w:rsid w:val="1B183D08"/>
    <w:rsid w:val="1B193AF0"/>
    <w:rsid w:val="1B586C8A"/>
    <w:rsid w:val="1B6034CD"/>
    <w:rsid w:val="1B7C0CF8"/>
    <w:rsid w:val="1B852F33"/>
    <w:rsid w:val="1BD050CD"/>
    <w:rsid w:val="1BDE43F2"/>
    <w:rsid w:val="1C2C7629"/>
    <w:rsid w:val="1C625023"/>
    <w:rsid w:val="1CAE0268"/>
    <w:rsid w:val="1CF10155"/>
    <w:rsid w:val="1D7E40DE"/>
    <w:rsid w:val="1D81772B"/>
    <w:rsid w:val="1D8B6891"/>
    <w:rsid w:val="1DD04AF0"/>
    <w:rsid w:val="1E676920"/>
    <w:rsid w:val="1E702CF9"/>
    <w:rsid w:val="1E8F7C25"/>
    <w:rsid w:val="1E8F7C3D"/>
    <w:rsid w:val="1EC75611"/>
    <w:rsid w:val="1EF1171F"/>
    <w:rsid w:val="1EFD54D7"/>
    <w:rsid w:val="1F8A1CF5"/>
    <w:rsid w:val="1F996FAD"/>
    <w:rsid w:val="1FD47FE6"/>
    <w:rsid w:val="1FEB532F"/>
    <w:rsid w:val="20032679"/>
    <w:rsid w:val="200D6778"/>
    <w:rsid w:val="200F54C2"/>
    <w:rsid w:val="203E7B55"/>
    <w:rsid w:val="20511636"/>
    <w:rsid w:val="2080016D"/>
    <w:rsid w:val="208C266E"/>
    <w:rsid w:val="208C731F"/>
    <w:rsid w:val="20971013"/>
    <w:rsid w:val="209E05F3"/>
    <w:rsid w:val="20BE2A44"/>
    <w:rsid w:val="20BE5BD1"/>
    <w:rsid w:val="20DD111C"/>
    <w:rsid w:val="20E55C2B"/>
    <w:rsid w:val="20FD531A"/>
    <w:rsid w:val="211508B6"/>
    <w:rsid w:val="216E6218"/>
    <w:rsid w:val="21845A3B"/>
    <w:rsid w:val="21867A05"/>
    <w:rsid w:val="218A7D25"/>
    <w:rsid w:val="21BA145D"/>
    <w:rsid w:val="21E704EC"/>
    <w:rsid w:val="220972CA"/>
    <w:rsid w:val="22335A5E"/>
    <w:rsid w:val="22623C10"/>
    <w:rsid w:val="228C128A"/>
    <w:rsid w:val="229972C4"/>
    <w:rsid w:val="22A55C69"/>
    <w:rsid w:val="22CC31F6"/>
    <w:rsid w:val="22D16A5E"/>
    <w:rsid w:val="232C271B"/>
    <w:rsid w:val="235817DC"/>
    <w:rsid w:val="2369313B"/>
    <w:rsid w:val="237C661D"/>
    <w:rsid w:val="238826AD"/>
    <w:rsid w:val="23E46C65"/>
    <w:rsid w:val="24003A9F"/>
    <w:rsid w:val="24577437"/>
    <w:rsid w:val="24741D97"/>
    <w:rsid w:val="24863878"/>
    <w:rsid w:val="24BD373E"/>
    <w:rsid w:val="24D4278F"/>
    <w:rsid w:val="24D665AE"/>
    <w:rsid w:val="24F353B2"/>
    <w:rsid w:val="254B6F9C"/>
    <w:rsid w:val="25675458"/>
    <w:rsid w:val="259F2E44"/>
    <w:rsid w:val="25D77FCC"/>
    <w:rsid w:val="25DE0DD1"/>
    <w:rsid w:val="25ED0053"/>
    <w:rsid w:val="26282E39"/>
    <w:rsid w:val="265C6F87"/>
    <w:rsid w:val="2677791D"/>
    <w:rsid w:val="269404CF"/>
    <w:rsid w:val="26B7240F"/>
    <w:rsid w:val="26CB7F1A"/>
    <w:rsid w:val="26E74AA2"/>
    <w:rsid w:val="27437A60"/>
    <w:rsid w:val="28243AD4"/>
    <w:rsid w:val="28771E56"/>
    <w:rsid w:val="28846321"/>
    <w:rsid w:val="28857B35"/>
    <w:rsid w:val="28B135BA"/>
    <w:rsid w:val="29121B7F"/>
    <w:rsid w:val="296028EA"/>
    <w:rsid w:val="297168A5"/>
    <w:rsid w:val="29AA1DB7"/>
    <w:rsid w:val="29BB5CBE"/>
    <w:rsid w:val="29C015DB"/>
    <w:rsid w:val="2A0C329C"/>
    <w:rsid w:val="2A306760"/>
    <w:rsid w:val="2A375D41"/>
    <w:rsid w:val="2A4A36B6"/>
    <w:rsid w:val="2A524929"/>
    <w:rsid w:val="2A922F77"/>
    <w:rsid w:val="2AAA3BF6"/>
    <w:rsid w:val="2B0E3AAB"/>
    <w:rsid w:val="2B434271"/>
    <w:rsid w:val="2B5555DB"/>
    <w:rsid w:val="2B620B9B"/>
    <w:rsid w:val="2B6B08B1"/>
    <w:rsid w:val="2BC76C50"/>
    <w:rsid w:val="2BDF21EC"/>
    <w:rsid w:val="2BF23A18"/>
    <w:rsid w:val="2BFD2672"/>
    <w:rsid w:val="2C02455B"/>
    <w:rsid w:val="2C3D6F12"/>
    <w:rsid w:val="2C640943"/>
    <w:rsid w:val="2CE56AFA"/>
    <w:rsid w:val="2CED0939"/>
    <w:rsid w:val="2D0C3CE8"/>
    <w:rsid w:val="2D0D68B9"/>
    <w:rsid w:val="2D2B320F"/>
    <w:rsid w:val="2D2F2CFF"/>
    <w:rsid w:val="2D484219"/>
    <w:rsid w:val="2DBD655D"/>
    <w:rsid w:val="2DC23B73"/>
    <w:rsid w:val="2DCF1F8A"/>
    <w:rsid w:val="2E020414"/>
    <w:rsid w:val="2E673CD5"/>
    <w:rsid w:val="2E851C89"/>
    <w:rsid w:val="2E993BB9"/>
    <w:rsid w:val="2ECD27D0"/>
    <w:rsid w:val="2ED52C6D"/>
    <w:rsid w:val="2EF31870"/>
    <w:rsid w:val="2EF75A9F"/>
    <w:rsid w:val="2F185167"/>
    <w:rsid w:val="2F2443BA"/>
    <w:rsid w:val="2F2B1BEC"/>
    <w:rsid w:val="2F326AD7"/>
    <w:rsid w:val="2F394E6F"/>
    <w:rsid w:val="2F4A5401"/>
    <w:rsid w:val="2F5B602D"/>
    <w:rsid w:val="2F754C15"/>
    <w:rsid w:val="2F884949"/>
    <w:rsid w:val="2F94153F"/>
    <w:rsid w:val="2FC11C09"/>
    <w:rsid w:val="2FC31E25"/>
    <w:rsid w:val="2FD80CA3"/>
    <w:rsid w:val="2FEE50F3"/>
    <w:rsid w:val="30313232"/>
    <w:rsid w:val="303625F7"/>
    <w:rsid w:val="305F1B4D"/>
    <w:rsid w:val="306233EC"/>
    <w:rsid w:val="307750E9"/>
    <w:rsid w:val="3082583C"/>
    <w:rsid w:val="30901D07"/>
    <w:rsid w:val="30C23E8A"/>
    <w:rsid w:val="30D501D4"/>
    <w:rsid w:val="30EB518F"/>
    <w:rsid w:val="310D77FB"/>
    <w:rsid w:val="31442AF1"/>
    <w:rsid w:val="31945827"/>
    <w:rsid w:val="319718BF"/>
    <w:rsid w:val="319B4E07"/>
    <w:rsid w:val="31C3435E"/>
    <w:rsid w:val="31D77103"/>
    <w:rsid w:val="31F46964"/>
    <w:rsid w:val="320A3D3B"/>
    <w:rsid w:val="323B2146"/>
    <w:rsid w:val="326276D3"/>
    <w:rsid w:val="32630425"/>
    <w:rsid w:val="329456C3"/>
    <w:rsid w:val="329F26D5"/>
    <w:rsid w:val="32B0267D"/>
    <w:rsid w:val="32B141B6"/>
    <w:rsid w:val="330662B0"/>
    <w:rsid w:val="330C7E6D"/>
    <w:rsid w:val="3316226B"/>
    <w:rsid w:val="33353039"/>
    <w:rsid w:val="33475A0E"/>
    <w:rsid w:val="3352267B"/>
    <w:rsid w:val="3364747B"/>
    <w:rsid w:val="338B2C59"/>
    <w:rsid w:val="33DE0FDB"/>
    <w:rsid w:val="33F50ABA"/>
    <w:rsid w:val="34164C19"/>
    <w:rsid w:val="34303C0B"/>
    <w:rsid w:val="343E7C43"/>
    <w:rsid w:val="349F69BC"/>
    <w:rsid w:val="34B61205"/>
    <w:rsid w:val="350D601C"/>
    <w:rsid w:val="35386E11"/>
    <w:rsid w:val="354362C5"/>
    <w:rsid w:val="354E3F3E"/>
    <w:rsid w:val="358D4A67"/>
    <w:rsid w:val="35BF4E3C"/>
    <w:rsid w:val="35F03248"/>
    <w:rsid w:val="36015455"/>
    <w:rsid w:val="36356EAC"/>
    <w:rsid w:val="36372C24"/>
    <w:rsid w:val="36DD557A"/>
    <w:rsid w:val="36F54FB9"/>
    <w:rsid w:val="371B60A2"/>
    <w:rsid w:val="375872F6"/>
    <w:rsid w:val="377C4D93"/>
    <w:rsid w:val="37825684"/>
    <w:rsid w:val="37920A5A"/>
    <w:rsid w:val="37C329C2"/>
    <w:rsid w:val="37C640CA"/>
    <w:rsid w:val="37EB016A"/>
    <w:rsid w:val="38477753"/>
    <w:rsid w:val="386A72E1"/>
    <w:rsid w:val="386D560E"/>
    <w:rsid w:val="38CE5AC2"/>
    <w:rsid w:val="38CE7AA8"/>
    <w:rsid w:val="39406294"/>
    <w:rsid w:val="39965EB4"/>
    <w:rsid w:val="39974106"/>
    <w:rsid w:val="39D30B18"/>
    <w:rsid w:val="3A073E00"/>
    <w:rsid w:val="3A1A4D37"/>
    <w:rsid w:val="3A281202"/>
    <w:rsid w:val="3A9C574C"/>
    <w:rsid w:val="3B255741"/>
    <w:rsid w:val="3B31058A"/>
    <w:rsid w:val="3B5A188F"/>
    <w:rsid w:val="3B602C1D"/>
    <w:rsid w:val="3B7A3CDF"/>
    <w:rsid w:val="3B847DCB"/>
    <w:rsid w:val="3BB014AF"/>
    <w:rsid w:val="3BEC625F"/>
    <w:rsid w:val="3BEE647B"/>
    <w:rsid w:val="3C1A71B0"/>
    <w:rsid w:val="3C3A346E"/>
    <w:rsid w:val="3C885F88"/>
    <w:rsid w:val="3C8B7826"/>
    <w:rsid w:val="3C9708C1"/>
    <w:rsid w:val="3CD967E3"/>
    <w:rsid w:val="3D4A148F"/>
    <w:rsid w:val="3D581DFE"/>
    <w:rsid w:val="3D7529B0"/>
    <w:rsid w:val="3D8B21D4"/>
    <w:rsid w:val="3D8F3C3E"/>
    <w:rsid w:val="3D932E36"/>
    <w:rsid w:val="3DA512EA"/>
    <w:rsid w:val="3DE0289B"/>
    <w:rsid w:val="3DEE31B7"/>
    <w:rsid w:val="3E0B6E71"/>
    <w:rsid w:val="3E0E6961"/>
    <w:rsid w:val="3E4821D0"/>
    <w:rsid w:val="3E80785E"/>
    <w:rsid w:val="3F663C97"/>
    <w:rsid w:val="3F793A54"/>
    <w:rsid w:val="3FB5178A"/>
    <w:rsid w:val="3FEC2CD2"/>
    <w:rsid w:val="40084287"/>
    <w:rsid w:val="400B13AA"/>
    <w:rsid w:val="40324B88"/>
    <w:rsid w:val="403C5A07"/>
    <w:rsid w:val="405F5252"/>
    <w:rsid w:val="40630396"/>
    <w:rsid w:val="4081341A"/>
    <w:rsid w:val="4090365D"/>
    <w:rsid w:val="40AB7DE8"/>
    <w:rsid w:val="40BC08F6"/>
    <w:rsid w:val="410858E9"/>
    <w:rsid w:val="41097DCA"/>
    <w:rsid w:val="412A3AB2"/>
    <w:rsid w:val="417D143F"/>
    <w:rsid w:val="41A55AD2"/>
    <w:rsid w:val="41CE268F"/>
    <w:rsid w:val="41DD0B24"/>
    <w:rsid w:val="41E9396D"/>
    <w:rsid w:val="42004812"/>
    <w:rsid w:val="423D7815"/>
    <w:rsid w:val="42581301"/>
    <w:rsid w:val="426E5C20"/>
    <w:rsid w:val="42953641"/>
    <w:rsid w:val="42996133"/>
    <w:rsid w:val="42A463CD"/>
    <w:rsid w:val="42B45ACE"/>
    <w:rsid w:val="42BD3552"/>
    <w:rsid w:val="42D24401"/>
    <w:rsid w:val="432804C5"/>
    <w:rsid w:val="43282273"/>
    <w:rsid w:val="432E715D"/>
    <w:rsid w:val="43D87538"/>
    <w:rsid w:val="43E37D54"/>
    <w:rsid w:val="43F565F9"/>
    <w:rsid w:val="441647C1"/>
    <w:rsid w:val="441E71D2"/>
    <w:rsid w:val="442C7B41"/>
    <w:rsid w:val="44AC2A30"/>
    <w:rsid w:val="44DD0E3B"/>
    <w:rsid w:val="44FB69A3"/>
    <w:rsid w:val="45361337"/>
    <w:rsid w:val="453F5652"/>
    <w:rsid w:val="45576302"/>
    <w:rsid w:val="45AA51C1"/>
    <w:rsid w:val="45BD1753"/>
    <w:rsid w:val="45F70820"/>
    <w:rsid w:val="46401681"/>
    <w:rsid w:val="46885E2A"/>
    <w:rsid w:val="46B856BC"/>
    <w:rsid w:val="46BF7458"/>
    <w:rsid w:val="46C329DE"/>
    <w:rsid w:val="46D5626E"/>
    <w:rsid w:val="46D83FB0"/>
    <w:rsid w:val="46F030A7"/>
    <w:rsid w:val="470809A7"/>
    <w:rsid w:val="4766336A"/>
    <w:rsid w:val="4770243A"/>
    <w:rsid w:val="47AB5220"/>
    <w:rsid w:val="48036E0A"/>
    <w:rsid w:val="48084421"/>
    <w:rsid w:val="483D5387"/>
    <w:rsid w:val="486A6E89"/>
    <w:rsid w:val="486C49B0"/>
    <w:rsid w:val="489F68DE"/>
    <w:rsid w:val="48B63E7D"/>
    <w:rsid w:val="496C41A4"/>
    <w:rsid w:val="497526AF"/>
    <w:rsid w:val="497734F1"/>
    <w:rsid w:val="49900B72"/>
    <w:rsid w:val="4992588D"/>
    <w:rsid w:val="49AD702E"/>
    <w:rsid w:val="49C16E49"/>
    <w:rsid w:val="49FA5FEB"/>
    <w:rsid w:val="4A070CAF"/>
    <w:rsid w:val="4A714435"/>
    <w:rsid w:val="4A8D520D"/>
    <w:rsid w:val="4A9106FD"/>
    <w:rsid w:val="4ADA20A4"/>
    <w:rsid w:val="4B201A81"/>
    <w:rsid w:val="4B3612A5"/>
    <w:rsid w:val="4B3D0885"/>
    <w:rsid w:val="4B3F45FD"/>
    <w:rsid w:val="4B45613C"/>
    <w:rsid w:val="4B4E2A92"/>
    <w:rsid w:val="4B5D2CD5"/>
    <w:rsid w:val="4B5F07FC"/>
    <w:rsid w:val="4B69136D"/>
    <w:rsid w:val="4B720F60"/>
    <w:rsid w:val="4B7F0E9E"/>
    <w:rsid w:val="4BDF36EB"/>
    <w:rsid w:val="4BFE0015"/>
    <w:rsid w:val="4C184159"/>
    <w:rsid w:val="4C4334E7"/>
    <w:rsid w:val="4CA02E7A"/>
    <w:rsid w:val="4CD64AED"/>
    <w:rsid w:val="4CE4545C"/>
    <w:rsid w:val="4D602609"/>
    <w:rsid w:val="4D7B7443"/>
    <w:rsid w:val="4D9D385D"/>
    <w:rsid w:val="4DC62DB4"/>
    <w:rsid w:val="4DC64B62"/>
    <w:rsid w:val="4DD8667B"/>
    <w:rsid w:val="4DE37066"/>
    <w:rsid w:val="4E08619A"/>
    <w:rsid w:val="4E286A14"/>
    <w:rsid w:val="4E2B2C17"/>
    <w:rsid w:val="4E4616C9"/>
    <w:rsid w:val="4E5B704B"/>
    <w:rsid w:val="4E740A62"/>
    <w:rsid w:val="4E7445BE"/>
    <w:rsid w:val="4EA76741"/>
    <w:rsid w:val="4EB15812"/>
    <w:rsid w:val="4ECC264C"/>
    <w:rsid w:val="4ED212E5"/>
    <w:rsid w:val="4ED92673"/>
    <w:rsid w:val="4EDE5EDB"/>
    <w:rsid w:val="4EE47996"/>
    <w:rsid w:val="4F135B85"/>
    <w:rsid w:val="4F18763F"/>
    <w:rsid w:val="4F1E5DE7"/>
    <w:rsid w:val="4F231B40"/>
    <w:rsid w:val="4F560168"/>
    <w:rsid w:val="4F85110F"/>
    <w:rsid w:val="4FAA71DE"/>
    <w:rsid w:val="4FC155E1"/>
    <w:rsid w:val="4FE85264"/>
    <w:rsid w:val="4FF260E2"/>
    <w:rsid w:val="4FF57980"/>
    <w:rsid w:val="503C55AF"/>
    <w:rsid w:val="50C23D07"/>
    <w:rsid w:val="510D4856"/>
    <w:rsid w:val="51181B78"/>
    <w:rsid w:val="51823496"/>
    <w:rsid w:val="51CC4711"/>
    <w:rsid w:val="51DA6E2E"/>
    <w:rsid w:val="51E63A25"/>
    <w:rsid w:val="525070F0"/>
    <w:rsid w:val="52540079"/>
    <w:rsid w:val="52727DC1"/>
    <w:rsid w:val="52946FDD"/>
    <w:rsid w:val="529671F9"/>
    <w:rsid w:val="52A336C4"/>
    <w:rsid w:val="52E579D6"/>
    <w:rsid w:val="53057EDB"/>
    <w:rsid w:val="530F5CA0"/>
    <w:rsid w:val="531C6FD2"/>
    <w:rsid w:val="534C5B09"/>
    <w:rsid w:val="53590226"/>
    <w:rsid w:val="53701980"/>
    <w:rsid w:val="53901E9A"/>
    <w:rsid w:val="53AC47FA"/>
    <w:rsid w:val="53C2401E"/>
    <w:rsid w:val="53D31D87"/>
    <w:rsid w:val="53D578AD"/>
    <w:rsid w:val="53EB5322"/>
    <w:rsid w:val="54063F0A"/>
    <w:rsid w:val="54204707"/>
    <w:rsid w:val="54686973"/>
    <w:rsid w:val="54981519"/>
    <w:rsid w:val="54E3249D"/>
    <w:rsid w:val="550D751A"/>
    <w:rsid w:val="551952E3"/>
    <w:rsid w:val="554C3B9F"/>
    <w:rsid w:val="55653051"/>
    <w:rsid w:val="5568597E"/>
    <w:rsid w:val="55872E29"/>
    <w:rsid w:val="55911EF9"/>
    <w:rsid w:val="55D41DE6"/>
    <w:rsid w:val="55E262B1"/>
    <w:rsid w:val="55EB5A20"/>
    <w:rsid w:val="561B17C3"/>
    <w:rsid w:val="56462CE4"/>
    <w:rsid w:val="564E3947"/>
    <w:rsid w:val="56705FB3"/>
    <w:rsid w:val="56723AD9"/>
    <w:rsid w:val="56CF2CD9"/>
    <w:rsid w:val="56F40A6F"/>
    <w:rsid w:val="570A5ABF"/>
    <w:rsid w:val="5789411E"/>
    <w:rsid w:val="57995095"/>
    <w:rsid w:val="57CB19DE"/>
    <w:rsid w:val="585B059D"/>
    <w:rsid w:val="587A13E7"/>
    <w:rsid w:val="58816255"/>
    <w:rsid w:val="589C308F"/>
    <w:rsid w:val="58A3441E"/>
    <w:rsid w:val="58A9755A"/>
    <w:rsid w:val="58B80512"/>
    <w:rsid w:val="58D2260D"/>
    <w:rsid w:val="58ED4BF9"/>
    <w:rsid w:val="592B61C1"/>
    <w:rsid w:val="597731B4"/>
    <w:rsid w:val="599476BF"/>
    <w:rsid w:val="59995821"/>
    <w:rsid w:val="59D979CB"/>
    <w:rsid w:val="5A0E58C7"/>
    <w:rsid w:val="5A2E41BB"/>
    <w:rsid w:val="5A40545C"/>
    <w:rsid w:val="5A625C12"/>
    <w:rsid w:val="5A7056A7"/>
    <w:rsid w:val="5A9A53AC"/>
    <w:rsid w:val="5AB0697E"/>
    <w:rsid w:val="5ABA3CA0"/>
    <w:rsid w:val="5ACC7530"/>
    <w:rsid w:val="5ACE32A8"/>
    <w:rsid w:val="5AF21CB4"/>
    <w:rsid w:val="5B214990"/>
    <w:rsid w:val="5B21787C"/>
    <w:rsid w:val="5B57329D"/>
    <w:rsid w:val="5B6A7475"/>
    <w:rsid w:val="5B8B30F7"/>
    <w:rsid w:val="5BD743DE"/>
    <w:rsid w:val="5BE34B31"/>
    <w:rsid w:val="5C317F92"/>
    <w:rsid w:val="5C427641"/>
    <w:rsid w:val="5C5958C8"/>
    <w:rsid w:val="5C693288"/>
    <w:rsid w:val="5C877BB2"/>
    <w:rsid w:val="5C904CB9"/>
    <w:rsid w:val="5C9A5B38"/>
    <w:rsid w:val="5CA353DE"/>
    <w:rsid w:val="5CA97B29"/>
    <w:rsid w:val="5CB12E81"/>
    <w:rsid w:val="5CD10E2D"/>
    <w:rsid w:val="5CEE6D21"/>
    <w:rsid w:val="5CF3349A"/>
    <w:rsid w:val="5D3F5F0C"/>
    <w:rsid w:val="5D5850AB"/>
    <w:rsid w:val="5D8774BB"/>
    <w:rsid w:val="5DAE616B"/>
    <w:rsid w:val="5DFD224D"/>
    <w:rsid w:val="5E547CF9"/>
    <w:rsid w:val="5E5979E0"/>
    <w:rsid w:val="5E8C5954"/>
    <w:rsid w:val="5EB85FBE"/>
    <w:rsid w:val="5F0279C4"/>
    <w:rsid w:val="5F3A0F0C"/>
    <w:rsid w:val="5F4B136B"/>
    <w:rsid w:val="5F593A88"/>
    <w:rsid w:val="5F8328B3"/>
    <w:rsid w:val="5F974F29"/>
    <w:rsid w:val="5FA345E7"/>
    <w:rsid w:val="60003F04"/>
    <w:rsid w:val="60010267"/>
    <w:rsid w:val="60115A67"/>
    <w:rsid w:val="60200102"/>
    <w:rsid w:val="604007A4"/>
    <w:rsid w:val="604F4E8B"/>
    <w:rsid w:val="605129B1"/>
    <w:rsid w:val="60566219"/>
    <w:rsid w:val="60863D99"/>
    <w:rsid w:val="60B8658C"/>
    <w:rsid w:val="60D1764E"/>
    <w:rsid w:val="60EE1FAE"/>
    <w:rsid w:val="60EF4F85"/>
    <w:rsid w:val="611F660B"/>
    <w:rsid w:val="61300D6C"/>
    <w:rsid w:val="6155202D"/>
    <w:rsid w:val="61677FB2"/>
    <w:rsid w:val="618741B1"/>
    <w:rsid w:val="61D05B58"/>
    <w:rsid w:val="61F47A98"/>
    <w:rsid w:val="62483940"/>
    <w:rsid w:val="62540537"/>
    <w:rsid w:val="626A7D5A"/>
    <w:rsid w:val="628D57F7"/>
    <w:rsid w:val="62976675"/>
    <w:rsid w:val="62B611F1"/>
    <w:rsid w:val="62BE57EC"/>
    <w:rsid w:val="62C323A4"/>
    <w:rsid w:val="62D90A3C"/>
    <w:rsid w:val="62E21FE6"/>
    <w:rsid w:val="62FB1290"/>
    <w:rsid w:val="632E2B36"/>
    <w:rsid w:val="63332842"/>
    <w:rsid w:val="63503522"/>
    <w:rsid w:val="637846F9"/>
    <w:rsid w:val="637A3FCD"/>
    <w:rsid w:val="63BA479C"/>
    <w:rsid w:val="63D12B27"/>
    <w:rsid w:val="63D8361B"/>
    <w:rsid w:val="63FF0976"/>
    <w:rsid w:val="64122457"/>
    <w:rsid w:val="642C00A3"/>
    <w:rsid w:val="645A795A"/>
    <w:rsid w:val="649B069F"/>
    <w:rsid w:val="64AC6408"/>
    <w:rsid w:val="64D911C7"/>
    <w:rsid w:val="64EF09EB"/>
    <w:rsid w:val="652A37D1"/>
    <w:rsid w:val="653D3504"/>
    <w:rsid w:val="65516FAF"/>
    <w:rsid w:val="65870C23"/>
    <w:rsid w:val="658B79BE"/>
    <w:rsid w:val="65A43583"/>
    <w:rsid w:val="6603588E"/>
    <w:rsid w:val="661324B7"/>
    <w:rsid w:val="667B41D5"/>
    <w:rsid w:val="668D2F14"/>
    <w:rsid w:val="67145394"/>
    <w:rsid w:val="67430B7A"/>
    <w:rsid w:val="677A27ED"/>
    <w:rsid w:val="677E1BB2"/>
    <w:rsid w:val="67941CC2"/>
    <w:rsid w:val="67FD2028"/>
    <w:rsid w:val="67FF0F45"/>
    <w:rsid w:val="681A01F7"/>
    <w:rsid w:val="681A7B2C"/>
    <w:rsid w:val="68204069"/>
    <w:rsid w:val="68394457"/>
    <w:rsid w:val="68772494"/>
    <w:rsid w:val="688078CF"/>
    <w:rsid w:val="68CC52CB"/>
    <w:rsid w:val="68DD74D8"/>
    <w:rsid w:val="68E6303E"/>
    <w:rsid w:val="68F97B92"/>
    <w:rsid w:val="690305C1"/>
    <w:rsid w:val="690A194F"/>
    <w:rsid w:val="692534D8"/>
    <w:rsid w:val="694110E9"/>
    <w:rsid w:val="6974326C"/>
    <w:rsid w:val="699A7177"/>
    <w:rsid w:val="69A55B1C"/>
    <w:rsid w:val="69A94B81"/>
    <w:rsid w:val="69EE301F"/>
    <w:rsid w:val="69FE3207"/>
    <w:rsid w:val="6A0C16F7"/>
    <w:rsid w:val="6A152CA1"/>
    <w:rsid w:val="6A5D0610"/>
    <w:rsid w:val="6A885221"/>
    <w:rsid w:val="6ABE50E7"/>
    <w:rsid w:val="6AD77F57"/>
    <w:rsid w:val="6AF91C7B"/>
    <w:rsid w:val="6B0074AE"/>
    <w:rsid w:val="6B170851"/>
    <w:rsid w:val="6B362ECF"/>
    <w:rsid w:val="6B4355EC"/>
    <w:rsid w:val="6B5275DD"/>
    <w:rsid w:val="6B560E7C"/>
    <w:rsid w:val="6B99520C"/>
    <w:rsid w:val="6BE063B6"/>
    <w:rsid w:val="6BF6440D"/>
    <w:rsid w:val="6C1445B4"/>
    <w:rsid w:val="6C53360D"/>
    <w:rsid w:val="6C691739"/>
    <w:rsid w:val="6C7A503E"/>
    <w:rsid w:val="6CFC78E9"/>
    <w:rsid w:val="6D19440C"/>
    <w:rsid w:val="6D630B66"/>
    <w:rsid w:val="6D893768"/>
    <w:rsid w:val="6DCA5B51"/>
    <w:rsid w:val="6DCC18C9"/>
    <w:rsid w:val="6DCF13B9"/>
    <w:rsid w:val="6DE34BE2"/>
    <w:rsid w:val="6DE54739"/>
    <w:rsid w:val="6E072901"/>
    <w:rsid w:val="6E1B63AC"/>
    <w:rsid w:val="6E492F1A"/>
    <w:rsid w:val="6E565963"/>
    <w:rsid w:val="6E9A5523"/>
    <w:rsid w:val="6ECD58F9"/>
    <w:rsid w:val="6EF52D06"/>
    <w:rsid w:val="6F213E96"/>
    <w:rsid w:val="6F467459"/>
    <w:rsid w:val="6F921546"/>
    <w:rsid w:val="6FCB0599"/>
    <w:rsid w:val="6FD902CD"/>
    <w:rsid w:val="6FDE58E3"/>
    <w:rsid w:val="6FF4607D"/>
    <w:rsid w:val="6FFE7D34"/>
    <w:rsid w:val="70131A31"/>
    <w:rsid w:val="70457711"/>
    <w:rsid w:val="70635EE3"/>
    <w:rsid w:val="70840695"/>
    <w:rsid w:val="70F01D72"/>
    <w:rsid w:val="712612F0"/>
    <w:rsid w:val="7141612A"/>
    <w:rsid w:val="715911B4"/>
    <w:rsid w:val="715B1DCB"/>
    <w:rsid w:val="718761C4"/>
    <w:rsid w:val="718C681A"/>
    <w:rsid w:val="719941B8"/>
    <w:rsid w:val="71A212BE"/>
    <w:rsid w:val="71A86C91"/>
    <w:rsid w:val="71BB0B59"/>
    <w:rsid w:val="720A7302"/>
    <w:rsid w:val="72521C52"/>
    <w:rsid w:val="72924216"/>
    <w:rsid w:val="732D2E0A"/>
    <w:rsid w:val="732D5494"/>
    <w:rsid w:val="734939BC"/>
    <w:rsid w:val="73593BFF"/>
    <w:rsid w:val="735E7467"/>
    <w:rsid w:val="73CE328F"/>
    <w:rsid w:val="73D96AE9"/>
    <w:rsid w:val="73E105F6"/>
    <w:rsid w:val="744228E5"/>
    <w:rsid w:val="74C74B98"/>
    <w:rsid w:val="74DF6386"/>
    <w:rsid w:val="75071439"/>
    <w:rsid w:val="75091655"/>
    <w:rsid w:val="7530098F"/>
    <w:rsid w:val="75731C99"/>
    <w:rsid w:val="759E1500"/>
    <w:rsid w:val="75D73DE6"/>
    <w:rsid w:val="75D94C4A"/>
    <w:rsid w:val="75ED062E"/>
    <w:rsid w:val="7619520E"/>
    <w:rsid w:val="76263B40"/>
    <w:rsid w:val="76393874"/>
    <w:rsid w:val="763B41A3"/>
    <w:rsid w:val="768E0063"/>
    <w:rsid w:val="76C770D1"/>
    <w:rsid w:val="76F27A7F"/>
    <w:rsid w:val="77120D1C"/>
    <w:rsid w:val="772C5186"/>
    <w:rsid w:val="773427EF"/>
    <w:rsid w:val="773D7394"/>
    <w:rsid w:val="77446974"/>
    <w:rsid w:val="77862AE9"/>
    <w:rsid w:val="77D548DA"/>
    <w:rsid w:val="77F9775E"/>
    <w:rsid w:val="78257CD5"/>
    <w:rsid w:val="78346A9B"/>
    <w:rsid w:val="78454752"/>
    <w:rsid w:val="78AC657F"/>
    <w:rsid w:val="78D83818"/>
    <w:rsid w:val="78F97432"/>
    <w:rsid w:val="78FC789E"/>
    <w:rsid w:val="790C78A0"/>
    <w:rsid w:val="79420C91"/>
    <w:rsid w:val="7942728A"/>
    <w:rsid w:val="79F226B7"/>
    <w:rsid w:val="79FA674E"/>
    <w:rsid w:val="7A0643B5"/>
    <w:rsid w:val="7A067F11"/>
    <w:rsid w:val="7A0B3779"/>
    <w:rsid w:val="7B2C7E4B"/>
    <w:rsid w:val="7B424F78"/>
    <w:rsid w:val="7B5B603A"/>
    <w:rsid w:val="7B775554"/>
    <w:rsid w:val="7B7B048A"/>
    <w:rsid w:val="7B827A6B"/>
    <w:rsid w:val="7B927F9D"/>
    <w:rsid w:val="7BC167E5"/>
    <w:rsid w:val="7BD32074"/>
    <w:rsid w:val="7BDA78A7"/>
    <w:rsid w:val="7BDE7397"/>
    <w:rsid w:val="7C0152CF"/>
    <w:rsid w:val="7C077F70"/>
    <w:rsid w:val="7C127041"/>
    <w:rsid w:val="7C3E119D"/>
    <w:rsid w:val="7C4411C4"/>
    <w:rsid w:val="7C4A4A2C"/>
    <w:rsid w:val="7C66738C"/>
    <w:rsid w:val="7C683105"/>
    <w:rsid w:val="7C95557C"/>
    <w:rsid w:val="7CD614A1"/>
    <w:rsid w:val="7CE75F92"/>
    <w:rsid w:val="7CF90201"/>
    <w:rsid w:val="7CFD376D"/>
    <w:rsid w:val="7D341239"/>
    <w:rsid w:val="7D641AFB"/>
    <w:rsid w:val="7D7E37E6"/>
    <w:rsid w:val="7DBE3D05"/>
    <w:rsid w:val="7DDD64C5"/>
    <w:rsid w:val="7DF6029C"/>
    <w:rsid w:val="7E1075B0"/>
    <w:rsid w:val="7E4C610E"/>
    <w:rsid w:val="7E5D031B"/>
    <w:rsid w:val="7ECF1B17"/>
    <w:rsid w:val="7EEA3A51"/>
    <w:rsid w:val="7F364DF4"/>
    <w:rsid w:val="7F62208D"/>
    <w:rsid w:val="7F6F0306"/>
    <w:rsid w:val="7F9B6E3D"/>
    <w:rsid w:val="7FA501CC"/>
    <w:rsid w:val="BBF54A57"/>
    <w:rsid w:val="DFCD97E7"/>
    <w:rsid w:val="FBC1D5BA"/>
    <w:rsid w:val="FCFE36B0"/>
    <w:rsid w:val="FEAF98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tabs>
        <w:tab w:val="left" w:pos="3360"/>
      </w:tabs>
      <w:snapToGrid w:val="0"/>
      <w:spacing w:beforeLines="100" w:afterLines="50" w:line="800" w:lineRule="atLeast"/>
      <w:jc w:val="center"/>
      <w:outlineLvl w:val="0"/>
    </w:pPr>
    <w:rPr>
      <w:rFonts w:eastAsia="黑体"/>
      <w:sz w:val="44"/>
    </w:rPr>
  </w:style>
  <w:style w:type="paragraph" w:styleId="4">
    <w:name w:val="heading 3"/>
    <w:basedOn w:val="1"/>
    <w:next w:val="1"/>
    <w:qFormat/>
    <w:uiPriority w:val="0"/>
    <w:pPr>
      <w:keepNext/>
      <w:keepLines/>
      <w:numPr>
        <w:ilvl w:val="2"/>
        <w:numId w:val="1"/>
      </w:numPr>
      <w:spacing w:before="120" w:line="360" w:lineRule="auto"/>
      <w:outlineLvl w:val="2"/>
    </w:pPr>
    <w:rPr>
      <w:rFonts w:ascii="微软雅黑" w:hAnsi="微软雅黑" w:eastAsia="微软雅黑"/>
      <w:b/>
      <w:bCs/>
      <w:kern w:val="0"/>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7"/>
    <w:qFormat/>
    <w:uiPriority w:val="99"/>
    <w:pPr>
      <w:spacing w:after="120"/>
    </w:pPr>
  </w:style>
  <w:style w:type="paragraph" w:styleId="5">
    <w:name w:val="Normal Indent"/>
    <w:basedOn w:val="1"/>
    <w:qFormat/>
    <w:uiPriority w:val="0"/>
    <w:pPr>
      <w:adjustRightInd w:val="0"/>
      <w:snapToGrid w:val="0"/>
      <w:spacing w:line="360" w:lineRule="auto"/>
      <w:ind w:firstLine="420"/>
    </w:pPr>
    <w:rPr>
      <w:sz w:val="24"/>
    </w:rPr>
  </w:style>
  <w:style w:type="paragraph" w:styleId="6">
    <w:name w:val="Body Text Indent"/>
    <w:basedOn w:val="1"/>
    <w:next w:val="7"/>
    <w:qFormat/>
    <w:uiPriority w:val="0"/>
    <w:pPr>
      <w:widowControl/>
      <w:spacing w:line="360" w:lineRule="auto"/>
      <w:ind w:firstLine="280" w:firstLineChars="100"/>
    </w:pPr>
    <w:rPr>
      <w:rFonts w:ascii="仿宋_GB2312" w:eastAsia="仿宋_GB2312"/>
      <w:kern w:val="0"/>
      <w:sz w:val="30"/>
      <w:szCs w:val="20"/>
    </w:rPr>
  </w:style>
  <w:style w:type="paragraph" w:styleId="7">
    <w:name w:val="envelope return"/>
    <w:basedOn w:val="1"/>
    <w:qFormat/>
    <w:uiPriority w:val="0"/>
    <w:pPr>
      <w:snapToGrid w:val="0"/>
    </w:pPr>
    <w:rPr>
      <w:rFonts w:ascii="Arial" w:hAnsi="Arial"/>
    </w:rPr>
  </w:style>
  <w:style w:type="paragraph" w:styleId="8">
    <w:name w:val="Plain Text"/>
    <w:basedOn w:val="1"/>
    <w:qFormat/>
    <w:uiPriority w:val="0"/>
    <w:rPr>
      <w:rFonts w:hAnsi="Courier New"/>
      <w:szCs w:val="20"/>
    </w:rPr>
  </w:style>
  <w:style w:type="paragraph" w:styleId="9">
    <w:name w:val="footer"/>
    <w:basedOn w:val="1"/>
    <w:unhideWhenUsed/>
    <w:qFormat/>
    <w:uiPriority w:val="99"/>
    <w:pPr>
      <w:tabs>
        <w:tab w:val="center" w:pos="4153"/>
        <w:tab w:val="right" w:pos="8306"/>
      </w:tabs>
      <w:snapToGrid w:val="0"/>
      <w:jc w:val="left"/>
    </w:pPr>
    <w:rPr>
      <w:sz w:val="18"/>
      <w:szCs w:val="18"/>
    </w:rPr>
  </w:style>
  <w:style w:type="paragraph" w:styleId="10">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2">
    <w:name w:val="Body Text First Indent 2"/>
    <w:basedOn w:val="6"/>
    <w:qFormat/>
    <w:uiPriority w:val="0"/>
    <w:pPr>
      <w:spacing w:after="120"/>
      <w:ind w:left="420" w:leftChars="200" w:firstLine="420" w:firstLineChars="200"/>
    </w:pPr>
    <w:rPr>
      <w:rFonts w:ascii="Times New Roman" w:eastAsia="宋体"/>
      <w:sz w:val="21"/>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6">
    <w:name w:val="List Paragraph"/>
    <w:basedOn w:val="1"/>
    <w:qFormat/>
    <w:uiPriority w:val="99"/>
    <w:pPr>
      <w:ind w:firstLine="420" w:firstLineChars="200"/>
    </w:pPr>
  </w:style>
  <w:style w:type="character" w:customStyle="1" w:styleId="17">
    <w:name w:val="正文文本 Char"/>
    <w:basedOn w:val="15"/>
    <w:link w:val="2"/>
    <w:qFormat/>
    <w:uiPriority w:val="99"/>
    <w:rPr>
      <w:kern w:val="2"/>
      <w:sz w:val="21"/>
      <w:szCs w:val="24"/>
    </w:rPr>
  </w:style>
  <w:style w:type="character" w:customStyle="1" w:styleId="18">
    <w:name w:val="页眉 Char"/>
    <w:basedOn w:val="15"/>
    <w:link w:val="10"/>
    <w:qFormat/>
    <w:uiPriority w:val="0"/>
    <w:rPr>
      <w:rFonts w:ascii="Times New Roman" w:hAnsi="Times New Roman"/>
      <w:kern w:val="2"/>
      <w:sz w:val="18"/>
      <w:szCs w:val="18"/>
    </w:rPr>
  </w:style>
  <w:style w:type="character" w:customStyle="1" w:styleId="19">
    <w:name w:val="font01"/>
    <w:basedOn w:val="15"/>
    <w:qFormat/>
    <w:uiPriority w:val="0"/>
    <w:rPr>
      <w:rFonts w:hint="eastAsia" w:ascii="宋体" w:hAnsi="宋体" w:eastAsia="宋体" w:cs="宋体"/>
      <w:color w:val="000000"/>
      <w:sz w:val="24"/>
      <w:szCs w:val="24"/>
      <w:u w:val="none"/>
    </w:rPr>
  </w:style>
  <w:style w:type="paragraph" w:customStyle="1" w:styleId="20">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6</Pages>
  <Words>1488</Words>
  <Characters>1594</Characters>
  <Lines>28</Lines>
  <Paragraphs>8</Paragraphs>
  <TotalTime>5</TotalTime>
  <ScaleCrop>false</ScaleCrop>
  <LinksUpToDate>false</LinksUpToDate>
  <CharactersWithSpaces>1602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2025-05-09T08:44:00Z</dcterms:created>
  <dc:creator>完美懈梦</dc:creator>
  <cp:lastModifiedBy>周雨</cp:lastModifiedBy>
  <dcterms:modified xsi:type="dcterms:W3CDTF">2025-09-04T08:35:29Z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03D35930DC7A4B688D92C136BF3C8A00_13</vt:lpwstr>
  </property>
  <property fmtid="{D5CDD505-2E9C-101B-9397-08002B2CF9AE}" pid="4" name="KSOSaveFontToCloudKey">
    <vt:lpwstr>444817304_cloud</vt:lpwstr>
  </property>
  <property fmtid="{D5CDD505-2E9C-101B-9397-08002B2CF9AE}" pid="5" name="KSOTemplateDocerSaveRecord">
    <vt:lpwstr>eyJoZGlkIjoiMzJmODM0MjU3OWJiNTgwNDc2OWYwOTY3ZGZmMWEwYTQiLCJ1c2VySWQiOiI0NDQ4MTczMDQifQ==</vt:lpwstr>
  </property>
</Properties>
</file>