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E06694">
      <w:pPr>
        <w:keepNext w:val="0"/>
        <w:keepLines w:val="0"/>
        <w:pageBreakBefore w:val="0"/>
        <w:widowControl/>
        <w:kinsoku/>
        <w:wordWrap/>
        <w:overflowPunct/>
        <w:topLinePunct w:val="0"/>
        <w:autoSpaceDE/>
        <w:autoSpaceDN/>
        <w:bidi w:val="0"/>
        <w:adjustRightInd w:val="0"/>
        <w:snapToGrid w:val="0"/>
        <w:spacing w:after="0" w:line="560" w:lineRule="exact"/>
        <w:ind w:firstLine="836" w:firstLineChars="200"/>
        <w:jc w:val="center"/>
        <w:textAlignment w:val="auto"/>
        <w:outlineLvl w:val="9"/>
        <w:rPr>
          <w:rFonts w:hint="eastAsia" w:ascii="方正小标宋_GBK" w:hAnsi="方正小标宋_GBK" w:eastAsia="方正小标宋_GBK" w:cs="方正小标宋_GBK"/>
          <w:w w:val="95"/>
          <w:sz w:val="44"/>
          <w:szCs w:val="44"/>
        </w:rPr>
      </w:pPr>
      <w:r>
        <w:rPr>
          <w:rFonts w:hint="eastAsia" w:ascii="方正小标宋_GBK" w:hAnsi="方正小标宋_GBK" w:eastAsia="方正小标宋_GBK" w:cs="方正小标宋_GBK"/>
          <w:w w:val="95"/>
          <w:sz w:val="44"/>
          <w:szCs w:val="44"/>
        </w:rPr>
        <w:t>重庆市巴南区机关事务中心</w:t>
      </w:r>
    </w:p>
    <w:p w14:paraId="3C2F83A0">
      <w:pPr>
        <w:keepNext w:val="0"/>
        <w:keepLines w:val="0"/>
        <w:pageBreakBefore w:val="0"/>
        <w:widowControl/>
        <w:kinsoku/>
        <w:wordWrap/>
        <w:overflowPunct/>
        <w:topLinePunct w:val="0"/>
        <w:autoSpaceDE/>
        <w:autoSpaceDN/>
        <w:bidi w:val="0"/>
        <w:adjustRightInd w:val="0"/>
        <w:snapToGrid w:val="0"/>
        <w:spacing w:after="0" w:line="560" w:lineRule="exact"/>
        <w:ind w:firstLine="880" w:firstLineChars="200"/>
        <w:jc w:val="center"/>
        <w:textAlignment w:val="auto"/>
        <w:outlineLvl w:val="9"/>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val="en-US" w:eastAsia="zh-CN"/>
        </w:rPr>
        <w:t>关于采购</w:t>
      </w:r>
      <w:r>
        <w:rPr>
          <w:rFonts w:hint="eastAsia" w:ascii="方正小标宋_GBK" w:hAnsi="方正小标宋_GBK" w:eastAsia="方正小标宋_GBK" w:cs="方正小标宋_GBK"/>
          <w:sz w:val="44"/>
          <w:szCs w:val="44"/>
        </w:rPr>
        <w:t>配电运维服务</w:t>
      </w:r>
      <w:r>
        <w:rPr>
          <w:rFonts w:hint="eastAsia" w:ascii="方正小标宋_GBK" w:hAnsi="方正小标宋_GBK" w:eastAsia="方正小标宋_GBK" w:cs="方正小标宋_GBK"/>
          <w:sz w:val="44"/>
          <w:szCs w:val="44"/>
          <w:lang w:val="en-US" w:eastAsia="zh-CN"/>
        </w:rPr>
        <w:t>的询价文件</w:t>
      </w:r>
    </w:p>
    <w:p w14:paraId="0CB9BB3A">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黑体_GBK" w:hAnsi="方正黑体_GBK" w:eastAsia="方正黑体_GBK" w:cs="方正黑体_GBK"/>
          <w:b w:val="0"/>
          <w:bCs w:val="0"/>
          <w:sz w:val="32"/>
          <w:szCs w:val="32"/>
          <w:lang w:val="en-US" w:eastAsia="zh-CN"/>
        </w:rPr>
      </w:pPr>
    </w:p>
    <w:p w14:paraId="16782355">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一、项目基本概况介绍</w:t>
      </w:r>
    </w:p>
    <w:p w14:paraId="414EDB60">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按照国家及行业相关规范要求，对重庆市巴南区行政中心高压配电设备、设施、线路进行预防性试验及月度巡检、维护保养、故障排查及抢修等服务。</w:t>
      </w:r>
    </w:p>
    <w:p w14:paraId="24C6E505">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二、服务范围、要求及标准</w:t>
      </w:r>
    </w:p>
    <w:p w14:paraId="24ACE5E3">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（一）服务范围（包含但不限于以下内容）：</w:t>
      </w:r>
    </w:p>
    <w:p w14:paraId="5BC82FD0">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1.重庆市巴南区行政中心开闭所、1#专配电、2#专配、315V箱变内所有配电设施设备。根据相关规范并按照采购人要求拟定大修或改造方案（含预算）。</w:t>
      </w:r>
    </w:p>
    <w:p w14:paraId="486ED7E7">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2.高低电缆故障排查及抢险抢修。</w:t>
      </w:r>
    </w:p>
    <w:p w14:paraId="0565B1C0">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（二）服务要求：</w:t>
      </w:r>
    </w:p>
    <w:p w14:paraId="7D4251AB">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1.配电设备预防性试验内容及要求</w:t>
      </w:r>
    </w:p>
    <w:p w14:paraId="76EBB13B">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配电设备预防性试验（包含但不限于以下内容，数量以实际为准）</w:t>
      </w:r>
    </w:p>
    <w:p w14:paraId="30625A26">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①</w:t>
      </w:r>
      <w:r>
        <w:rPr>
          <w:rFonts w:hint="eastAsia" w:ascii="方正仿宋_GBK" w:hAnsi="方正仿宋_GBK" w:eastAsia="方正仿宋_GBK" w:cs="方正仿宋_GBK"/>
          <w:sz w:val="32"/>
          <w:szCs w:val="32"/>
          <w:lang w:val="en-US" w:eastAsia="zh-CN"/>
        </w:rPr>
        <w:t>变压器7台</w:t>
      </w:r>
    </w:p>
    <w:p w14:paraId="5C79DD0F">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微软雅黑" w:hAnsi="微软雅黑" w:eastAsia="微软雅黑" w:cs="微软雅黑"/>
          <w:sz w:val="32"/>
          <w:szCs w:val="32"/>
        </w:rPr>
        <w:t>②</w:t>
      </w:r>
      <w:r>
        <w:rPr>
          <w:rFonts w:hint="eastAsia" w:ascii="方正仿宋_GBK" w:hAnsi="方正仿宋_GBK" w:eastAsia="方正仿宋_GBK" w:cs="方正仿宋_GBK"/>
          <w:sz w:val="32"/>
          <w:szCs w:val="32"/>
          <w:lang w:val="en-US" w:eastAsia="zh-CN"/>
        </w:rPr>
        <w:t>6-10KV 高压开关柜27台</w:t>
      </w:r>
    </w:p>
    <w:p w14:paraId="3A671460">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default" w:ascii="方正仿宋_GBK" w:hAnsi="方正仿宋_GBK" w:eastAsia="方正仿宋_GBK" w:cs="方正仿宋_GBK"/>
          <w:sz w:val="32"/>
          <w:szCs w:val="32"/>
          <w:lang w:val="en-US" w:eastAsia="zh-CN"/>
        </w:rPr>
      </w:pPr>
      <w:r>
        <w:rPr>
          <w:rFonts w:hint="eastAsia" w:ascii="微软雅黑" w:hAnsi="微软雅黑" w:eastAsia="微软雅黑" w:cs="微软雅黑"/>
          <w:sz w:val="32"/>
          <w:szCs w:val="32"/>
          <w:lang w:val="en-US" w:eastAsia="zh-CN"/>
        </w:rPr>
        <w:t>③</w:t>
      </w:r>
      <w:r>
        <w:rPr>
          <w:rFonts w:hint="eastAsia" w:ascii="方正仿宋_GBK" w:hAnsi="方正仿宋_GBK" w:eastAsia="方正仿宋_GBK" w:cs="方正仿宋_GBK"/>
          <w:sz w:val="32"/>
          <w:szCs w:val="32"/>
          <w:lang w:val="en-US" w:eastAsia="zh-CN"/>
        </w:rPr>
        <w:t>低压开关柜52台</w:t>
      </w:r>
    </w:p>
    <w:p w14:paraId="6712FD96">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微软雅黑" w:hAnsi="微软雅黑" w:eastAsia="微软雅黑" w:cs="微软雅黑"/>
          <w:sz w:val="32"/>
          <w:szCs w:val="32"/>
          <w:lang w:val="en-US" w:eastAsia="zh-CN"/>
        </w:rPr>
        <w:t>④</w:t>
      </w:r>
      <w:r>
        <w:rPr>
          <w:rFonts w:hint="eastAsia" w:ascii="方正仿宋_GBK" w:hAnsi="方正仿宋_GBK" w:eastAsia="方正仿宋_GBK" w:cs="方正仿宋_GBK"/>
          <w:sz w:val="32"/>
          <w:szCs w:val="32"/>
          <w:lang w:val="en-US" w:eastAsia="zh-CN"/>
        </w:rPr>
        <w:t>高压分支箱1台</w:t>
      </w:r>
    </w:p>
    <w:p w14:paraId="54CA388D">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微软雅黑" w:hAnsi="微软雅黑" w:eastAsia="微软雅黑" w:cs="微软雅黑"/>
          <w:sz w:val="32"/>
          <w:szCs w:val="32"/>
          <w:lang w:val="en-US" w:eastAsia="zh-CN"/>
        </w:rPr>
        <w:t>⑤</w:t>
      </w:r>
      <w:r>
        <w:rPr>
          <w:rFonts w:hint="eastAsia" w:ascii="方正仿宋_GBK" w:hAnsi="方正仿宋_GBK" w:eastAsia="方正仿宋_GBK" w:cs="方正仿宋_GBK"/>
          <w:sz w:val="32"/>
          <w:szCs w:val="32"/>
          <w:lang w:val="en-US" w:eastAsia="zh-CN"/>
        </w:rPr>
        <w:t>10KV 电力电缆（进线）2根，10KV 电力电缆（站内）10根</w:t>
      </w:r>
    </w:p>
    <w:p w14:paraId="4EB528A8">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微软雅黑" w:hAnsi="微软雅黑" w:eastAsia="微软雅黑" w:cs="微软雅黑"/>
          <w:sz w:val="32"/>
          <w:szCs w:val="32"/>
          <w:lang w:val="en-US" w:eastAsia="zh-CN"/>
        </w:rPr>
        <w:t>⑥</w:t>
      </w:r>
      <w:r>
        <w:rPr>
          <w:rFonts w:hint="eastAsia" w:ascii="方正仿宋_GBK" w:hAnsi="方正仿宋_GBK" w:eastAsia="方正仿宋_GBK" w:cs="方正仿宋_GBK"/>
          <w:sz w:val="32"/>
          <w:szCs w:val="32"/>
          <w:lang w:val="en-US" w:eastAsia="zh-CN"/>
        </w:rPr>
        <w:t>10-10KV继电保护</w:t>
      </w:r>
    </w:p>
    <w:p w14:paraId="0785AC22">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微软雅黑" w:hAnsi="微软雅黑" w:eastAsia="微软雅黑" w:cs="微软雅黑"/>
          <w:sz w:val="32"/>
          <w:szCs w:val="32"/>
          <w:lang w:val="en-US" w:eastAsia="zh-CN"/>
        </w:rPr>
        <w:t>⑦</w:t>
      </w:r>
      <w:r>
        <w:rPr>
          <w:rFonts w:hint="eastAsia" w:ascii="方正仿宋_GBK" w:hAnsi="方正仿宋_GBK" w:eastAsia="方正仿宋_GBK" w:cs="方正仿宋_GBK"/>
          <w:sz w:val="32"/>
          <w:szCs w:val="32"/>
          <w:lang w:val="en-US" w:eastAsia="zh-CN"/>
        </w:rPr>
        <w:t>10KV避雷器</w:t>
      </w:r>
    </w:p>
    <w:p w14:paraId="1337F764">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微软雅黑" w:hAnsi="微软雅黑" w:eastAsia="微软雅黑" w:cs="微软雅黑"/>
          <w:sz w:val="32"/>
          <w:szCs w:val="32"/>
          <w:lang w:val="en-US" w:eastAsia="zh-CN"/>
        </w:rPr>
        <w:t>⑧</w:t>
      </w:r>
      <w:r>
        <w:rPr>
          <w:rFonts w:hint="eastAsia" w:ascii="方正仿宋_GBK" w:hAnsi="方正仿宋_GBK" w:eastAsia="方正仿宋_GBK" w:cs="方正仿宋_GBK"/>
          <w:sz w:val="32"/>
          <w:szCs w:val="32"/>
          <w:lang w:val="en-US" w:eastAsia="zh-CN"/>
        </w:rPr>
        <w:t>10KV配电站接地电阻测试(站)</w:t>
      </w:r>
    </w:p>
    <w:p w14:paraId="3130E8D5">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配电设备预防性试验要求：</w:t>
      </w:r>
    </w:p>
    <w:p w14:paraId="1AAB78A5">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①在合同期内每年进行一次预防性试验，具体试验时间以</w:t>
      </w:r>
      <w:r>
        <w:rPr>
          <w:rFonts w:hint="eastAsia" w:ascii="方正仿宋_GBK" w:hAnsi="方正仿宋_GBK" w:eastAsia="方正仿宋_GBK" w:cs="方正仿宋_GBK"/>
          <w:sz w:val="32"/>
          <w:szCs w:val="32"/>
          <w:lang w:eastAsia="zh-CN"/>
        </w:rPr>
        <w:t>采购人</w:t>
      </w:r>
      <w:r>
        <w:rPr>
          <w:rFonts w:hint="eastAsia" w:ascii="方正仿宋_GBK" w:hAnsi="方正仿宋_GBK" w:eastAsia="方正仿宋_GBK" w:cs="方正仿宋_GBK"/>
          <w:sz w:val="32"/>
          <w:szCs w:val="32"/>
        </w:rPr>
        <w:t>协调为准。</w:t>
      </w:r>
    </w:p>
    <w:p w14:paraId="3A62825A">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②在预试工作结束后7天内向</w:t>
      </w:r>
      <w:r>
        <w:rPr>
          <w:rFonts w:hint="eastAsia" w:ascii="方正仿宋_GBK" w:hAnsi="方正仿宋_GBK" w:eastAsia="方正仿宋_GBK" w:cs="方正仿宋_GBK"/>
          <w:sz w:val="32"/>
          <w:szCs w:val="32"/>
          <w:lang w:eastAsia="zh-CN"/>
        </w:rPr>
        <w:t>采购人</w:t>
      </w:r>
      <w:r>
        <w:rPr>
          <w:rFonts w:hint="eastAsia" w:ascii="方正仿宋_GBK" w:hAnsi="方正仿宋_GBK" w:eastAsia="方正仿宋_GBK" w:cs="方正仿宋_GBK"/>
          <w:sz w:val="32"/>
          <w:szCs w:val="32"/>
        </w:rPr>
        <w:t>提供试验测试报告。</w:t>
      </w:r>
    </w:p>
    <w:p w14:paraId="486A8750">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③每年进行一次安全操作工器具年检工作并提供试验报告</w:t>
      </w:r>
      <w:r>
        <w:rPr>
          <w:rFonts w:hint="eastAsia" w:ascii="方正仿宋_GBK" w:hAnsi="方正仿宋_GBK" w:eastAsia="方正仿宋_GBK" w:cs="方正仿宋_GBK"/>
          <w:sz w:val="32"/>
          <w:szCs w:val="32"/>
          <w:lang w:eastAsia="zh-CN"/>
        </w:rPr>
        <w:t>。</w:t>
      </w:r>
    </w:p>
    <w:p w14:paraId="137A7807">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配电设备预防性试验执行的标准、规范</w:t>
      </w:r>
      <w:r>
        <w:rPr>
          <w:rFonts w:hint="eastAsia" w:ascii="方正仿宋_GBK" w:hAnsi="方正仿宋_GBK" w:eastAsia="方正仿宋_GBK" w:cs="方正仿宋_GBK"/>
          <w:sz w:val="32"/>
          <w:szCs w:val="32"/>
          <w:lang w:eastAsia="zh-CN"/>
        </w:rPr>
        <w:t>：</w:t>
      </w:r>
    </w:p>
    <w:p w14:paraId="565ABDC7">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GB 26860-2011 电力安全工作规程发电厂和变电站电气部分</w:t>
      </w:r>
    </w:p>
    <w:p w14:paraId="2DA1C3B7">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GBT 31989-2015 高压电力用户用电安全规范</w:t>
      </w:r>
    </w:p>
    <w:p w14:paraId="54290B55">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DLT 596-2005 电力设备预防性试验规程</w:t>
      </w:r>
    </w:p>
    <w:p w14:paraId="16FDD3C4">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GB 50150 -2006 电气装置安装工程电气设备交接试验标准</w:t>
      </w:r>
    </w:p>
    <w:p w14:paraId="48CB71DB">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（三）月度巡检、维保小修内容及要求：</w:t>
      </w:r>
    </w:p>
    <w:p w14:paraId="08E2DA84">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1.供应商</w:t>
      </w:r>
      <w:r>
        <w:rPr>
          <w:rFonts w:hint="eastAsia" w:ascii="方正仿宋_GBK" w:hAnsi="方正仿宋_GBK" w:eastAsia="方正仿宋_GBK" w:cs="方正仿宋_GBK"/>
          <w:sz w:val="32"/>
          <w:szCs w:val="32"/>
        </w:rPr>
        <w:t>必须严格按照约定的范围，对</w:t>
      </w:r>
      <w:r>
        <w:rPr>
          <w:rFonts w:hint="eastAsia" w:ascii="方正仿宋_GBK" w:hAnsi="方正仿宋_GBK" w:eastAsia="方正仿宋_GBK" w:cs="方正仿宋_GBK"/>
          <w:sz w:val="32"/>
          <w:szCs w:val="32"/>
          <w:lang w:eastAsia="zh-CN"/>
        </w:rPr>
        <w:t>采购人</w:t>
      </w:r>
      <w:r>
        <w:rPr>
          <w:rFonts w:hint="eastAsia" w:ascii="方正仿宋_GBK" w:hAnsi="方正仿宋_GBK" w:eastAsia="方正仿宋_GBK" w:cs="方正仿宋_GBK"/>
          <w:sz w:val="32"/>
          <w:szCs w:val="32"/>
        </w:rPr>
        <w:t>的电力设备进行维护、</w:t>
      </w:r>
      <w:r>
        <w:rPr>
          <w:rFonts w:hint="eastAsia" w:ascii="方正仿宋_GBK" w:hAnsi="方正仿宋_GBK" w:eastAsia="方正仿宋_GBK" w:cs="方正仿宋_GBK"/>
          <w:sz w:val="32"/>
          <w:szCs w:val="32"/>
          <w:lang w:eastAsia="zh-CN"/>
        </w:rPr>
        <w:t>试验、</w:t>
      </w:r>
      <w:r>
        <w:rPr>
          <w:rFonts w:hint="eastAsia" w:ascii="方正仿宋_GBK" w:hAnsi="方正仿宋_GBK" w:eastAsia="方正仿宋_GBK" w:cs="方正仿宋_GBK"/>
          <w:sz w:val="32"/>
          <w:szCs w:val="32"/>
        </w:rPr>
        <w:t>小修、事故处理及巡视检查工作。</w:t>
      </w:r>
    </w:p>
    <w:p w14:paraId="3E54BF71">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2.供应商</w:t>
      </w:r>
      <w:r>
        <w:rPr>
          <w:rFonts w:hint="eastAsia" w:ascii="方正仿宋_GBK" w:hAnsi="方正仿宋_GBK" w:eastAsia="方正仿宋_GBK" w:cs="方正仿宋_GBK"/>
          <w:sz w:val="32"/>
          <w:szCs w:val="32"/>
        </w:rPr>
        <w:t>必须对在</w:t>
      </w:r>
      <w:r>
        <w:rPr>
          <w:rFonts w:hint="eastAsia" w:ascii="方正仿宋_GBK" w:hAnsi="方正仿宋_GBK" w:eastAsia="方正仿宋_GBK" w:cs="方正仿宋_GBK"/>
          <w:sz w:val="32"/>
          <w:szCs w:val="32"/>
          <w:lang w:eastAsia="zh-CN"/>
        </w:rPr>
        <w:t>采购人</w:t>
      </w:r>
      <w:r>
        <w:rPr>
          <w:rFonts w:hint="eastAsia" w:ascii="方正仿宋_GBK" w:hAnsi="方正仿宋_GBK" w:eastAsia="方正仿宋_GBK" w:cs="方正仿宋_GBK"/>
          <w:sz w:val="32"/>
          <w:szCs w:val="32"/>
        </w:rPr>
        <w:t>电力</w:t>
      </w:r>
      <w:r>
        <w:rPr>
          <w:rFonts w:hint="eastAsia" w:ascii="方正仿宋_GBK" w:hAnsi="方正仿宋_GBK" w:eastAsia="方正仿宋_GBK" w:cs="方正仿宋_GBK"/>
          <w:sz w:val="32"/>
          <w:szCs w:val="32"/>
          <w:lang w:eastAsia="zh-CN"/>
        </w:rPr>
        <w:t>设备</w:t>
      </w:r>
      <w:r>
        <w:rPr>
          <w:rFonts w:hint="eastAsia" w:ascii="方正仿宋_GBK" w:hAnsi="方正仿宋_GBK" w:eastAsia="方正仿宋_GBK" w:cs="方正仿宋_GBK"/>
          <w:sz w:val="32"/>
          <w:szCs w:val="32"/>
        </w:rPr>
        <w:t>上进行工作的安全责任负责。</w:t>
      </w:r>
    </w:p>
    <w:p w14:paraId="4DCC7144">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3.供应商</w:t>
      </w:r>
      <w:r>
        <w:rPr>
          <w:rFonts w:hint="eastAsia" w:ascii="方正仿宋_GBK" w:hAnsi="方正仿宋_GBK" w:eastAsia="方正仿宋_GBK" w:cs="方正仿宋_GBK"/>
          <w:color w:val="auto"/>
          <w:sz w:val="32"/>
          <w:szCs w:val="32"/>
        </w:rPr>
        <w:t>必须按照相关规范要求做好对维护设备的月度巡检工作，</w:t>
      </w:r>
      <w:r>
        <w:rPr>
          <w:rFonts w:hint="eastAsia" w:ascii="方正仿宋_GBK" w:hAnsi="方正仿宋_GBK" w:eastAsia="方正仿宋_GBK" w:cs="方正仿宋_GBK"/>
          <w:color w:val="auto"/>
          <w:sz w:val="32"/>
          <w:szCs w:val="32"/>
          <w:lang w:val="en-US" w:eastAsia="zh-CN"/>
        </w:rPr>
        <w:t>在做完月度巡检后一周内</w:t>
      </w:r>
      <w:r>
        <w:rPr>
          <w:rFonts w:hint="eastAsia" w:ascii="方正仿宋_GBK" w:hAnsi="方正仿宋_GBK" w:eastAsia="方正仿宋_GBK" w:cs="方正仿宋_GBK"/>
          <w:color w:val="auto"/>
          <w:sz w:val="32"/>
          <w:szCs w:val="32"/>
        </w:rPr>
        <w:t>，向</w:t>
      </w:r>
      <w:r>
        <w:rPr>
          <w:rFonts w:hint="eastAsia" w:ascii="方正仿宋_GBK" w:hAnsi="方正仿宋_GBK" w:eastAsia="方正仿宋_GBK" w:cs="方正仿宋_GBK"/>
          <w:color w:val="auto"/>
          <w:sz w:val="32"/>
          <w:szCs w:val="32"/>
          <w:lang w:eastAsia="zh-CN"/>
        </w:rPr>
        <w:t>采购人</w:t>
      </w:r>
      <w:r>
        <w:rPr>
          <w:rFonts w:hint="eastAsia" w:ascii="方正仿宋_GBK" w:hAnsi="方正仿宋_GBK" w:eastAsia="方正仿宋_GBK" w:cs="方正仿宋_GBK"/>
          <w:color w:val="auto"/>
          <w:sz w:val="32"/>
          <w:szCs w:val="32"/>
        </w:rPr>
        <w:t>提供完整的巡检报告，巡检报告需要</w:t>
      </w:r>
      <w:r>
        <w:rPr>
          <w:rFonts w:hint="eastAsia" w:ascii="方正仿宋_GBK" w:hAnsi="方正仿宋_GBK" w:eastAsia="方正仿宋_GBK" w:cs="方正仿宋_GBK"/>
          <w:color w:val="auto"/>
          <w:sz w:val="32"/>
          <w:szCs w:val="32"/>
          <w:lang w:eastAsia="zh-CN"/>
        </w:rPr>
        <w:t>采购人</w:t>
      </w:r>
      <w:r>
        <w:rPr>
          <w:rFonts w:hint="eastAsia" w:ascii="方正仿宋_GBK" w:hAnsi="方正仿宋_GBK" w:eastAsia="方正仿宋_GBK" w:cs="方正仿宋_GBK"/>
          <w:color w:val="auto"/>
          <w:sz w:val="32"/>
          <w:szCs w:val="32"/>
        </w:rPr>
        <w:t>相关部门负责人签字确认，同时配合</w:t>
      </w:r>
      <w:r>
        <w:rPr>
          <w:rFonts w:hint="eastAsia" w:ascii="方正仿宋_GBK" w:hAnsi="方正仿宋_GBK" w:eastAsia="方正仿宋_GBK" w:cs="方正仿宋_GBK"/>
          <w:color w:val="auto"/>
          <w:sz w:val="32"/>
          <w:szCs w:val="32"/>
          <w:lang w:eastAsia="zh-CN"/>
        </w:rPr>
        <w:t>采购人</w:t>
      </w:r>
      <w:r>
        <w:rPr>
          <w:rFonts w:hint="eastAsia" w:ascii="方正仿宋_GBK" w:hAnsi="方正仿宋_GBK" w:eastAsia="方正仿宋_GBK" w:cs="方正仿宋_GBK"/>
          <w:color w:val="auto"/>
          <w:sz w:val="32"/>
          <w:szCs w:val="32"/>
        </w:rPr>
        <w:t>及时消除在检查中发现的设备缺陷及隐患。</w:t>
      </w:r>
    </w:p>
    <w:p w14:paraId="439942D1">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4.供应商</w:t>
      </w:r>
      <w:r>
        <w:rPr>
          <w:rFonts w:hint="eastAsia" w:ascii="方正仿宋_GBK" w:hAnsi="方正仿宋_GBK" w:eastAsia="方正仿宋_GBK" w:cs="方正仿宋_GBK"/>
          <w:color w:val="auto"/>
          <w:sz w:val="32"/>
          <w:szCs w:val="32"/>
        </w:rPr>
        <w:t>在合同期内必须对上述配电设备每年维护小修一次，包括但不限于开展设备接头紧固、清洁防腐、加润滑油、信号灯及二次熔断器更换等。</w:t>
      </w:r>
    </w:p>
    <w:p w14:paraId="4F731C27">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lang w:val="en-US" w:eastAsia="zh-CN"/>
        </w:rPr>
        <w:t>5.供应商在设备的消缺及事故处理中，单件价格500元以内（如按钮、万转开关、指示灯、指针式电流电压表等）的配件由供应商承担，并承诺质保一年。500元以上的单件材料由采购人承担。更换材料需与原品牌相符或不低于原品牌品质及性能。</w:t>
      </w:r>
    </w:p>
    <w:p w14:paraId="26CBA3B9">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6.供应商</w:t>
      </w:r>
      <w:r>
        <w:rPr>
          <w:rFonts w:hint="eastAsia" w:ascii="方正仿宋_GBK" w:hAnsi="方正仿宋_GBK" w:eastAsia="方正仿宋_GBK" w:cs="方正仿宋_GBK"/>
          <w:sz w:val="32"/>
          <w:szCs w:val="32"/>
        </w:rPr>
        <w:t>承诺提供24小时电力故障</w:t>
      </w:r>
      <w:r>
        <w:rPr>
          <w:rFonts w:hint="eastAsia" w:ascii="方正仿宋_GBK" w:hAnsi="方正仿宋_GBK" w:eastAsia="方正仿宋_GBK" w:cs="方正仿宋_GBK"/>
          <w:sz w:val="32"/>
          <w:szCs w:val="32"/>
          <w:lang w:val="en-US" w:eastAsia="zh-CN"/>
        </w:rPr>
        <w:t>抢修</w:t>
      </w:r>
      <w:r>
        <w:rPr>
          <w:rFonts w:hint="eastAsia" w:ascii="方正仿宋_GBK" w:hAnsi="方正仿宋_GBK" w:eastAsia="方正仿宋_GBK" w:cs="方正仿宋_GBK"/>
          <w:sz w:val="32"/>
          <w:szCs w:val="32"/>
        </w:rPr>
        <w:t>服务。在接到</w:t>
      </w:r>
      <w:r>
        <w:rPr>
          <w:rFonts w:hint="eastAsia" w:ascii="方正仿宋_GBK" w:hAnsi="方正仿宋_GBK" w:eastAsia="方正仿宋_GBK" w:cs="方正仿宋_GBK"/>
          <w:sz w:val="32"/>
          <w:szCs w:val="32"/>
          <w:lang w:eastAsia="zh-CN"/>
        </w:rPr>
        <w:t>采购人</w:t>
      </w:r>
      <w:r>
        <w:rPr>
          <w:rFonts w:hint="eastAsia" w:ascii="方正仿宋_GBK" w:hAnsi="方正仿宋_GBK" w:eastAsia="方正仿宋_GBK" w:cs="方正仿宋_GBK"/>
          <w:sz w:val="32"/>
          <w:szCs w:val="32"/>
        </w:rPr>
        <w:t>电力设备出现故障通知后，</w:t>
      </w:r>
      <w:r>
        <w:rPr>
          <w:rFonts w:hint="eastAsia" w:ascii="方正仿宋_GBK" w:hAnsi="方正仿宋_GBK" w:eastAsia="方正仿宋_GBK" w:cs="方正仿宋_GBK"/>
          <w:sz w:val="32"/>
          <w:szCs w:val="32"/>
          <w:lang w:eastAsia="zh-CN"/>
        </w:rPr>
        <w:t>必须</w:t>
      </w:r>
      <w:r>
        <w:rPr>
          <w:rFonts w:hint="eastAsia" w:ascii="方正仿宋_GBK" w:hAnsi="方正仿宋_GBK" w:eastAsia="方正仿宋_GBK" w:cs="方正仿宋_GBK"/>
          <w:sz w:val="32"/>
          <w:szCs w:val="32"/>
        </w:rPr>
        <w:t>在2小时以内赶往现场进行抢险抢修，及时恢复正常供电。特殊情况下(如遇狂风暴雨、雷电等自然因素，</w:t>
      </w:r>
      <w:r>
        <w:rPr>
          <w:rFonts w:hint="eastAsia" w:ascii="方正仿宋_GBK" w:hAnsi="方正仿宋_GBK" w:eastAsia="方正仿宋_GBK" w:cs="方正仿宋_GBK"/>
          <w:sz w:val="32"/>
          <w:szCs w:val="32"/>
          <w:lang w:val="en-US" w:eastAsia="zh-CN"/>
        </w:rPr>
        <w:t>或需要更换停产的老旧主体设备</w:t>
      </w:r>
      <w:r>
        <w:rPr>
          <w:rFonts w:hint="eastAsia" w:ascii="方正仿宋_GBK" w:hAnsi="方正仿宋_GBK" w:eastAsia="方正仿宋_GBK" w:cs="方正仿宋_GBK"/>
          <w:sz w:val="32"/>
          <w:szCs w:val="32"/>
        </w:rPr>
        <w:t>、材料暂缺以及需大面积停电处理等)不可抗拒因素造成无法正常进行检修</w:t>
      </w:r>
      <w:r>
        <w:rPr>
          <w:rFonts w:hint="eastAsia" w:ascii="方正仿宋_GBK" w:hAnsi="方正仿宋_GBK" w:eastAsia="方正仿宋_GBK" w:cs="方正仿宋_GBK"/>
          <w:sz w:val="32"/>
          <w:szCs w:val="32"/>
          <w:lang w:eastAsia="zh-CN"/>
        </w:rPr>
        <w:t>和</w:t>
      </w:r>
      <w:r>
        <w:rPr>
          <w:rFonts w:hint="eastAsia" w:ascii="方正仿宋_GBK" w:hAnsi="方正仿宋_GBK" w:eastAsia="方正仿宋_GBK" w:cs="方正仿宋_GBK"/>
          <w:sz w:val="32"/>
          <w:szCs w:val="32"/>
        </w:rPr>
        <w:t>事故处理工作时，成交</w:t>
      </w:r>
      <w:r>
        <w:rPr>
          <w:rFonts w:hint="eastAsia" w:ascii="方正仿宋_GBK" w:hAnsi="方正仿宋_GBK" w:eastAsia="方正仿宋_GBK" w:cs="方正仿宋_GBK"/>
          <w:sz w:val="32"/>
          <w:szCs w:val="32"/>
          <w:lang w:eastAsia="zh-CN"/>
        </w:rPr>
        <w:t>供应商</w:t>
      </w:r>
      <w:r>
        <w:rPr>
          <w:rFonts w:hint="eastAsia" w:ascii="方正仿宋_GBK" w:hAnsi="方正仿宋_GBK" w:eastAsia="方正仿宋_GBK" w:cs="方正仿宋_GBK"/>
          <w:sz w:val="32"/>
          <w:szCs w:val="32"/>
        </w:rPr>
        <w:t>应向</w:t>
      </w:r>
      <w:r>
        <w:rPr>
          <w:rFonts w:hint="eastAsia" w:ascii="方正仿宋_GBK" w:hAnsi="方正仿宋_GBK" w:eastAsia="方正仿宋_GBK" w:cs="方正仿宋_GBK"/>
          <w:sz w:val="32"/>
          <w:szCs w:val="32"/>
          <w:lang w:eastAsia="zh-CN"/>
        </w:rPr>
        <w:t>采购人</w:t>
      </w:r>
      <w:r>
        <w:rPr>
          <w:rFonts w:hint="eastAsia" w:ascii="方正仿宋_GBK" w:hAnsi="方正仿宋_GBK" w:eastAsia="方正仿宋_GBK" w:cs="方正仿宋_GBK"/>
          <w:sz w:val="32"/>
          <w:szCs w:val="32"/>
        </w:rPr>
        <w:t>说明情况，并采取积极措施，不间断进行处理</w:t>
      </w:r>
      <w:r>
        <w:rPr>
          <w:rFonts w:hint="eastAsia" w:ascii="方正仿宋_GBK" w:hAnsi="方正仿宋_GBK" w:eastAsia="方正仿宋_GBK" w:cs="方正仿宋_GBK"/>
          <w:color w:val="auto"/>
          <w:sz w:val="32"/>
          <w:szCs w:val="32"/>
        </w:rPr>
        <w:t>工作，尽快恢复</w:t>
      </w:r>
      <w:r>
        <w:rPr>
          <w:rFonts w:hint="eastAsia" w:ascii="方正仿宋_GBK" w:hAnsi="方正仿宋_GBK" w:eastAsia="方正仿宋_GBK" w:cs="方正仿宋_GBK"/>
          <w:color w:val="auto"/>
          <w:sz w:val="32"/>
          <w:szCs w:val="32"/>
          <w:lang w:eastAsia="zh-CN"/>
        </w:rPr>
        <w:t>采购人</w:t>
      </w:r>
      <w:r>
        <w:rPr>
          <w:rFonts w:hint="eastAsia" w:ascii="方正仿宋_GBK" w:hAnsi="方正仿宋_GBK" w:eastAsia="方正仿宋_GBK" w:cs="方正仿宋_GBK"/>
          <w:color w:val="auto"/>
          <w:sz w:val="32"/>
          <w:szCs w:val="32"/>
        </w:rPr>
        <w:t>的正常供电，并积极配合</w:t>
      </w:r>
      <w:r>
        <w:rPr>
          <w:rFonts w:hint="eastAsia" w:ascii="方正仿宋_GBK" w:hAnsi="方正仿宋_GBK" w:eastAsia="方正仿宋_GBK" w:cs="方正仿宋_GBK"/>
          <w:color w:val="auto"/>
          <w:sz w:val="32"/>
          <w:szCs w:val="32"/>
          <w:lang w:eastAsia="zh-CN"/>
        </w:rPr>
        <w:t>采购人</w:t>
      </w:r>
      <w:r>
        <w:rPr>
          <w:rFonts w:hint="eastAsia" w:ascii="方正仿宋_GBK" w:hAnsi="方正仿宋_GBK" w:eastAsia="方正仿宋_GBK" w:cs="方正仿宋_GBK"/>
          <w:color w:val="auto"/>
          <w:sz w:val="32"/>
          <w:szCs w:val="32"/>
        </w:rPr>
        <w:t>查明</w:t>
      </w:r>
      <w:r>
        <w:rPr>
          <w:rFonts w:hint="eastAsia" w:ascii="方正仿宋_GBK" w:hAnsi="方正仿宋_GBK" w:eastAsia="方正仿宋_GBK" w:cs="方正仿宋_GBK"/>
          <w:color w:val="auto"/>
          <w:sz w:val="32"/>
          <w:szCs w:val="32"/>
          <w:lang w:val="en-US" w:eastAsia="zh-CN"/>
        </w:rPr>
        <w:t>故障原因</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在合同期内上述设备发生</w:t>
      </w:r>
      <w:r>
        <w:rPr>
          <w:rFonts w:hint="eastAsia" w:ascii="方正仿宋_GBK" w:hAnsi="方正仿宋_GBK" w:eastAsia="方正仿宋_GBK" w:cs="方正仿宋_GBK"/>
          <w:sz w:val="32"/>
          <w:szCs w:val="32"/>
          <w:lang w:eastAsia="zh-CN"/>
        </w:rPr>
        <w:t>故障需要抢修时，中标</w:t>
      </w:r>
      <w:r>
        <w:rPr>
          <w:rFonts w:hint="eastAsia" w:ascii="方正仿宋_GBK" w:hAnsi="方正仿宋_GBK" w:eastAsia="方正仿宋_GBK" w:cs="方正仿宋_GBK"/>
          <w:sz w:val="32"/>
          <w:szCs w:val="32"/>
          <w:lang w:val="en-US" w:eastAsia="zh-CN"/>
        </w:rPr>
        <w:t>供应商</w:t>
      </w:r>
      <w:r>
        <w:rPr>
          <w:rFonts w:hint="eastAsia" w:ascii="方正仿宋_GBK" w:hAnsi="方正仿宋_GBK" w:eastAsia="方正仿宋_GBK" w:cs="方正仿宋_GBK"/>
          <w:sz w:val="32"/>
          <w:szCs w:val="32"/>
        </w:rPr>
        <w:t>享受优先、快速、优质、合理价格的事故处理条件，及时配合</w:t>
      </w:r>
      <w:r>
        <w:rPr>
          <w:rFonts w:hint="eastAsia" w:ascii="方正仿宋_GBK" w:hAnsi="方正仿宋_GBK" w:eastAsia="方正仿宋_GBK" w:cs="方正仿宋_GBK"/>
          <w:sz w:val="32"/>
          <w:szCs w:val="32"/>
          <w:lang w:eastAsia="zh-CN"/>
        </w:rPr>
        <w:t>采购人</w:t>
      </w:r>
      <w:r>
        <w:rPr>
          <w:rFonts w:hint="eastAsia" w:ascii="方正仿宋_GBK" w:hAnsi="方正仿宋_GBK" w:eastAsia="方正仿宋_GBK" w:cs="方正仿宋_GBK"/>
          <w:sz w:val="32"/>
          <w:szCs w:val="32"/>
        </w:rPr>
        <w:t>恢复供电</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color w:val="auto"/>
          <w:sz w:val="32"/>
          <w:szCs w:val="32"/>
          <w:lang w:val="en-US" w:eastAsia="zh-CN"/>
        </w:rPr>
        <w:t>抢修相关</w:t>
      </w:r>
      <w:r>
        <w:rPr>
          <w:rFonts w:hint="eastAsia" w:ascii="方正仿宋_GBK" w:hAnsi="方正仿宋_GBK" w:eastAsia="方正仿宋_GBK" w:cs="方正仿宋_GBK"/>
          <w:color w:val="auto"/>
          <w:sz w:val="32"/>
          <w:szCs w:val="32"/>
        </w:rPr>
        <w:t>费用由</w:t>
      </w:r>
      <w:r>
        <w:rPr>
          <w:rFonts w:hint="eastAsia" w:ascii="方正仿宋_GBK" w:hAnsi="方正仿宋_GBK" w:eastAsia="方正仿宋_GBK" w:cs="方正仿宋_GBK"/>
          <w:color w:val="auto"/>
          <w:sz w:val="32"/>
          <w:szCs w:val="32"/>
          <w:lang w:eastAsia="zh-CN"/>
        </w:rPr>
        <w:t>采购人</w:t>
      </w:r>
      <w:r>
        <w:rPr>
          <w:rFonts w:hint="eastAsia" w:ascii="方正仿宋_GBK" w:hAnsi="方正仿宋_GBK" w:eastAsia="方正仿宋_GBK" w:cs="方正仿宋_GBK"/>
          <w:color w:val="auto"/>
          <w:sz w:val="32"/>
          <w:szCs w:val="32"/>
        </w:rPr>
        <w:t>支</w:t>
      </w:r>
      <w:r>
        <w:rPr>
          <w:rFonts w:hint="eastAsia" w:ascii="方正仿宋_GBK" w:hAnsi="方正仿宋_GBK" w:eastAsia="方正仿宋_GBK" w:cs="方正仿宋_GBK"/>
          <w:sz w:val="32"/>
          <w:szCs w:val="32"/>
        </w:rPr>
        <w:t>付</w:t>
      </w:r>
      <w:r>
        <w:rPr>
          <w:rFonts w:hint="eastAsia" w:ascii="方正仿宋_GBK" w:hAnsi="方正仿宋_GBK" w:eastAsia="方正仿宋_GBK" w:cs="方正仿宋_GBK"/>
          <w:color w:val="auto"/>
          <w:sz w:val="32"/>
          <w:szCs w:val="32"/>
          <w:lang w:val="en-US" w:eastAsia="zh-CN"/>
        </w:rPr>
        <w:t>，</w:t>
      </w:r>
      <w:r>
        <w:rPr>
          <w:rFonts w:hint="eastAsia" w:ascii="方正仿宋_GBK" w:hAnsi="方正仿宋_GBK" w:eastAsia="方正仿宋_GBK" w:cs="方正仿宋_GBK"/>
          <w:sz w:val="32"/>
          <w:szCs w:val="32"/>
          <w:lang w:eastAsia="zh-CN"/>
        </w:rPr>
        <w:t>若抢修费用预算金额超过采购人应执行的内控制度或其他采购政策时，按有关规定执行</w:t>
      </w:r>
      <w:r>
        <w:rPr>
          <w:rFonts w:hint="eastAsia" w:ascii="方正仿宋_GBK" w:hAnsi="方正仿宋_GBK" w:eastAsia="方正仿宋_GBK" w:cs="方正仿宋_GBK"/>
          <w:sz w:val="32"/>
          <w:szCs w:val="32"/>
        </w:rPr>
        <w:t>。</w:t>
      </w:r>
    </w:p>
    <w:p w14:paraId="06E0A016">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lang w:val="en-US" w:eastAsia="zh-CN"/>
        </w:rPr>
        <w:t>7.采购人有重要保电工作时，供应商派专人进行协助值班检查</w:t>
      </w:r>
      <w:r>
        <w:rPr>
          <w:rFonts w:hint="eastAsia" w:ascii="方正仿宋_GBK" w:hAnsi="方正仿宋_GBK" w:eastAsia="方正仿宋_GBK" w:cs="方正仿宋_GBK"/>
          <w:color w:val="auto"/>
          <w:sz w:val="32"/>
          <w:szCs w:val="32"/>
        </w:rPr>
        <w:t>，在保电期间协助</w:t>
      </w:r>
      <w:r>
        <w:rPr>
          <w:rFonts w:hint="eastAsia" w:ascii="方正仿宋_GBK" w:hAnsi="方正仿宋_GBK" w:eastAsia="方正仿宋_GBK" w:cs="方正仿宋_GBK"/>
          <w:color w:val="auto"/>
          <w:sz w:val="32"/>
          <w:szCs w:val="32"/>
          <w:lang w:eastAsia="zh-CN"/>
        </w:rPr>
        <w:t>采购人</w:t>
      </w:r>
      <w:r>
        <w:rPr>
          <w:rFonts w:hint="eastAsia" w:ascii="方正仿宋_GBK" w:hAnsi="方正仿宋_GBK" w:eastAsia="方正仿宋_GBK" w:cs="方正仿宋_GBK"/>
          <w:color w:val="auto"/>
          <w:sz w:val="32"/>
          <w:szCs w:val="32"/>
        </w:rPr>
        <w:t>联系发电车，以保障工作的顺利进行。</w:t>
      </w:r>
    </w:p>
    <w:p w14:paraId="72ED1400">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8.</w:t>
      </w:r>
      <w:r>
        <w:rPr>
          <w:rFonts w:hint="eastAsia" w:ascii="方正仿宋_GBK" w:hAnsi="方正仿宋_GBK" w:eastAsia="方正仿宋_GBK" w:cs="方正仿宋_GBK"/>
          <w:sz w:val="32"/>
          <w:szCs w:val="32"/>
        </w:rPr>
        <w:t>配电设备月度巡检、维保小修执行的标准、规范</w:t>
      </w:r>
      <w:r>
        <w:rPr>
          <w:rFonts w:hint="eastAsia" w:ascii="方正仿宋_GBK" w:hAnsi="方正仿宋_GBK" w:eastAsia="方正仿宋_GBK" w:cs="方正仿宋_GBK"/>
          <w:sz w:val="32"/>
          <w:szCs w:val="32"/>
          <w:lang w:eastAsia="zh-CN"/>
        </w:rPr>
        <w:t>：</w:t>
      </w:r>
    </w:p>
    <w:p w14:paraId="4E7EC581">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GBT 31989-2015 高压电力用户用电安全规范</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DLT 596-2005 电力设备预防性试验规程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《国家电网安全生产事故预防与应急处理暂行规定》 《国家电网公司应急管理工作规定》《国家电网公司安全生产规程规定》《国家电网公司电力生产事故调查规程》《国家电网公司电力安全预警管理办法》《国家电网公司大面积停电事故预案》《国家电网公司安全生产职责规范》</w:t>
      </w:r>
      <w:r>
        <w:rPr>
          <w:rFonts w:hint="eastAsia" w:ascii="方正仿宋_GBK" w:hAnsi="方正仿宋_GBK" w:eastAsia="方正仿宋_GBK" w:cs="方正仿宋_GBK"/>
          <w:sz w:val="32"/>
          <w:szCs w:val="32"/>
          <w:lang w:eastAsia="zh-CN"/>
        </w:rPr>
        <w:t>。</w:t>
      </w:r>
    </w:p>
    <w:p w14:paraId="01FD2CF7">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三、拟开展</w:t>
      </w:r>
      <w:r>
        <w:rPr>
          <w:rFonts w:hint="eastAsia" w:ascii="方正黑体_GBK" w:hAnsi="方正黑体_GBK" w:eastAsia="方正黑体_GBK" w:cs="方正黑体_GBK"/>
          <w:sz w:val="32"/>
          <w:szCs w:val="32"/>
          <w:lang w:eastAsia="zh-CN"/>
        </w:rPr>
        <w:t>采购</w:t>
      </w:r>
      <w:r>
        <w:rPr>
          <w:rFonts w:hint="eastAsia" w:ascii="方正黑体_GBK" w:hAnsi="方正黑体_GBK" w:eastAsia="方正黑体_GBK" w:cs="方正黑体_GBK"/>
          <w:sz w:val="32"/>
          <w:szCs w:val="32"/>
          <w:lang w:val="en-US" w:eastAsia="zh-CN"/>
        </w:rPr>
        <w:t>情况</w:t>
      </w:r>
    </w:p>
    <w:p w14:paraId="4AC6788D">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lang w:eastAsia="zh-CN"/>
        </w:rPr>
        <w:t>项目</w:t>
      </w:r>
      <w:r>
        <w:rPr>
          <w:rFonts w:hint="eastAsia" w:ascii="方正仿宋_GBK" w:hAnsi="方正仿宋_GBK" w:eastAsia="方正仿宋_GBK" w:cs="方正仿宋_GBK"/>
          <w:sz w:val="32"/>
          <w:szCs w:val="32"/>
          <w:lang w:val="en-US" w:eastAsia="zh-CN"/>
        </w:rPr>
        <w:t>服务期：1年。</w:t>
      </w:r>
    </w:p>
    <w:p w14:paraId="55E05CA5">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lang w:eastAsia="zh-CN"/>
        </w:rPr>
        <w:t>供应商资格条件：</w:t>
      </w:r>
      <w:r>
        <w:rPr>
          <w:rFonts w:hint="eastAsia" w:ascii="方正仿宋_GBK" w:hAnsi="方正仿宋_GBK" w:eastAsia="方正仿宋_GBK" w:cs="方正仿宋_GBK"/>
          <w:sz w:val="32"/>
          <w:szCs w:val="32"/>
          <w:lang w:val="en-US" w:eastAsia="zh-CN"/>
        </w:rPr>
        <w:t>基本资格条件需</w:t>
      </w:r>
      <w:r>
        <w:rPr>
          <w:rFonts w:hint="eastAsia" w:ascii="方正仿宋_GBK" w:hAnsi="方正仿宋_GBK" w:eastAsia="方正仿宋_GBK" w:cs="方正仿宋_GBK"/>
          <w:sz w:val="32"/>
          <w:szCs w:val="32"/>
          <w:lang w:eastAsia="zh-CN"/>
        </w:rPr>
        <w:t>满足《中华人民共和国政府采购法》第二十二条规定。</w:t>
      </w:r>
    </w:p>
    <w:p w14:paraId="2BFE6038">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3.本项目特定资格条件：供应商应具备</w:t>
      </w:r>
      <w:r>
        <w:rPr>
          <w:rFonts w:hint="eastAsia" w:ascii="仿宋" w:hAnsi="仿宋" w:eastAsia="仿宋" w:cs="仿宋_GB2312"/>
          <w:sz w:val="32"/>
          <w:szCs w:val="32"/>
        </w:rPr>
        <w:t>电力工程（输变电）专业承包叁级及以上资质和安全生产许可证</w:t>
      </w: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同时应具备</w:t>
      </w:r>
      <w:r>
        <w:rPr>
          <w:rFonts w:hint="eastAsia" w:ascii="方正仿宋_GBK" w:hAnsi="方正仿宋_GBK" w:eastAsia="方正仿宋_GBK" w:cs="方正仿宋_GBK"/>
          <w:sz w:val="32"/>
          <w:szCs w:val="32"/>
          <w:lang w:val="en-US" w:eastAsia="zh-CN"/>
        </w:rPr>
        <w:t>国家能源主管部门或原国家电力监管委员会颁发的有效的承装（修、试）电力设施许可证四级及以上资质。</w:t>
      </w:r>
    </w:p>
    <w:p w14:paraId="797475D0">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4.本项目专门面向中小企业采购，</w:t>
      </w:r>
      <w:r>
        <w:rPr>
          <w:rFonts w:hint="eastAsia" w:ascii="方正仿宋_GBK" w:hAnsi="方正仿宋_GBK" w:eastAsia="方正仿宋_GBK" w:cs="方正仿宋_GBK"/>
          <w:sz w:val="32"/>
          <w:szCs w:val="32"/>
          <w:lang w:eastAsia="zh-CN"/>
        </w:rPr>
        <w:t>若</w:t>
      </w:r>
      <w:r>
        <w:rPr>
          <w:rFonts w:hint="eastAsia" w:ascii="方正仿宋_GBK" w:hAnsi="方正仿宋_GBK" w:eastAsia="方正仿宋_GBK" w:cs="方正仿宋_GBK"/>
          <w:sz w:val="32"/>
          <w:szCs w:val="32"/>
          <w:lang w:val="en-US" w:eastAsia="zh-CN"/>
        </w:rPr>
        <w:t>询价参与人</w:t>
      </w:r>
      <w:r>
        <w:rPr>
          <w:rFonts w:hint="eastAsia" w:ascii="方正仿宋_GBK" w:hAnsi="方正仿宋_GBK" w:eastAsia="方正仿宋_GBK" w:cs="方正仿宋_GBK"/>
          <w:sz w:val="32"/>
          <w:szCs w:val="32"/>
          <w:lang w:eastAsia="zh-CN"/>
        </w:rPr>
        <w:t>为中小微型企业、监狱企业、残疾人福利企业，应在</w:t>
      </w:r>
      <w:r>
        <w:rPr>
          <w:rFonts w:hint="eastAsia" w:ascii="方正仿宋_GBK" w:hAnsi="方正仿宋_GBK" w:eastAsia="方正仿宋_GBK" w:cs="方正仿宋_GBK"/>
          <w:sz w:val="32"/>
          <w:szCs w:val="32"/>
          <w:lang w:val="en-US" w:eastAsia="zh-CN"/>
        </w:rPr>
        <w:t>提交的</w:t>
      </w:r>
      <w:r>
        <w:rPr>
          <w:rFonts w:hint="eastAsia" w:ascii="方正仿宋_GBK" w:hAnsi="方正仿宋_GBK" w:eastAsia="方正仿宋_GBK" w:cs="方正仿宋_GBK"/>
          <w:sz w:val="32"/>
          <w:szCs w:val="32"/>
          <w:lang w:eastAsia="zh-CN"/>
        </w:rPr>
        <w:t>文件资格部分出具《中小企业声明函》。</w:t>
      </w:r>
    </w:p>
    <w:p w14:paraId="480665BA">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5.本项目不接受联合体投标。</w:t>
      </w:r>
    </w:p>
    <w:p w14:paraId="682A9091">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6.</w:t>
      </w:r>
      <w:r>
        <w:rPr>
          <w:rFonts w:hint="eastAsia" w:ascii="方正仿宋_GBK" w:hAnsi="方正仿宋_GBK" w:eastAsia="方正仿宋_GBK" w:cs="方正仿宋_GBK"/>
          <w:sz w:val="32"/>
          <w:szCs w:val="32"/>
          <w:lang w:eastAsia="zh-CN"/>
        </w:rPr>
        <w:t>采购方式：</w:t>
      </w:r>
      <w:r>
        <w:rPr>
          <w:rFonts w:hint="eastAsia" w:ascii="方正仿宋_GBK" w:hAnsi="方正仿宋_GBK" w:eastAsia="方正仿宋_GBK" w:cs="方正仿宋_GBK"/>
          <w:sz w:val="32"/>
          <w:szCs w:val="32"/>
          <w:lang w:val="en-US" w:eastAsia="zh-CN"/>
        </w:rPr>
        <w:t>询价采购</w:t>
      </w:r>
      <w:r>
        <w:rPr>
          <w:rFonts w:hint="eastAsia" w:ascii="方正仿宋_GBK" w:hAnsi="方正仿宋_GBK" w:eastAsia="方正仿宋_GBK" w:cs="方正仿宋_GBK"/>
          <w:sz w:val="32"/>
          <w:szCs w:val="32"/>
          <w:lang w:eastAsia="zh-CN"/>
        </w:rPr>
        <w:t>。</w:t>
      </w:r>
    </w:p>
    <w:p w14:paraId="2CBA5D92">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四、报价要求</w:t>
      </w:r>
      <w:bookmarkStart w:id="0" w:name="_Toc20489880"/>
      <w:bookmarkStart w:id="1" w:name="_Toc267320051"/>
      <w:bookmarkStart w:id="2" w:name="_Toc20489946"/>
      <w:bookmarkStart w:id="3" w:name="_Toc20488324"/>
      <w:bookmarkStart w:id="4" w:name="_Toc13737"/>
    </w:p>
    <w:p w14:paraId="3F705884">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1.本次询价报价包括：人员费用（含员工工资、社会保险费、差旅费、加班费等）、耗材费、管理费、合理利润、法定税费等费用。</w:t>
      </w:r>
    </w:p>
    <w:p w14:paraId="1D10BC6D">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2.询价参与人应按照本文件相关规定的服务项目内容、标准和要求，结合重庆市相关收费标准和市场价格水平，科学合理地制定报价，不得以恶意低价竞争。 </w:t>
      </w:r>
    </w:p>
    <w:p w14:paraId="5BEE4826">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3.若投标人违背上述要求报价，一经核实，按照无效投标处理。</w:t>
      </w:r>
    </w:p>
    <w:p w14:paraId="483DE3BA">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sz w:val="32"/>
          <w:szCs w:val="32"/>
          <w:lang w:val="en-US" w:eastAsia="zh-CN"/>
        </w:rPr>
        <w:t>五、付款方式</w:t>
      </w:r>
      <w:bookmarkEnd w:id="0"/>
      <w:bookmarkEnd w:id="1"/>
      <w:bookmarkEnd w:id="2"/>
      <w:bookmarkEnd w:id="3"/>
      <w:bookmarkEnd w:id="4"/>
    </w:p>
    <w:p w14:paraId="361D3D09">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default" w:ascii="方正仿宋_GBK" w:hAnsi="方正仿宋_GBK" w:eastAsia="方正仿宋_GBK" w:cs="方正仿宋_GBK"/>
          <w:color w:val="auto"/>
          <w:sz w:val="32"/>
          <w:szCs w:val="32"/>
          <w:lang w:val="en-US" w:eastAsia="zh-CN"/>
        </w:rPr>
      </w:pPr>
      <w:bookmarkStart w:id="5" w:name="_Toc257"/>
      <w:bookmarkStart w:id="6" w:name="_Toc11238"/>
      <w:r>
        <w:rPr>
          <w:rFonts w:hint="eastAsia" w:ascii="方正仿宋_GBK" w:hAnsi="方正仿宋_GBK" w:eastAsia="方正仿宋_GBK" w:cs="方正仿宋_GBK"/>
          <w:sz w:val="32"/>
          <w:szCs w:val="32"/>
          <w:lang w:val="en-US" w:eastAsia="zh-CN"/>
        </w:rPr>
        <w:t>在高压预防性试验完成并出具检验报告后，区机关事务中心支付中标单位配电运维服务费用的50%，在合同期最后一个月支付剩余服务费用的50%。区机关事务中心有权对中标单位的服务质量进行综合评价考核，考核结果与第二期服务费用支付挂钩，具体考核办法、方式在维保合同中另行约定。</w:t>
      </w:r>
    </w:p>
    <w:bookmarkEnd w:id="5"/>
    <w:bookmarkEnd w:id="6"/>
    <w:p w14:paraId="79F38F8E">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sz w:val="32"/>
          <w:szCs w:val="32"/>
          <w:lang w:val="en-US" w:eastAsia="zh-CN"/>
        </w:rPr>
        <w:t>六、</w:t>
      </w:r>
      <w:r>
        <w:rPr>
          <w:rFonts w:hint="eastAsia" w:ascii="方正仿宋_GBK" w:hAnsi="方正仿宋_GBK" w:eastAsia="方正仿宋_GBK" w:cs="方正仿宋_GBK"/>
          <w:sz w:val="32"/>
          <w:szCs w:val="32"/>
          <w:lang w:val="en-US" w:eastAsia="zh-CN"/>
        </w:rPr>
        <w:t>本项目不组织集中现场踏勘，有需要的询价参与人可与区机关事务中心经办人员联系，自行前往踏勘，踏勘现场时应遵守现场管理规定，自行负责交通、安全及相关的一切费用。</w:t>
      </w:r>
    </w:p>
    <w:p w14:paraId="28BB9B0C">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黑体_GBK" w:hAnsi="方正黑体_GBK" w:eastAsia="方正黑体_GBK" w:cs="方正黑体_GBK"/>
          <w:sz w:val="32"/>
          <w:szCs w:val="32"/>
          <w:lang w:val="en-US" w:eastAsia="zh-CN"/>
        </w:rPr>
      </w:pPr>
      <w:bookmarkStart w:id="7" w:name="_Toc153793331"/>
      <w:bookmarkStart w:id="8" w:name="_Toc26277"/>
      <w:bookmarkStart w:id="9" w:name="_Toc4841"/>
      <w:r>
        <w:rPr>
          <w:rFonts w:hint="eastAsia" w:ascii="方正黑体_GBK" w:hAnsi="方正黑体_GBK" w:eastAsia="方正黑体_GBK" w:cs="方正黑体_GBK"/>
          <w:sz w:val="32"/>
          <w:szCs w:val="32"/>
          <w:lang w:val="en-US" w:eastAsia="zh-CN"/>
        </w:rPr>
        <w:t>七、</w:t>
      </w:r>
      <w:bookmarkEnd w:id="7"/>
      <w:bookmarkEnd w:id="8"/>
      <w:r>
        <w:rPr>
          <w:rFonts w:hint="eastAsia" w:ascii="方正黑体_GBK" w:hAnsi="方正黑体_GBK" w:eastAsia="方正黑体_GBK" w:cs="方正黑体_GBK"/>
          <w:sz w:val="32"/>
          <w:szCs w:val="32"/>
          <w:lang w:val="en-US" w:eastAsia="zh-CN"/>
        </w:rPr>
        <w:t>考核要求</w:t>
      </w:r>
      <w:bookmarkEnd w:id="9"/>
    </w:p>
    <w:p w14:paraId="6B5A8E4B">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1.若成交供应商所提供服务与合同要求不符的或履约过程中有违约行为的，采购人有权提前终止合同，且不承担违约金。</w:t>
      </w:r>
    </w:p>
    <w:p w14:paraId="0A408CB9">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2.除采购人原因外，当年预防性试验未做，扣当年维保费的50%。</w:t>
      </w:r>
    </w:p>
    <w:p w14:paraId="2257E813">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3.月度巡检报告每差一次，扣当年维保费的10%。</w:t>
      </w:r>
    </w:p>
    <w:p w14:paraId="0B7C088E">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4.每年末对配电设备小修一次，扣当年维保费的20%。</w:t>
      </w:r>
    </w:p>
    <w:p w14:paraId="662BECBD">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5.采购人有要求保电工作时，供应商未派专人进行协助值班，每一次扣当年维保费的10%。</w:t>
      </w:r>
    </w:p>
    <w:p w14:paraId="5B49A5BE">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6.供应商故障维修时间不得超过24 小时（外线故障不得超过48小时），每超过一次扣当年维保费20%。及时性未达到承诺要求的，每次扣当年维保费的5%。</w:t>
      </w:r>
    </w:p>
    <w:p w14:paraId="759728E6">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sz w:val="32"/>
          <w:szCs w:val="32"/>
          <w:lang w:val="en-US" w:eastAsia="zh-CN"/>
        </w:rPr>
        <w:t>八、请有意向的询价参与人在熟知以上要求的前提下，提供以下资料：</w:t>
      </w:r>
    </w:p>
    <w:p w14:paraId="26CD3ED3">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w:t>
      </w:r>
      <w:bookmarkStart w:id="10" w:name="_Hlk84948558"/>
      <w:r>
        <w:rPr>
          <w:rFonts w:hint="eastAsia" w:ascii="方正仿宋_GBK" w:hAnsi="方正仿宋_GBK" w:eastAsia="方正仿宋_GBK" w:cs="方正仿宋_GBK"/>
          <w:sz w:val="32"/>
          <w:szCs w:val="32"/>
          <w:lang w:val="en-US" w:eastAsia="zh-CN"/>
        </w:rPr>
        <w:t>法人营业执照（副本）或事业单位法人证书（副本）或个体工商户营业执照或有效的自然人身份证明或社会团体法人登记证书复印件</w:t>
      </w:r>
      <w:bookmarkEnd w:id="10"/>
      <w:r>
        <w:rPr>
          <w:rFonts w:hint="eastAsia" w:ascii="方正仿宋_GBK" w:hAnsi="方正仿宋_GBK" w:eastAsia="方正仿宋_GBK" w:cs="方正仿宋_GBK"/>
          <w:sz w:val="32"/>
          <w:szCs w:val="32"/>
          <w:lang w:val="en-US" w:eastAsia="zh-CN"/>
        </w:rPr>
        <w:t>，加盖单位公章；</w:t>
      </w:r>
    </w:p>
    <w:p w14:paraId="6275D0CD">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2.《巴南区机关事务中心配电运维服务清单》加盖单位公章（见附件2）；</w:t>
      </w:r>
    </w:p>
    <w:p w14:paraId="2E0624E2">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3.基本资格条件承诺函（见附件3）；</w:t>
      </w:r>
    </w:p>
    <w:p w14:paraId="77056477">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4.特定资格条件证书或证明文件，加盖单位公章；</w:t>
      </w:r>
    </w:p>
    <w:p w14:paraId="3B1CD299">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lang w:eastAsia="zh-CN"/>
        </w:rPr>
        <w:t>中小微企业声明函、监狱企业证明文件、残疾人福利性单位声明函</w:t>
      </w:r>
      <w:r>
        <w:rPr>
          <w:rFonts w:hint="eastAsia" w:ascii="方正仿宋_GBK" w:hAnsi="方正仿宋_GBK" w:eastAsia="方正仿宋_GBK" w:cs="方正仿宋_GBK"/>
          <w:sz w:val="32"/>
          <w:szCs w:val="32"/>
          <w:lang w:val="en-US" w:eastAsia="zh-CN"/>
        </w:rPr>
        <w:t>（见附件4）；</w:t>
      </w:r>
    </w:p>
    <w:p w14:paraId="713B60F1">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6.针对本项目的《承诺函》，格式自拟。</w:t>
      </w:r>
    </w:p>
    <w:p w14:paraId="68A5D856">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outlineLvl w:val="9"/>
        <w:rPr>
          <w:rFonts w:hint="eastAsia" w:ascii="方正黑体_GBK" w:hAnsi="方正黑体_GBK" w:eastAsia="方正黑体_GBK" w:cs="方正黑体_GBK"/>
          <w:b w:val="0"/>
          <w:bCs w:val="0"/>
          <w:sz w:val="32"/>
          <w:szCs w:val="32"/>
          <w:lang w:eastAsia="zh-CN"/>
        </w:rPr>
      </w:pPr>
      <w:r>
        <w:rPr>
          <w:rFonts w:hint="eastAsia" w:ascii="方正仿宋_GBK" w:hAnsi="方正仿宋_GBK" w:eastAsia="方正仿宋_GBK" w:cs="方正仿宋_GBK"/>
          <w:sz w:val="32"/>
          <w:szCs w:val="32"/>
          <w:lang w:val="en-US" w:eastAsia="zh-CN"/>
        </w:rPr>
        <w:t>以上资料纸质件装订成册，于2025年10月 日前（以寄出时间为准）通过快递或邮寄方式，寄：重庆市巴南区机关事务中心，邮编400055，联系电话66227065，联系人蒋老师。</w:t>
      </w:r>
    </w:p>
    <w:p w14:paraId="619610B2">
      <w:pPr>
        <w:rPr>
          <w:rFonts w:hint="eastAsia"/>
          <w:lang w:eastAsia="zh-CN"/>
        </w:rPr>
      </w:pPr>
    </w:p>
    <w:p w14:paraId="041823C1">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after="0" w:line="500" w:lineRule="exact"/>
        <w:jc w:val="both"/>
        <w:textAlignment w:val="auto"/>
        <w:outlineLvl w:val="9"/>
        <w:rPr>
          <w:rFonts w:hint="eastAsia" w:ascii="方正黑体_GBK" w:hAnsi="方正黑体_GBK" w:eastAsia="方正黑体_GBK" w:cs="方正黑体_GBK"/>
          <w:b w:val="0"/>
          <w:bCs w:val="0"/>
          <w:sz w:val="32"/>
          <w:szCs w:val="32"/>
          <w:lang w:eastAsia="zh-CN"/>
        </w:rPr>
      </w:pPr>
      <w:bookmarkStart w:id="11" w:name="_GoBack"/>
      <w:bookmarkEnd w:id="11"/>
    </w:p>
    <w:p w14:paraId="6E8EFE8B">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after="0" w:line="500" w:lineRule="exact"/>
        <w:jc w:val="both"/>
        <w:textAlignment w:val="auto"/>
        <w:outlineLvl w:val="9"/>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eastAsia="zh-CN"/>
        </w:rPr>
        <w:t>附件</w:t>
      </w:r>
      <w:r>
        <w:rPr>
          <w:rFonts w:hint="eastAsia" w:ascii="方正黑体_GBK" w:hAnsi="方正黑体_GBK" w:eastAsia="方正黑体_GBK" w:cs="方正黑体_GBK"/>
          <w:b w:val="0"/>
          <w:bCs w:val="0"/>
          <w:sz w:val="32"/>
          <w:szCs w:val="32"/>
          <w:lang w:val="en-US" w:eastAsia="zh-CN"/>
        </w:rPr>
        <w:t>1</w:t>
      </w:r>
    </w:p>
    <w:p w14:paraId="5F69CB17">
      <w:pPr>
        <w:spacing w:line="220" w:lineRule="atLeast"/>
        <w:jc w:val="center"/>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巴南区机关事务中心配电运维服务清单</w:t>
      </w:r>
    </w:p>
    <w:tbl>
      <w:tblPr>
        <w:tblStyle w:val="9"/>
        <w:tblpPr w:leftFromText="180" w:rightFromText="180" w:vertAnchor="text" w:horzAnchor="page" w:tblpXSpec="center" w:tblpY="458"/>
        <w:tblOverlap w:val="never"/>
        <w:tblW w:w="88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735"/>
        <w:gridCol w:w="1738"/>
        <w:gridCol w:w="3880"/>
        <w:gridCol w:w="951"/>
        <w:gridCol w:w="855"/>
        <w:gridCol w:w="714"/>
      </w:tblGrid>
      <w:tr w14:paraId="62075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9" w:hRule="atLeast"/>
          <w:jc w:val="center"/>
        </w:trPr>
        <w:tc>
          <w:tcPr>
            <w:tcW w:w="2473" w:type="dxa"/>
            <w:gridSpan w:val="2"/>
            <w:tcBorders>
              <w:top w:val="single" w:color="auto" w:sz="4" w:space="0"/>
            </w:tcBorders>
            <w:shd w:val="clear" w:color="auto" w:fill="auto"/>
            <w:tcMar>
              <w:top w:w="15" w:type="dxa"/>
              <w:left w:w="15" w:type="dxa"/>
              <w:right w:w="15" w:type="dxa"/>
            </w:tcMar>
            <w:vAlign w:val="center"/>
          </w:tcPr>
          <w:p w14:paraId="2E76E6B4">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场站名称</w:t>
            </w:r>
          </w:p>
        </w:tc>
        <w:tc>
          <w:tcPr>
            <w:tcW w:w="3880" w:type="dxa"/>
            <w:tcBorders>
              <w:top w:val="single" w:color="auto" w:sz="4" w:space="0"/>
            </w:tcBorders>
            <w:shd w:val="clear" w:color="auto" w:fill="auto"/>
            <w:tcMar>
              <w:top w:w="15" w:type="dxa"/>
              <w:left w:w="15" w:type="dxa"/>
              <w:right w:w="15" w:type="dxa"/>
            </w:tcMar>
            <w:vAlign w:val="center"/>
          </w:tcPr>
          <w:p w14:paraId="01C8A2CA">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服务内容</w:t>
            </w:r>
          </w:p>
        </w:tc>
        <w:tc>
          <w:tcPr>
            <w:tcW w:w="951" w:type="dxa"/>
            <w:tcBorders>
              <w:top w:val="single" w:color="auto" w:sz="4" w:space="0"/>
            </w:tcBorders>
            <w:shd w:val="clear" w:color="auto" w:fill="auto"/>
            <w:tcMar>
              <w:top w:w="15" w:type="dxa"/>
              <w:left w:w="15" w:type="dxa"/>
              <w:right w:w="15" w:type="dxa"/>
            </w:tcMar>
            <w:vAlign w:val="center"/>
          </w:tcPr>
          <w:p w14:paraId="17852A20">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单位</w:t>
            </w:r>
          </w:p>
        </w:tc>
        <w:tc>
          <w:tcPr>
            <w:tcW w:w="855" w:type="dxa"/>
            <w:tcBorders>
              <w:top w:val="single" w:color="auto" w:sz="4" w:space="0"/>
            </w:tcBorders>
            <w:shd w:val="clear" w:color="auto" w:fill="auto"/>
            <w:tcMar>
              <w:top w:w="15" w:type="dxa"/>
              <w:left w:w="15" w:type="dxa"/>
              <w:right w:w="15" w:type="dxa"/>
            </w:tcMar>
            <w:vAlign w:val="center"/>
          </w:tcPr>
          <w:p w14:paraId="348A4D5E">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数量</w:t>
            </w:r>
          </w:p>
        </w:tc>
        <w:tc>
          <w:tcPr>
            <w:tcW w:w="714" w:type="dxa"/>
            <w:tcBorders>
              <w:top w:val="single" w:color="auto" w:sz="4" w:space="0"/>
            </w:tcBorders>
            <w:shd w:val="clear" w:color="auto" w:fill="auto"/>
            <w:tcMar>
              <w:top w:w="15" w:type="dxa"/>
              <w:left w:w="15" w:type="dxa"/>
              <w:right w:w="15" w:type="dxa"/>
            </w:tcMar>
            <w:vAlign w:val="center"/>
          </w:tcPr>
          <w:p w14:paraId="58451123">
            <w:pPr>
              <w:keepNext w:val="0"/>
              <w:keepLines w:val="0"/>
              <w:widowControl/>
              <w:suppressLineNumbers w:val="0"/>
              <w:jc w:val="center"/>
              <w:textAlignment w:val="center"/>
              <w:rPr>
                <w:rFonts w:hint="default" w:ascii="宋体" w:hAnsi="宋体" w:eastAsia="宋体" w:cs="宋体"/>
                <w:b/>
                <w:i w:val="0"/>
                <w:color w:val="000000"/>
                <w:kern w:val="0"/>
                <w:sz w:val="21"/>
                <w:szCs w:val="21"/>
                <w:u w:val="none"/>
                <w:lang w:val="en-US" w:eastAsia="zh-CN" w:bidi="ar"/>
              </w:rPr>
            </w:pPr>
            <w:r>
              <w:rPr>
                <w:rFonts w:hint="eastAsia" w:ascii="宋体" w:hAnsi="宋体" w:eastAsia="宋体" w:cs="宋体"/>
                <w:b/>
                <w:i w:val="0"/>
                <w:color w:val="000000"/>
                <w:kern w:val="0"/>
                <w:sz w:val="21"/>
                <w:szCs w:val="21"/>
                <w:u w:val="none"/>
                <w:lang w:val="en-US" w:eastAsia="zh-CN" w:bidi="ar"/>
              </w:rPr>
              <w:t>备注</w:t>
            </w:r>
          </w:p>
        </w:tc>
      </w:tr>
      <w:tr w14:paraId="44291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exact"/>
          <w:jc w:val="center"/>
        </w:trPr>
        <w:tc>
          <w:tcPr>
            <w:tcW w:w="735" w:type="dxa"/>
            <w:vMerge w:val="restart"/>
            <w:shd w:val="clear" w:color="auto" w:fill="auto"/>
            <w:tcMar>
              <w:top w:w="15" w:type="dxa"/>
              <w:left w:w="15" w:type="dxa"/>
              <w:right w:w="15" w:type="dxa"/>
            </w:tcMar>
            <w:vAlign w:val="center"/>
          </w:tcPr>
          <w:p w14:paraId="6E0D346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开闭所</w:t>
            </w:r>
          </w:p>
        </w:tc>
        <w:tc>
          <w:tcPr>
            <w:tcW w:w="1738" w:type="dxa"/>
            <w:shd w:val="clear" w:color="auto" w:fill="auto"/>
            <w:tcMar>
              <w:top w:w="15" w:type="dxa"/>
              <w:left w:w="15" w:type="dxa"/>
              <w:right w:w="15" w:type="dxa"/>
            </w:tcMar>
            <w:vAlign w:val="center"/>
          </w:tcPr>
          <w:p w14:paraId="3AC7F01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高压电缆</w:t>
            </w:r>
          </w:p>
        </w:tc>
        <w:tc>
          <w:tcPr>
            <w:tcW w:w="3880" w:type="dxa"/>
            <w:shd w:val="clear" w:color="auto" w:fill="auto"/>
            <w:tcMar>
              <w:top w:w="15" w:type="dxa"/>
              <w:left w:w="15" w:type="dxa"/>
              <w:right w:w="15" w:type="dxa"/>
            </w:tcMar>
            <w:vAlign w:val="center"/>
          </w:tcPr>
          <w:p w14:paraId="7981CAAD">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10KV电力预防性试验（进线）</w:t>
            </w:r>
          </w:p>
        </w:tc>
        <w:tc>
          <w:tcPr>
            <w:tcW w:w="951" w:type="dxa"/>
            <w:shd w:val="clear" w:color="auto" w:fill="auto"/>
            <w:tcMar>
              <w:top w:w="15" w:type="dxa"/>
              <w:left w:w="15" w:type="dxa"/>
              <w:right w:w="15" w:type="dxa"/>
            </w:tcMar>
            <w:vAlign w:val="center"/>
          </w:tcPr>
          <w:p w14:paraId="4A27765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根</w:t>
            </w:r>
          </w:p>
        </w:tc>
        <w:tc>
          <w:tcPr>
            <w:tcW w:w="855" w:type="dxa"/>
            <w:shd w:val="clear" w:color="auto" w:fill="auto"/>
            <w:tcMar>
              <w:top w:w="15" w:type="dxa"/>
              <w:left w:w="15" w:type="dxa"/>
              <w:right w:w="15" w:type="dxa"/>
            </w:tcMar>
            <w:vAlign w:val="center"/>
          </w:tcPr>
          <w:p w14:paraId="0CD9F63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714" w:type="dxa"/>
            <w:shd w:val="clear" w:color="auto" w:fill="auto"/>
            <w:tcMar>
              <w:top w:w="15" w:type="dxa"/>
              <w:left w:w="15" w:type="dxa"/>
              <w:right w:w="15" w:type="dxa"/>
            </w:tcMar>
            <w:vAlign w:val="center"/>
          </w:tcPr>
          <w:p w14:paraId="3A3739C8">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40E73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29" w:hRule="exact"/>
          <w:jc w:val="center"/>
        </w:trPr>
        <w:tc>
          <w:tcPr>
            <w:tcW w:w="735" w:type="dxa"/>
            <w:vMerge w:val="continue"/>
            <w:shd w:val="clear" w:color="auto" w:fill="auto"/>
            <w:tcMar>
              <w:top w:w="15" w:type="dxa"/>
              <w:left w:w="15" w:type="dxa"/>
              <w:right w:w="15" w:type="dxa"/>
            </w:tcMar>
            <w:vAlign w:val="center"/>
          </w:tcPr>
          <w:p w14:paraId="6BA8E96E">
            <w:pPr>
              <w:jc w:val="center"/>
              <w:rPr>
                <w:rFonts w:hint="eastAsia" w:ascii="宋体" w:hAnsi="宋体" w:eastAsia="宋体" w:cs="宋体"/>
                <w:i w:val="0"/>
                <w:color w:val="000000"/>
                <w:sz w:val="20"/>
                <w:szCs w:val="20"/>
                <w:u w:val="none"/>
              </w:rPr>
            </w:pPr>
          </w:p>
        </w:tc>
        <w:tc>
          <w:tcPr>
            <w:tcW w:w="1738" w:type="dxa"/>
            <w:shd w:val="clear" w:color="auto" w:fill="auto"/>
            <w:tcMar>
              <w:top w:w="15" w:type="dxa"/>
              <w:left w:w="15" w:type="dxa"/>
              <w:right w:w="15" w:type="dxa"/>
            </w:tcMar>
            <w:vAlign w:val="center"/>
          </w:tcPr>
          <w:p w14:paraId="1CEADE2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高压电缆</w:t>
            </w:r>
          </w:p>
        </w:tc>
        <w:tc>
          <w:tcPr>
            <w:tcW w:w="3880" w:type="dxa"/>
            <w:shd w:val="clear" w:color="auto" w:fill="auto"/>
            <w:tcMar>
              <w:top w:w="15" w:type="dxa"/>
              <w:left w:w="15" w:type="dxa"/>
              <w:right w:w="15" w:type="dxa"/>
            </w:tcMar>
            <w:vAlign w:val="center"/>
          </w:tcPr>
          <w:p w14:paraId="25EEBDE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10KV电力预防性试验（站内）</w:t>
            </w:r>
          </w:p>
        </w:tc>
        <w:tc>
          <w:tcPr>
            <w:tcW w:w="951" w:type="dxa"/>
            <w:shd w:val="clear" w:color="auto" w:fill="auto"/>
            <w:tcMar>
              <w:top w:w="15" w:type="dxa"/>
              <w:left w:w="15" w:type="dxa"/>
              <w:right w:w="15" w:type="dxa"/>
            </w:tcMar>
            <w:vAlign w:val="center"/>
          </w:tcPr>
          <w:p w14:paraId="4D280D0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根</w:t>
            </w:r>
          </w:p>
        </w:tc>
        <w:tc>
          <w:tcPr>
            <w:tcW w:w="855" w:type="dxa"/>
            <w:shd w:val="clear" w:color="auto" w:fill="auto"/>
            <w:tcMar>
              <w:top w:w="15" w:type="dxa"/>
              <w:left w:w="15" w:type="dxa"/>
              <w:right w:w="15" w:type="dxa"/>
            </w:tcMar>
            <w:vAlign w:val="center"/>
          </w:tcPr>
          <w:p w14:paraId="4569958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714" w:type="dxa"/>
            <w:shd w:val="clear" w:color="auto" w:fill="auto"/>
            <w:tcMar>
              <w:top w:w="15" w:type="dxa"/>
              <w:left w:w="15" w:type="dxa"/>
              <w:right w:w="15" w:type="dxa"/>
            </w:tcMar>
            <w:vAlign w:val="center"/>
          </w:tcPr>
          <w:p w14:paraId="336C69B9">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705CB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54" w:hRule="exact"/>
          <w:jc w:val="center"/>
        </w:trPr>
        <w:tc>
          <w:tcPr>
            <w:tcW w:w="735" w:type="dxa"/>
            <w:vMerge w:val="continue"/>
            <w:shd w:val="clear" w:color="auto" w:fill="auto"/>
            <w:tcMar>
              <w:top w:w="15" w:type="dxa"/>
              <w:left w:w="15" w:type="dxa"/>
              <w:right w:w="15" w:type="dxa"/>
            </w:tcMar>
            <w:vAlign w:val="center"/>
          </w:tcPr>
          <w:p w14:paraId="1D153C18">
            <w:pPr>
              <w:jc w:val="center"/>
              <w:rPr>
                <w:rFonts w:hint="eastAsia" w:ascii="宋体" w:hAnsi="宋体" w:eastAsia="宋体" w:cs="宋体"/>
                <w:i w:val="0"/>
                <w:color w:val="000000"/>
                <w:sz w:val="20"/>
                <w:szCs w:val="20"/>
                <w:u w:val="none"/>
              </w:rPr>
            </w:pPr>
          </w:p>
        </w:tc>
        <w:tc>
          <w:tcPr>
            <w:tcW w:w="1738" w:type="dxa"/>
            <w:vMerge w:val="restart"/>
            <w:shd w:val="clear" w:color="auto" w:fill="auto"/>
            <w:tcMar>
              <w:top w:w="15" w:type="dxa"/>
              <w:left w:w="15" w:type="dxa"/>
              <w:right w:w="15" w:type="dxa"/>
            </w:tcMar>
            <w:vAlign w:val="center"/>
          </w:tcPr>
          <w:p w14:paraId="1407B3D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高压开关柜</w:t>
            </w:r>
          </w:p>
        </w:tc>
        <w:tc>
          <w:tcPr>
            <w:tcW w:w="3880" w:type="dxa"/>
            <w:shd w:val="clear" w:color="auto" w:fill="auto"/>
            <w:tcMar>
              <w:top w:w="15" w:type="dxa"/>
              <w:left w:w="15" w:type="dxa"/>
              <w:right w:w="15" w:type="dxa"/>
            </w:tcMar>
            <w:vAlign w:val="center"/>
          </w:tcPr>
          <w:p w14:paraId="5810599D">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6-10KV开关柜.定期试验</w:t>
            </w:r>
          </w:p>
        </w:tc>
        <w:tc>
          <w:tcPr>
            <w:tcW w:w="951" w:type="dxa"/>
            <w:shd w:val="clear" w:color="auto" w:fill="auto"/>
            <w:tcMar>
              <w:top w:w="15" w:type="dxa"/>
              <w:left w:w="15" w:type="dxa"/>
              <w:right w:w="15" w:type="dxa"/>
            </w:tcMar>
            <w:vAlign w:val="center"/>
          </w:tcPr>
          <w:p w14:paraId="320A6E0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55" w:type="dxa"/>
            <w:shd w:val="clear" w:color="auto" w:fill="auto"/>
            <w:tcMar>
              <w:top w:w="15" w:type="dxa"/>
              <w:left w:w="15" w:type="dxa"/>
              <w:right w:w="15" w:type="dxa"/>
            </w:tcMar>
            <w:vAlign w:val="center"/>
          </w:tcPr>
          <w:p w14:paraId="384F5869">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18</w:t>
            </w:r>
          </w:p>
        </w:tc>
        <w:tc>
          <w:tcPr>
            <w:tcW w:w="714" w:type="dxa"/>
            <w:shd w:val="clear" w:color="auto" w:fill="auto"/>
            <w:tcMar>
              <w:top w:w="15" w:type="dxa"/>
              <w:left w:w="15" w:type="dxa"/>
              <w:right w:w="15" w:type="dxa"/>
            </w:tcMar>
            <w:vAlign w:val="center"/>
          </w:tcPr>
          <w:p w14:paraId="030FDDE7">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6DBC0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735" w:type="dxa"/>
            <w:vMerge w:val="continue"/>
            <w:shd w:val="clear" w:color="auto" w:fill="auto"/>
            <w:tcMar>
              <w:top w:w="15" w:type="dxa"/>
              <w:left w:w="15" w:type="dxa"/>
              <w:right w:w="15" w:type="dxa"/>
            </w:tcMar>
            <w:vAlign w:val="center"/>
          </w:tcPr>
          <w:p w14:paraId="1C8EFB67">
            <w:pPr>
              <w:jc w:val="center"/>
              <w:rPr>
                <w:rFonts w:hint="eastAsia" w:ascii="宋体" w:hAnsi="宋体" w:eastAsia="宋体" w:cs="宋体"/>
                <w:i w:val="0"/>
                <w:color w:val="000000"/>
                <w:sz w:val="20"/>
                <w:szCs w:val="20"/>
                <w:u w:val="none"/>
              </w:rPr>
            </w:pPr>
          </w:p>
        </w:tc>
        <w:tc>
          <w:tcPr>
            <w:tcW w:w="1738" w:type="dxa"/>
            <w:vMerge w:val="continue"/>
            <w:shd w:val="clear" w:color="auto" w:fill="auto"/>
            <w:tcMar>
              <w:top w:w="15" w:type="dxa"/>
              <w:left w:w="15" w:type="dxa"/>
              <w:right w:w="15" w:type="dxa"/>
            </w:tcMar>
            <w:vAlign w:val="center"/>
          </w:tcPr>
          <w:p w14:paraId="7A3308B5">
            <w:pPr>
              <w:jc w:val="center"/>
              <w:rPr>
                <w:rFonts w:hint="eastAsia" w:ascii="宋体" w:hAnsi="宋体" w:eastAsia="宋体" w:cs="宋体"/>
                <w:i w:val="0"/>
                <w:color w:val="000000"/>
                <w:sz w:val="20"/>
                <w:szCs w:val="20"/>
                <w:u w:val="none"/>
              </w:rPr>
            </w:pPr>
          </w:p>
        </w:tc>
        <w:tc>
          <w:tcPr>
            <w:tcW w:w="3880" w:type="dxa"/>
            <w:shd w:val="clear" w:color="auto" w:fill="auto"/>
            <w:tcMar>
              <w:top w:w="15" w:type="dxa"/>
              <w:left w:w="15" w:type="dxa"/>
              <w:right w:w="15" w:type="dxa"/>
            </w:tcMar>
            <w:vAlign w:val="center"/>
          </w:tcPr>
          <w:p w14:paraId="5E6EB622">
            <w:pPr>
              <w:keepNext w:val="0"/>
              <w:keepLines w:val="0"/>
              <w:widowControl/>
              <w:suppressLineNumbers w:val="0"/>
              <w:jc w:val="left"/>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10-110kV继电保护定时限试验</w:t>
            </w:r>
          </w:p>
        </w:tc>
        <w:tc>
          <w:tcPr>
            <w:tcW w:w="951" w:type="dxa"/>
            <w:shd w:val="clear" w:color="auto" w:fill="auto"/>
            <w:tcMar>
              <w:top w:w="15" w:type="dxa"/>
              <w:left w:w="15" w:type="dxa"/>
              <w:right w:w="15" w:type="dxa"/>
            </w:tcMar>
            <w:vAlign w:val="center"/>
          </w:tcPr>
          <w:p w14:paraId="455BF69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55" w:type="dxa"/>
            <w:shd w:val="clear" w:color="auto" w:fill="auto"/>
            <w:tcMar>
              <w:top w:w="15" w:type="dxa"/>
              <w:left w:w="15" w:type="dxa"/>
              <w:right w:w="15" w:type="dxa"/>
            </w:tcMar>
            <w:vAlign w:val="center"/>
          </w:tcPr>
          <w:p w14:paraId="33B5705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14</w:t>
            </w:r>
          </w:p>
        </w:tc>
        <w:tc>
          <w:tcPr>
            <w:tcW w:w="714" w:type="dxa"/>
            <w:shd w:val="clear" w:color="auto" w:fill="auto"/>
            <w:tcMar>
              <w:top w:w="15" w:type="dxa"/>
              <w:left w:w="15" w:type="dxa"/>
              <w:right w:w="15" w:type="dxa"/>
            </w:tcMar>
            <w:vAlign w:val="center"/>
          </w:tcPr>
          <w:p w14:paraId="151C2E9D">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33431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735" w:type="dxa"/>
            <w:vMerge w:val="continue"/>
            <w:shd w:val="clear" w:color="auto" w:fill="auto"/>
            <w:tcMar>
              <w:top w:w="15" w:type="dxa"/>
              <w:left w:w="15" w:type="dxa"/>
              <w:right w:w="15" w:type="dxa"/>
            </w:tcMar>
            <w:vAlign w:val="center"/>
          </w:tcPr>
          <w:p w14:paraId="4A84022A">
            <w:pPr>
              <w:jc w:val="center"/>
              <w:rPr>
                <w:rFonts w:hint="eastAsia" w:ascii="宋体" w:hAnsi="宋体" w:eastAsia="宋体" w:cs="宋体"/>
                <w:i w:val="0"/>
                <w:color w:val="000000"/>
                <w:sz w:val="20"/>
                <w:szCs w:val="20"/>
                <w:u w:val="none"/>
              </w:rPr>
            </w:pPr>
          </w:p>
        </w:tc>
        <w:tc>
          <w:tcPr>
            <w:tcW w:w="1738" w:type="dxa"/>
            <w:vMerge w:val="continue"/>
            <w:shd w:val="clear" w:color="auto" w:fill="auto"/>
            <w:tcMar>
              <w:top w:w="15" w:type="dxa"/>
              <w:left w:w="15" w:type="dxa"/>
              <w:right w:w="15" w:type="dxa"/>
            </w:tcMar>
            <w:vAlign w:val="center"/>
          </w:tcPr>
          <w:p w14:paraId="3B7F7143">
            <w:pPr>
              <w:jc w:val="center"/>
              <w:rPr>
                <w:rFonts w:hint="eastAsia" w:ascii="宋体" w:hAnsi="宋体" w:eastAsia="宋体" w:cs="宋体"/>
                <w:i w:val="0"/>
                <w:color w:val="000000"/>
                <w:sz w:val="20"/>
                <w:szCs w:val="20"/>
                <w:u w:val="none"/>
              </w:rPr>
            </w:pPr>
          </w:p>
        </w:tc>
        <w:tc>
          <w:tcPr>
            <w:tcW w:w="3880" w:type="dxa"/>
            <w:shd w:val="clear" w:color="auto" w:fill="auto"/>
            <w:tcMar>
              <w:top w:w="15" w:type="dxa"/>
              <w:left w:w="15" w:type="dxa"/>
              <w:right w:w="15" w:type="dxa"/>
            </w:tcMar>
            <w:vAlign w:val="center"/>
          </w:tcPr>
          <w:p w14:paraId="12B3943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10KV避雷器.定期试验</w:t>
            </w:r>
          </w:p>
        </w:tc>
        <w:tc>
          <w:tcPr>
            <w:tcW w:w="951" w:type="dxa"/>
            <w:shd w:val="clear" w:color="auto" w:fill="auto"/>
            <w:tcMar>
              <w:top w:w="15" w:type="dxa"/>
              <w:left w:w="15" w:type="dxa"/>
              <w:right w:w="15" w:type="dxa"/>
            </w:tcMar>
            <w:vAlign w:val="center"/>
          </w:tcPr>
          <w:p w14:paraId="675447F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只</w:t>
            </w:r>
          </w:p>
        </w:tc>
        <w:tc>
          <w:tcPr>
            <w:tcW w:w="855" w:type="dxa"/>
            <w:shd w:val="clear" w:color="auto" w:fill="auto"/>
            <w:tcMar>
              <w:top w:w="15" w:type="dxa"/>
              <w:left w:w="15" w:type="dxa"/>
              <w:right w:w="15" w:type="dxa"/>
            </w:tcMar>
            <w:vAlign w:val="center"/>
          </w:tcPr>
          <w:p w14:paraId="619069F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42</w:t>
            </w:r>
          </w:p>
        </w:tc>
        <w:tc>
          <w:tcPr>
            <w:tcW w:w="714" w:type="dxa"/>
            <w:shd w:val="clear" w:color="auto" w:fill="auto"/>
            <w:tcMar>
              <w:top w:w="15" w:type="dxa"/>
              <w:left w:w="15" w:type="dxa"/>
              <w:right w:w="15" w:type="dxa"/>
            </w:tcMar>
            <w:vAlign w:val="center"/>
          </w:tcPr>
          <w:p w14:paraId="4EAB3A0A">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272C6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54" w:hRule="exact"/>
          <w:jc w:val="center"/>
        </w:trPr>
        <w:tc>
          <w:tcPr>
            <w:tcW w:w="735" w:type="dxa"/>
            <w:vMerge w:val="continue"/>
            <w:shd w:val="clear" w:color="auto" w:fill="auto"/>
            <w:tcMar>
              <w:top w:w="15" w:type="dxa"/>
              <w:left w:w="15" w:type="dxa"/>
              <w:right w:w="15" w:type="dxa"/>
            </w:tcMar>
            <w:vAlign w:val="center"/>
          </w:tcPr>
          <w:p w14:paraId="2B807607">
            <w:pPr>
              <w:jc w:val="center"/>
              <w:rPr>
                <w:rFonts w:hint="eastAsia" w:ascii="宋体" w:hAnsi="宋体" w:eastAsia="宋体" w:cs="宋体"/>
                <w:i w:val="0"/>
                <w:color w:val="000000"/>
                <w:sz w:val="20"/>
                <w:szCs w:val="20"/>
                <w:u w:val="none"/>
              </w:rPr>
            </w:pPr>
          </w:p>
        </w:tc>
        <w:tc>
          <w:tcPr>
            <w:tcW w:w="1738" w:type="dxa"/>
            <w:vMerge w:val="continue"/>
            <w:shd w:val="clear" w:color="auto" w:fill="auto"/>
            <w:tcMar>
              <w:top w:w="15" w:type="dxa"/>
              <w:left w:w="15" w:type="dxa"/>
              <w:right w:w="15" w:type="dxa"/>
            </w:tcMar>
            <w:vAlign w:val="center"/>
          </w:tcPr>
          <w:p w14:paraId="45BE857E">
            <w:pPr>
              <w:jc w:val="center"/>
              <w:rPr>
                <w:rFonts w:hint="eastAsia" w:ascii="宋体" w:hAnsi="宋体" w:eastAsia="宋体" w:cs="宋体"/>
                <w:i w:val="0"/>
                <w:color w:val="000000"/>
                <w:sz w:val="20"/>
                <w:szCs w:val="20"/>
                <w:u w:val="none"/>
              </w:rPr>
            </w:pPr>
          </w:p>
        </w:tc>
        <w:tc>
          <w:tcPr>
            <w:tcW w:w="3880" w:type="dxa"/>
            <w:shd w:val="clear" w:color="auto" w:fill="auto"/>
            <w:tcMar>
              <w:top w:w="15" w:type="dxa"/>
              <w:left w:w="15" w:type="dxa"/>
              <w:right w:w="15" w:type="dxa"/>
            </w:tcMar>
            <w:vAlign w:val="center"/>
          </w:tcPr>
          <w:p w14:paraId="5E0E747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10KV配电站接地电阻测试(站).定期试验</w:t>
            </w:r>
          </w:p>
        </w:tc>
        <w:tc>
          <w:tcPr>
            <w:tcW w:w="951" w:type="dxa"/>
            <w:shd w:val="clear" w:color="auto" w:fill="auto"/>
            <w:tcMar>
              <w:top w:w="15" w:type="dxa"/>
              <w:left w:w="15" w:type="dxa"/>
              <w:right w:w="15" w:type="dxa"/>
            </w:tcMar>
            <w:vAlign w:val="center"/>
          </w:tcPr>
          <w:p w14:paraId="5738B9D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55" w:type="dxa"/>
            <w:shd w:val="clear" w:color="auto" w:fill="auto"/>
            <w:tcMar>
              <w:top w:w="15" w:type="dxa"/>
              <w:left w:w="15" w:type="dxa"/>
              <w:right w:w="15" w:type="dxa"/>
            </w:tcMar>
            <w:vAlign w:val="center"/>
          </w:tcPr>
          <w:p w14:paraId="517466E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714" w:type="dxa"/>
            <w:shd w:val="clear" w:color="auto" w:fill="auto"/>
            <w:tcMar>
              <w:top w:w="15" w:type="dxa"/>
              <w:left w:w="15" w:type="dxa"/>
              <w:right w:w="15" w:type="dxa"/>
            </w:tcMar>
            <w:vAlign w:val="center"/>
          </w:tcPr>
          <w:p w14:paraId="0A3F39BB">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2653E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735" w:type="dxa"/>
            <w:vMerge w:val="continue"/>
            <w:shd w:val="clear" w:color="auto" w:fill="auto"/>
            <w:tcMar>
              <w:top w:w="15" w:type="dxa"/>
              <w:left w:w="15" w:type="dxa"/>
              <w:right w:w="15" w:type="dxa"/>
            </w:tcMar>
            <w:vAlign w:val="center"/>
          </w:tcPr>
          <w:p w14:paraId="675BE50D">
            <w:pPr>
              <w:jc w:val="center"/>
              <w:rPr>
                <w:rFonts w:hint="eastAsia" w:ascii="宋体" w:hAnsi="宋体" w:eastAsia="宋体" w:cs="宋体"/>
                <w:i w:val="0"/>
                <w:color w:val="000000"/>
                <w:sz w:val="20"/>
                <w:szCs w:val="20"/>
                <w:u w:val="none"/>
              </w:rPr>
            </w:pPr>
          </w:p>
        </w:tc>
        <w:tc>
          <w:tcPr>
            <w:tcW w:w="1738" w:type="dxa"/>
            <w:shd w:val="clear" w:color="auto" w:fill="auto"/>
            <w:tcMar>
              <w:top w:w="15" w:type="dxa"/>
              <w:left w:w="15" w:type="dxa"/>
              <w:right w:w="15" w:type="dxa"/>
            </w:tcMar>
            <w:vAlign w:val="center"/>
          </w:tcPr>
          <w:p w14:paraId="005A44B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直流屏</w:t>
            </w:r>
          </w:p>
        </w:tc>
        <w:tc>
          <w:tcPr>
            <w:tcW w:w="3880" w:type="dxa"/>
            <w:shd w:val="clear" w:color="auto" w:fill="auto"/>
            <w:tcMar>
              <w:top w:w="15" w:type="dxa"/>
              <w:left w:w="15" w:type="dxa"/>
              <w:right w:w="15" w:type="dxa"/>
            </w:tcMar>
            <w:vAlign w:val="center"/>
          </w:tcPr>
          <w:p w14:paraId="7331016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柜内清扫及关键点螺栓紧固</w:t>
            </w:r>
          </w:p>
        </w:tc>
        <w:tc>
          <w:tcPr>
            <w:tcW w:w="951" w:type="dxa"/>
            <w:shd w:val="clear" w:color="auto" w:fill="auto"/>
            <w:tcMar>
              <w:top w:w="15" w:type="dxa"/>
              <w:left w:w="15" w:type="dxa"/>
              <w:right w:w="15" w:type="dxa"/>
            </w:tcMar>
            <w:vAlign w:val="center"/>
          </w:tcPr>
          <w:p w14:paraId="499DF22D">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55" w:type="dxa"/>
            <w:shd w:val="clear" w:color="auto" w:fill="auto"/>
            <w:tcMar>
              <w:top w:w="15" w:type="dxa"/>
              <w:left w:w="15" w:type="dxa"/>
              <w:right w:w="15" w:type="dxa"/>
            </w:tcMar>
            <w:vAlign w:val="center"/>
          </w:tcPr>
          <w:p w14:paraId="1C0429F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714" w:type="dxa"/>
            <w:shd w:val="clear" w:color="auto" w:fill="auto"/>
            <w:tcMar>
              <w:top w:w="15" w:type="dxa"/>
              <w:left w:w="15" w:type="dxa"/>
              <w:right w:w="15" w:type="dxa"/>
            </w:tcMar>
            <w:vAlign w:val="center"/>
          </w:tcPr>
          <w:p w14:paraId="5DF978EC">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676E1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9" w:hRule="exact"/>
          <w:jc w:val="center"/>
        </w:trPr>
        <w:tc>
          <w:tcPr>
            <w:tcW w:w="735" w:type="dxa"/>
            <w:vMerge w:val="restart"/>
            <w:shd w:val="clear" w:color="auto" w:fill="auto"/>
            <w:tcMar>
              <w:top w:w="15" w:type="dxa"/>
              <w:left w:w="15" w:type="dxa"/>
              <w:right w:w="15" w:type="dxa"/>
            </w:tcMar>
            <w:vAlign w:val="center"/>
          </w:tcPr>
          <w:p w14:paraId="6428A86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1#专配</w:t>
            </w:r>
          </w:p>
        </w:tc>
        <w:tc>
          <w:tcPr>
            <w:tcW w:w="1738" w:type="dxa"/>
            <w:shd w:val="clear" w:color="auto" w:fill="auto"/>
            <w:tcMar>
              <w:top w:w="15" w:type="dxa"/>
              <w:left w:w="15" w:type="dxa"/>
              <w:right w:w="15" w:type="dxa"/>
            </w:tcMar>
            <w:vAlign w:val="center"/>
          </w:tcPr>
          <w:p w14:paraId="6AA7FC5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高压电缆</w:t>
            </w:r>
          </w:p>
        </w:tc>
        <w:tc>
          <w:tcPr>
            <w:tcW w:w="3880" w:type="dxa"/>
            <w:shd w:val="clear" w:color="auto" w:fill="auto"/>
            <w:tcMar>
              <w:top w:w="15" w:type="dxa"/>
              <w:left w:w="15" w:type="dxa"/>
              <w:right w:w="15" w:type="dxa"/>
            </w:tcMar>
            <w:vAlign w:val="center"/>
          </w:tcPr>
          <w:p w14:paraId="5D44FCC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10KV电力预防性试验（站内）</w:t>
            </w:r>
          </w:p>
        </w:tc>
        <w:tc>
          <w:tcPr>
            <w:tcW w:w="951" w:type="dxa"/>
            <w:shd w:val="clear" w:color="auto" w:fill="auto"/>
            <w:tcMar>
              <w:top w:w="15" w:type="dxa"/>
              <w:left w:w="15" w:type="dxa"/>
              <w:right w:w="15" w:type="dxa"/>
            </w:tcMar>
            <w:vAlign w:val="center"/>
          </w:tcPr>
          <w:p w14:paraId="4393493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根</w:t>
            </w:r>
          </w:p>
        </w:tc>
        <w:tc>
          <w:tcPr>
            <w:tcW w:w="855" w:type="dxa"/>
            <w:shd w:val="clear" w:color="auto" w:fill="auto"/>
            <w:tcMar>
              <w:top w:w="15" w:type="dxa"/>
              <w:left w:w="15" w:type="dxa"/>
              <w:right w:w="15" w:type="dxa"/>
            </w:tcMar>
            <w:vAlign w:val="center"/>
          </w:tcPr>
          <w:p w14:paraId="0614056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714" w:type="dxa"/>
            <w:shd w:val="clear" w:color="auto" w:fill="auto"/>
            <w:tcMar>
              <w:top w:w="15" w:type="dxa"/>
              <w:left w:w="15" w:type="dxa"/>
              <w:right w:w="15" w:type="dxa"/>
            </w:tcMar>
            <w:vAlign w:val="center"/>
          </w:tcPr>
          <w:p w14:paraId="24C20792">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612D0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4" w:hRule="exact"/>
          <w:jc w:val="center"/>
        </w:trPr>
        <w:tc>
          <w:tcPr>
            <w:tcW w:w="735" w:type="dxa"/>
            <w:vMerge w:val="continue"/>
            <w:shd w:val="clear" w:color="auto" w:fill="auto"/>
            <w:tcMar>
              <w:top w:w="15" w:type="dxa"/>
              <w:left w:w="15" w:type="dxa"/>
              <w:right w:w="15" w:type="dxa"/>
            </w:tcMar>
            <w:vAlign w:val="center"/>
          </w:tcPr>
          <w:p w14:paraId="68532475">
            <w:pPr>
              <w:jc w:val="center"/>
              <w:rPr>
                <w:rFonts w:hint="eastAsia" w:ascii="宋体" w:hAnsi="宋体" w:eastAsia="宋体" w:cs="宋体"/>
                <w:i w:val="0"/>
                <w:color w:val="000000"/>
                <w:sz w:val="20"/>
                <w:szCs w:val="20"/>
                <w:u w:val="none"/>
              </w:rPr>
            </w:pPr>
          </w:p>
        </w:tc>
        <w:tc>
          <w:tcPr>
            <w:tcW w:w="1738" w:type="dxa"/>
            <w:vMerge w:val="restart"/>
            <w:shd w:val="clear" w:color="auto" w:fill="auto"/>
            <w:tcMar>
              <w:top w:w="15" w:type="dxa"/>
              <w:left w:w="15" w:type="dxa"/>
              <w:right w:w="15" w:type="dxa"/>
            </w:tcMar>
            <w:vAlign w:val="center"/>
          </w:tcPr>
          <w:p w14:paraId="16F9EA9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高压开关柜</w:t>
            </w:r>
          </w:p>
        </w:tc>
        <w:tc>
          <w:tcPr>
            <w:tcW w:w="3880" w:type="dxa"/>
            <w:shd w:val="clear" w:color="auto" w:fill="auto"/>
            <w:tcMar>
              <w:top w:w="15" w:type="dxa"/>
              <w:left w:w="15" w:type="dxa"/>
              <w:right w:w="15" w:type="dxa"/>
            </w:tcMar>
            <w:vAlign w:val="center"/>
          </w:tcPr>
          <w:p w14:paraId="19B424A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6-10KV开关柜.定期试验</w:t>
            </w:r>
          </w:p>
        </w:tc>
        <w:tc>
          <w:tcPr>
            <w:tcW w:w="951" w:type="dxa"/>
            <w:shd w:val="clear" w:color="auto" w:fill="auto"/>
            <w:tcMar>
              <w:top w:w="15" w:type="dxa"/>
              <w:left w:w="15" w:type="dxa"/>
              <w:right w:w="15" w:type="dxa"/>
            </w:tcMar>
            <w:vAlign w:val="center"/>
          </w:tcPr>
          <w:p w14:paraId="7798D1D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55" w:type="dxa"/>
            <w:shd w:val="clear" w:color="auto" w:fill="auto"/>
            <w:tcMar>
              <w:top w:w="15" w:type="dxa"/>
              <w:left w:w="15" w:type="dxa"/>
              <w:right w:w="15" w:type="dxa"/>
            </w:tcMar>
            <w:vAlign w:val="center"/>
          </w:tcPr>
          <w:p w14:paraId="314DFC7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8</w:t>
            </w:r>
          </w:p>
        </w:tc>
        <w:tc>
          <w:tcPr>
            <w:tcW w:w="714" w:type="dxa"/>
            <w:shd w:val="clear" w:color="auto" w:fill="auto"/>
            <w:tcMar>
              <w:top w:w="15" w:type="dxa"/>
              <w:left w:w="15" w:type="dxa"/>
              <w:right w:w="15" w:type="dxa"/>
            </w:tcMar>
            <w:vAlign w:val="center"/>
          </w:tcPr>
          <w:p w14:paraId="6B466942">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223EA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735" w:type="dxa"/>
            <w:vMerge w:val="continue"/>
            <w:shd w:val="clear" w:color="auto" w:fill="auto"/>
            <w:tcMar>
              <w:top w:w="15" w:type="dxa"/>
              <w:left w:w="15" w:type="dxa"/>
              <w:right w:w="15" w:type="dxa"/>
            </w:tcMar>
            <w:vAlign w:val="center"/>
          </w:tcPr>
          <w:p w14:paraId="0D606E01">
            <w:pPr>
              <w:jc w:val="center"/>
              <w:rPr>
                <w:rFonts w:hint="eastAsia" w:ascii="宋体" w:hAnsi="宋体" w:eastAsia="宋体" w:cs="宋体"/>
                <w:i w:val="0"/>
                <w:color w:val="000000"/>
                <w:sz w:val="20"/>
                <w:szCs w:val="20"/>
                <w:u w:val="none"/>
              </w:rPr>
            </w:pPr>
          </w:p>
        </w:tc>
        <w:tc>
          <w:tcPr>
            <w:tcW w:w="1738" w:type="dxa"/>
            <w:vMerge w:val="continue"/>
            <w:shd w:val="clear" w:color="auto" w:fill="auto"/>
            <w:tcMar>
              <w:top w:w="15" w:type="dxa"/>
              <w:left w:w="15" w:type="dxa"/>
              <w:right w:w="15" w:type="dxa"/>
            </w:tcMar>
            <w:vAlign w:val="center"/>
          </w:tcPr>
          <w:p w14:paraId="203D07F0">
            <w:pPr>
              <w:jc w:val="center"/>
              <w:rPr>
                <w:rFonts w:hint="eastAsia" w:ascii="宋体" w:hAnsi="宋体" w:eastAsia="宋体" w:cs="宋体"/>
                <w:i w:val="0"/>
                <w:color w:val="000000"/>
                <w:sz w:val="20"/>
                <w:szCs w:val="20"/>
                <w:u w:val="none"/>
              </w:rPr>
            </w:pPr>
          </w:p>
        </w:tc>
        <w:tc>
          <w:tcPr>
            <w:tcW w:w="3880" w:type="dxa"/>
            <w:shd w:val="clear" w:color="auto" w:fill="auto"/>
            <w:tcMar>
              <w:top w:w="15" w:type="dxa"/>
              <w:left w:w="15" w:type="dxa"/>
              <w:right w:w="15" w:type="dxa"/>
            </w:tcMar>
            <w:vAlign w:val="center"/>
          </w:tcPr>
          <w:p w14:paraId="4CB9C8A9">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10-110kV继电保护定时限</w:t>
            </w:r>
          </w:p>
        </w:tc>
        <w:tc>
          <w:tcPr>
            <w:tcW w:w="951" w:type="dxa"/>
            <w:shd w:val="clear" w:color="auto" w:fill="auto"/>
            <w:tcMar>
              <w:top w:w="15" w:type="dxa"/>
              <w:left w:w="15" w:type="dxa"/>
              <w:right w:w="15" w:type="dxa"/>
            </w:tcMar>
            <w:vAlign w:val="center"/>
          </w:tcPr>
          <w:p w14:paraId="46DED2D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55" w:type="dxa"/>
            <w:shd w:val="clear" w:color="auto" w:fill="auto"/>
            <w:tcMar>
              <w:top w:w="15" w:type="dxa"/>
              <w:left w:w="15" w:type="dxa"/>
              <w:right w:w="15" w:type="dxa"/>
            </w:tcMar>
            <w:vAlign w:val="center"/>
          </w:tcPr>
          <w:p w14:paraId="2D6E127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w:t>
            </w:r>
          </w:p>
        </w:tc>
        <w:tc>
          <w:tcPr>
            <w:tcW w:w="714" w:type="dxa"/>
            <w:shd w:val="clear" w:color="auto" w:fill="auto"/>
            <w:tcMar>
              <w:top w:w="15" w:type="dxa"/>
              <w:left w:w="15" w:type="dxa"/>
              <w:right w:w="15" w:type="dxa"/>
            </w:tcMar>
            <w:vAlign w:val="center"/>
          </w:tcPr>
          <w:p w14:paraId="6673A4BA">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580C7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9" w:hRule="exact"/>
          <w:jc w:val="center"/>
        </w:trPr>
        <w:tc>
          <w:tcPr>
            <w:tcW w:w="735" w:type="dxa"/>
            <w:vMerge w:val="continue"/>
            <w:shd w:val="clear" w:color="auto" w:fill="auto"/>
            <w:tcMar>
              <w:top w:w="15" w:type="dxa"/>
              <w:left w:w="15" w:type="dxa"/>
              <w:right w:w="15" w:type="dxa"/>
            </w:tcMar>
            <w:vAlign w:val="center"/>
          </w:tcPr>
          <w:p w14:paraId="19F74781">
            <w:pPr>
              <w:jc w:val="center"/>
              <w:rPr>
                <w:rFonts w:hint="eastAsia" w:ascii="宋体" w:hAnsi="宋体" w:eastAsia="宋体" w:cs="宋体"/>
                <w:i w:val="0"/>
                <w:color w:val="000000"/>
                <w:sz w:val="20"/>
                <w:szCs w:val="20"/>
                <w:u w:val="none"/>
              </w:rPr>
            </w:pPr>
          </w:p>
        </w:tc>
        <w:tc>
          <w:tcPr>
            <w:tcW w:w="1738" w:type="dxa"/>
            <w:vMerge w:val="continue"/>
            <w:shd w:val="clear" w:color="auto" w:fill="auto"/>
            <w:tcMar>
              <w:top w:w="15" w:type="dxa"/>
              <w:left w:w="15" w:type="dxa"/>
              <w:right w:w="15" w:type="dxa"/>
            </w:tcMar>
            <w:vAlign w:val="center"/>
          </w:tcPr>
          <w:p w14:paraId="0B7A89FB">
            <w:pPr>
              <w:jc w:val="center"/>
              <w:rPr>
                <w:rFonts w:hint="eastAsia" w:ascii="宋体" w:hAnsi="宋体" w:eastAsia="宋体" w:cs="宋体"/>
                <w:i w:val="0"/>
                <w:color w:val="000000"/>
                <w:sz w:val="20"/>
                <w:szCs w:val="20"/>
                <w:u w:val="none"/>
              </w:rPr>
            </w:pPr>
          </w:p>
        </w:tc>
        <w:tc>
          <w:tcPr>
            <w:tcW w:w="3880" w:type="dxa"/>
            <w:shd w:val="clear" w:color="auto" w:fill="auto"/>
            <w:tcMar>
              <w:top w:w="15" w:type="dxa"/>
              <w:left w:w="15" w:type="dxa"/>
              <w:right w:w="15" w:type="dxa"/>
            </w:tcMar>
            <w:vAlign w:val="center"/>
          </w:tcPr>
          <w:p w14:paraId="6229218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10KV避雷器.定期试验</w:t>
            </w:r>
          </w:p>
        </w:tc>
        <w:tc>
          <w:tcPr>
            <w:tcW w:w="951" w:type="dxa"/>
            <w:shd w:val="clear" w:color="auto" w:fill="auto"/>
            <w:tcMar>
              <w:top w:w="15" w:type="dxa"/>
              <w:left w:w="15" w:type="dxa"/>
              <w:right w:w="15" w:type="dxa"/>
            </w:tcMar>
            <w:vAlign w:val="center"/>
          </w:tcPr>
          <w:p w14:paraId="127816A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只</w:t>
            </w:r>
          </w:p>
        </w:tc>
        <w:tc>
          <w:tcPr>
            <w:tcW w:w="855" w:type="dxa"/>
            <w:shd w:val="clear" w:color="auto" w:fill="auto"/>
            <w:tcMar>
              <w:top w:w="15" w:type="dxa"/>
              <w:left w:w="15" w:type="dxa"/>
              <w:right w:w="15" w:type="dxa"/>
            </w:tcMar>
            <w:vAlign w:val="center"/>
          </w:tcPr>
          <w:p w14:paraId="79666A7B">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w:t>
            </w:r>
          </w:p>
        </w:tc>
        <w:tc>
          <w:tcPr>
            <w:tcW w:w="714" w:type="dxa"/>
            <w:shd w:val="clear" w:color="auto" w:fill="auto"/>
            <w:tcMar>
              <w:top w:w="15" w:type="dxa"/>
              <w:left w:w="15" w:type="dxa"/>
              <w:right w:w="15" w:type="dxa"/>
            </w:tcMar>
            <w:vAlign w:val="center"/>
          </w:tcPr>
          <w:p w14:paraId="10177FE3">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555B4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9" w:hRule="exact"/>
          <w:jc w:val="center"/>
        </w:trPr>
        <w:tc>
          <w:tcPr>
            <w:tcW w:w="735" w:type="dxa"/>
            <w:vMerge w:val="continue"/>
            <w:shd w:val="clear" w:color="auto" w:fill="auto"/>
            <w:tcMar>
              <w:top w:w="15" w:type="dxa"/>
              <w:left w:w="15" w:type="dxa"/>
              <w:right w:w="15" w:type="dxa"/>
            </w:tcMar>
            <w:vAlign w:val="center"/>
          </w:tcPr>
          <w:p w14:paraId="13886CF7">
            <w:pPr>
              <w:jc w:val="center"/>
              <w:rPr>
                <w:rFonts w:hint="eastAsia" w:ascii="宋体" w:hAnsi="宋体" w:eastAsia="宋体" w:cs="宋体"/>
                <w:i w:val="0"/>
                <w:color w:val="000000"/>
                <w:sz w:val="20"/>
                <w:szCs w:val="20"/>
                <w:u w:val="none"/>
              </w:rPr>
            </w:pPr>
          </w:p>
        </w:tc>
        <w:tc>
          <w:tcPr>
            <w:tcW w:w="1738" w:type="dxa"/>
            <w:vMerge w:val="continue"/>
            <w:shd w:val="clear" w:color="auto" w:fill="auto"/>
            <w:tcMar>
              <w:top w:w="15" w:type="dxa"/>
              <w:left w:w="15" w:type="dxa"/>
              <w:right w:w="15" w:type="dxa"/>
            </w:tcMar>
            <w:vAlign w:val="center"/>
          </w:tcPr>
          <w:p w14:paraId="4AE2A7FA">
            <w:pPr>
              <w:jc w:val="center"/>
              <w:rPr>
                <w:rFonts w:hint="eastAsia" w:ascii="宋体" w:hAnsi="宋体" w:eastAsia="宋体" w:cs="宋体"/>
                <w:i w:val="0"/>
                <w:color w:val="000000"/>
                <w:sz w:val="20"/>
                <w:szCs w:val="20"/>
                <w:u w:val="none"/>
              </w:rPr>
            </w:pPr>
          </w:p>
        </w:tc>
        <w:tc>
          <w:tcPr>
            <w:tcW w:w="3880" w:type="dxa"/>
            <w:shd w:val="clear" w:color="auto" w:fill="auto"/>
            <w:tcMar>
              <w:top w:w="15" w:type="dxa"/>
              <w:left w:w="15" w:type="dxa"/>
              <w:right w:w="15" w:type="dxa"/>
            </w:tcMar>
            <w:vAlign w:val="center"/>
          </w:tcPr>
          <w:p w14:paraId="7D45AE7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10KV配电站接地电阻测试(站).定期试验</w:t>
            </w:r>
          </w:p>
        </w:tc>
        <w:tc>
          <w:tcPr>
            <w:tcW w:w="951" w:type="dxa"/>
            <w:shd w:val="clear" w:color="auto" w:fill="auto"/>
            <w:tcMar>
              <w:top w:w="15" w:type="dxa"/>
              <w:left w:w="15" w:type="dxa"/>
              <w:right w:w="15" w:type="dxa"/>
            </w:tcMar>
            <w:vAlign w:val="center"/>
          </w:tcPr>
          <w:p w14:paraId="1D268B9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55" w:type="dxa"/>
            <w:shd w:val="clear" w:color="auto" w:fill="auto"/>
            <w:tcMar>
              <w:top w:w="15" w:type="dxa"/>
              <w:left w:w="15" w:type="dxa"/>
              <w:right w:w="15" w:type="dxa"/>
            </w:tcMar>
            <w:vAlign w:val="center"/>
          </w:tcPr>
          <w:p w14:paraId="061200C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714" w:type="dxa"/>
            <w:shd w:val="clear" w:color="auto" w:fill="auto"/>
            <w:tcMar>
              <w:top w:w="15" w:type="dxa"/>
              <w:left w:w="15" w:type="dxa"/>
              <w:right w:w="15" w:type="dxa"/>
            </w:tcMar>
            <w:vAlign w:val="center"/>
          </w:tcPr>
          <w:p w14:paraId="609243DC">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75CF4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4" w:hRule="exact"/>
          <w:jc w:val="center"/>
        </w:trPr>
        <w:tc>
          <w:tcPr>
            <w:tcW w:w="735" w:type="dxa"/>
            <w:vMerge w:val="continue"/>
            <w:shd w:val="clear" w:color="auto" w:fill="auto"/>
            <w:tcMar>
              <w:top w:w="15" w:type="dxa"/>
              <w:left w:w="15" w:type="dxa"/>
              <w:right w:w="15" w:type="dxa"/>
            </w:tcMar>
            <w:vAlign w:val="center"/>
          </w:tcPr>
          <w:p w14:paraId="0405FC32">
            <w:pPr>
              <w:jc w:val="center"/>
              <w:rPr>
                <w:rFonts w:hint="eastAsia" w:ascii="宋体" w:hAnsi="宋体" w:eastAsia="宋体" w:cs="宋体"/>
                <w:i w:val="0"/>
                <w:color w:val="000000"/>
                <w:sz w:val="20"/>
                <w:szCs w:val="20"/>
                <w:u w:val="none"/>
              </w:rPr>
            </w:pPr>
          </w:p>
        </w:tc>
        <w:tc>
          <w:tcPr>
            <w:tcW w:w="1738" w:type="dxa"/>
            <w:vMerge w:val="restart"/>
            <w:shd w:val="clear" w:color="auto" w:fill="auto"/>
            <w:tcMar>
              <w:top w:w="15" w:type="dxa"/>
              <w:left w:w="15" w:type="dxa"/>
              <w:right w:w="15" w:type="dxa"/>
            </w:tcMar>
            <w:vAlign w:val="center"/>
          </w:tcPr>
          <w:p w14:paraId="3891D5F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电力变压器</w:t>
            </w:r>
          </w:p>
        </w:tc>
        <w:tc>
          <w:tcPr>
            <w:tcW w:w="3880" w:type="dxa"/>
            <w:shd w:val="clear" w:color="auto" w:fill="auto"/>
            <w:tcMar>
              <w:top w:w="15" w:type="dxa"/>
              <w:left w:w="15" w:type="dxa"/>
              <w:right w:w="15" w:type="dxa"/>
            </w:tcMar>
            <w:vAlign w:val="center"/>
          </w:tcPr>
          <w:p w14:paraId="269C258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6-10KV电力变压器.定期试验</w:t>
            </w:r>
          </w:p>
        </w:tc>
        <w:tc>
          <w:tcPr>
            <w:tcW w:w="951" w:type="dxa"/>
            <w:shd w:val="clear" w:color="auto" w:fill="auto"/>
            <w:tcMar>
              <w:top w:w="15" w:type="dxa"/>
              <w:left w:w="15" w:type="dxa"/>
              <w:right w:w="15" w:type="dxa"/>
            </w:tcMar>
            <w:vAlign w:val="center"/>
          </w:tcPr>
          <w:p w14:paraId="095E6AD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55" w:type="dxa"/>
            <w:shd w:val="clear" w:color="auto" w:fill="auto"/>
            <w:tcMar>
              <w:top w:w="15" w:type="dxa"/>
              <w:left w:w="15" w:type="dxa"/>
              <w:right w:w="15" w:type="dxa"/>
            </w:tcMar>
            <w:vAlign w:val="center"/>
          </w:tcPr>
          <w:p w14:paraId="75E1734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714" w:type="dxa"/>
            <w:shd w:val="clear" w:color="auto" w:fill="auto"/>
            <w:tcMar>
              <w:top w:w="15" w:type="dxa"/>
              <w:left w:w="15" w:type="dxa"/>
              <w:right w:w="15" w:type="dxa"/>
            </w:tcMar>
            <w:vAlign w:val="center"/>
          </w:tcPr>
          <w:p w14:paraId="26989A31">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6544D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9" w:hRule="exact"/>
          <w:jc w:val="center"/>
        </w:trPr>
        <w:tc>
          <w:tcPr>
            <w:tcW w:w="735" w:type="dxa"/>
            <w:vMerge w:val="continue"/>
            <w:shd w:val="clear" w:color="auto" w:fill="auto"/>
            <w:tcMar>
              <w:top w:w="15" w:type="dxa"/>
              <w:left w:w="15" w:type="dxa"/>
              <w:right w:w="15" w:type="dxa"/>
            </w:tcMar>
            <w:vAlign w:val="center"/>
          </w:tcPr>
          <w:p w14:paraId="257802DA">
            <w:pPr>
              <w:jc w:val="center"/>
              <w:rPr>
                <w:rFonts w:hint="eastAsia" w:ascii="宋体" w:hAnsi="宋体" w:eastAsia="宋体" w:cs="宋体"/>
                <w:i w:val="0"/>
                <w:color w:val="000000"/>
                <w:sz w:val="20"/>
                <w:szCs w:val="20"/>
                <w:u w:val="none"/>
              </w:rPr>
            </w:pPr>
          </w:p>
        </w:tc>
        <w:tc>
          <w:tcPr>
            <w:tcW w:w="1738" w:type="dxa"/>
            <w:vMerge w:val="continue"/>
            <w:shd w:val="clear" w:color="auto" w:fill="auto"/>
            <w:tcMar>
              <w:top w:w="15" w:type="dxa"/>
              <w:left w:w="15" w:type="dxa"/>
              <w:right w:w="15" w:type="dxa"/>
            </w:tcMar>
            <w:vAlign w:val="center"/>
          </w:tcPr>
          <w:p w14:paraId="688E9FCD">
            <w:pPr>
              <w:jc w:val="center"/>
              <w:rPr>
                <w:rFonts w:hint="eastAsia" w:ascii="宋体" w:hAnsi="宋体" w:eastAsia="宋体" w:cs="宋体"/>
                <w:i w:val="0"/>
                <w:color w:val="000000"/>
                <w:sz w:val="20"/>
                <w:szCs w:val="20"/>
                <w:u w:val="none"/>
              </w:rPr>
            </w:pPr>
          </w:p>
        </w:tc>
        <w:tc>
          <w:tcPr>
            <w:tcW w:w="3880" w:type="dxa"/>
            <w:shd w:val="clear" w:color="auto" w:fill="auto"/>
            <w:tcMar>
              <w:top w:w="15" w:type="dxa"/>
              <w:left w:w="15" w:type="dxa"/>
              <w:right w:w="15" w:type="dxa"/>
            </w:tcMar>
            <w:vAlign w:val="center"/>
          </w:tcPr>
          <w:p w14:paraId="7C0D291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10KV配电站接地电阻测试(站).定期试验</w:t>
            </w:r>
          </w:p>
        </w:tc>
        <w:tc>
          <w:tcPr>
            <w:tcW w:w="951" w:type="dxa"/>
            <w:shd w:val="clear" w:color="auto" w:fill="auto"/>
            <w:tcMar>
              <w:top w:w="15" w:type="dxa"/>
              <w:left w:w="15" w:type="dxa"/>
              <w:right w:w="15" w:type="dxa"/>
            </w:tcMar>
            <w:vAlign w:val="center"/>
          </w:tcPr>
          <w:p w14:paraId="097726B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55" w:type="dxa"/>
            <w:shd w:val="clear" w:color="auto" w:fill="auto"/>
            <w:tcMar>
              <w:top w:w="15" w:type="dxa"/>
              <w:left w:w="15" w:type="dxa"/>
              <w:right w:w="15" w:type="dxa"/>
            </w:tcMar>
            <w:vAlign w:val="center"/>
          </w:tcPr>
          <w:p w14:paraId="2A39E43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714" w:type="dxa"/>
            <w:shd w:val="clear" w:color="auto" w:fill="auto"/>
            <w:tcMar>
              <w:top w:w="15" w:type="dxa"/>
              <w:left w:w="15" w:type="dxa"/>
              <w:right w:w="15" w:type="dxa"/>
            </w:tcMar>
            <w:vAlign w:val="center"/>
          </w:tcPr>
          <w:p w14:paraId="4BFAA8F6">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077A2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4" w:hRule="exact"/>
          <w:jc w:val="center"/>
        </w:trPr>
        <w:tc>
          <w:tcPr>
            <w:tcW w:w="735" w:type="dxa"/>
            <w:vMerge w:val="continue"/>
            <w:shd w:val="clear" w:color="auto" w:fill="auto"/>
            <w:tcMar>
              <w:top w:w="15" w:type="dxa"/>
              <w:left w:w="15" w:type="dxa"/>
              <w:right w:w="15" w:type="dxa"/>
            </w:tcMar>
            <w:vAlign w:val="center"/>
          </w:tcPr>
          <w:p w14:paraId="2A1D659C">
            <w:pPr>
              <w:jc w:val="center"/>
              <w:rPr>
                <w:rFonts w:hint="eastAsia" w:ascii="宋体" w:hAnsi="宋体" w:eastAsia="宋体" w:cs="宋体"/>
                <w:i w:val="0"/>
                <w:color w:val="000000"/>
                <w:sz w:val="20"/>
                <w:szCs w:val="20"/>
                <w:u w:val="none"/>
              </w:rPr>
            </w:pPr>
          </w:p>
        </w:tc>
        <w:tc>
          <w:tcPr>
            <w:tcW w:w="1738" w:type="dxa"/>
            <w:shd w:val="clear" w:color="auto" w:fill="auto"/>
            <w:tcMar>
              <w:top w:w="15" w:type="dxa"/>
              <w:left w:w="15" w:type="dxa"/>
              <w:right w:w="15" w:type="dxa"/>
            </w:tcMar>
            <w:vAlign w:val="center"/>
          </w:tcPr>
          <w:p w14:paraId="6585B90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直流屏</w:t>
            </w:r>
          </w:p>
        </w:tc>
        <w:tc>
          <w:tcPr>
            <w:tcW w:w="3880" w:type="dxa"/>
            <w:shd w:val="clear" w:color="auto" w:fill="auto"/>
            <w:tcMar>
              <w:top w:w="15" w:type="dxa"/>
              <w:left w:w="15" w:type="dxa"/>
              <w:right w:w="15" w:type="dxa"/>
            </w:tcMar>
            <w:vAlign w:val="center"/>
          </w:tcPr>
          <w:p w14:paraId="5BCBF66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柜内清扫及关键点螺栓紧固</w:t>
            </w:r>
          </w:p>
        </w:tc>
        <w:tc>
          <w:tcPr>
            <w:tcW w:w="951" w:type="dxa"/>
            <w:shd w:val="clear" w:color="auto" w:fill="auto"/>
            <w:tcMar>
              <w:top w:w="15" w:type="dxa"/>
              <w:left w:w="15" w:type="dxa"/>
              <w:right w:w="15" w:type="dxa"/>
            </w:tcMar>
            <w:vAlign w:val="center"/>
          </w:tcPr>
          <w:p w14:paraId="18C2DD0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55" w:type="dxa"/>
            <w:shd w:val="clear" w:color="auto" w:fill="auto"/>
            <w:tcMar>
              <w:top w:w="15" w:type="dxa"/>
              <w:left w:w="15" w:type="dxa"/>
              <w:right w:w="15" w:type="dxa"/>
            </w:tcMar>
            <w:vAlign w:val="center"/>
          </w:tcPr>
          <w:p w14:paraId="2608EE6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714" w:type="dxa"/>
            <w:shd w:val="clear" w:color="auto" w:fill="auto"/>
            <w:tcMar>
              <w:top w:w="15" w:type="dxa"/>
              <w:left w:w="15" w:type="dxa"/>
              <w:right w:w="15" w:type="dxa"/>
            </w:tcMar>
            <w:vAlign w:val="center"/>
          </w:tcPr>
          <w:p w14:paraId="11B7E1CD">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30BF4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9" w:hRule="exact"/>
          <w:jc w:val="center"/>
        </w:trPr>
        <w:tc>
          <w:tcPr>
            <w:tcW w:w="735" w:type="dxa"/>
            <w:vMerge w:val="continue"/>
            <w:shd w:val="clear" w:color="auto" w:fill="auto"/>
            <w:tcMar>
              <w:top w:w="15" w:type="dxa"/>
              <w:left w:w="15" w:type="dxa"/>
              <w:right w:w="15" w:type="dxa"/>
            </w:tcMar>
            <w:vAlign w:val="center"/>
          </w:tcPr>
          <w:p w14:paraId="77AAAB1D">
            <w:pPr>
              <w:jc w:val="center"/>
              <w:rPr>
                <w:rFonts w:hint="eastAsia" w:ascii="宋体" w:hAnsi="宋体" w:eastAsia="宋体" w:cs="宋体"/>
                <w:i w:val="0"/>
                <w:color w:val="000000"/>
                <w:sz w:val="20"/>
                <w:szCs w:val="20"/>
                <w:u w:val="none"/>
              </w:rPr>
            </w:pPr>
          </w:p>
        </w:tc>
        <w:tc>
          <w:tcPr>
            <w:tcW w:w="1738" w:type="dxa"/>
            <w:shd w:val="clear" w:color="auto" w:fill="auto"/>
            <w:tcMar>
              <w:top w:w="15" w:type="dxa"/>
              <w:left w:w="15" w:type="dxa"/>
              <w:right w:w="15" w:type="dxa"/>
            </w:tcMar>
            <w:vAlign w:val="center"/>
          </w:tcPr>
          <w:p w14:paraId="15273B8D">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低压开关柜</w:t>
            </w:r>
          </w:p>
        </w:tc>
        <w:tc>
          <w:tcPr>
            <w:tcW w:w="3880" w:type="dxa"/>
            <w:shd w:val="clear" w:color="auto" w:fill="auto"/>
            <w:tcMar>
              <w:top w:w="15" w:type="dxa"/>
              <w:left w:w="15" w:type="dxa"/>
              <w:right w:w="15" w:type="dxa"/>
            </w:tcMar>
            <w:vAlign w:val="center"/>
          </w:tcPr>
          <w:p w14:paraId="043A5C4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柜内清扫及关键点螺栓紧固</w:t>
            </w:r>
          </w:p>
        </w:tc>
        <w:tc>
          <w:tcPr>
            <w:tcW w:w="951" w:type="dxa"/>
            <w:shd w:val="clear" w:color="auto" w:fill="auto"/>
            <w:tcMar>
              <w:top w:w="15" w:type="dxa"/>
              <w:left w:w="15" w:type="dxa"/>
              <w:right w:w="15" w:type="dxa"/>
            </w:tcMar>
            <w:vAlign w:val="center"/>
          </w:tcPr>
          <w:p w14:paraId="2741157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55" w:type="dxa"/>
            <w:shd w:val="clear" w:color="auto" w:fill="auto"/>
            <w:tcMar>
              <w:top w:w="15" w:type="dxa"/>
              <w:left w:w="15" w:type="dxa"/>
              <w:right w:w="15" w:type="dxa"/>
            </w:tcMar>
            <w:vAlign w:val="center"/>
          </w:tcPr>
          <w:p w14:paraId="601EB8C5">
            <w:pPr>
              <w:keepNext w:val="0"/>
              <w:keepLines w:val="0"/>
              <w:widowControl/>
              <w:suppressLineNumbers w:val="0"/>
              <w:jc w:val="center"/>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38</w:t>
            </w:r>
          </w:p>
        </w:tc>
        <w:tc>
          <w:tcPr>
            <w:tcW w:w="714" w:type="dxa"/>
            <w:shd w:val="clear" w:color="auto" w:fill="auto"/>
            <w:tcMar>
              <w:top w:w="15" w:type="dxa"/>
              <w:left w:w="15" w:type="dxa"/>
              <w:right w:w="15" w:type="dxa"/>
            </w:tcMar>
            <w:vAlign w:val="center"/>
          </w:tcPr>
          <w:p w14:paraId="00494A0F">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796F3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4" w:hRule="exact"/>
          <w:jc w:val="center"/>
        </w:trPr>
        <w:tc>
          <w:tcPr>
            <w:tcW w:w="735" w:type="dxa"/>
            <w:vMerge w:val="continue"/>
            <w:shd w:val="clear" w:color="auto" w:fill="auto"/>
            <w:tcMar>
              <w:top w:w="15" w:type="dxa"/>
              <w:left w:w="15" w:type="dxa"/>
              <w:right w:w="15" w:type="dxa"/>
            </w:tcMar>
            <w:vAlign w:val="center"/>
          </w:tcPr>
          <w:p w14:paraId="3B2E7125">
            <w:pPr>
              <w:jc w:val="center"/>
              <w:rPr>
                <w:rFonts w:hint="eastAsia" w:ascii="宋体" w:hAnsi="宋体" w:eastAsia="宋体" w:cs="宋体"/>
                <w:i w:val="0"/>
                <w:color w:val="000000"/>
                <w:sz w:val="20"/>
                <w:szCs w:val="20"/>
                <w:u w:val="none"/>
              </w:rPr>
            </w:pPr>
          </w:p>
        </w:tc>
        <w:tc>
          <w:tcPr>
            <w:tcW w:w="1738" w:type="dxa"/>
            <w:vMerge w:val="restart"/>
            <w:shd w:val="clear" w:color="auto" w:fill="auto"/>
            <w:tcMar>
              <w:top w:w="15" w:type="dxa"/>
              <w:left w:w="15" w:type="dxa"/>
              <w:right w:w="15" w:type="dxa"/>
            </w:tcMar>
            <w:vAlign w:val="center"/>
          </w:tcPr>
          <w:p w14:paraId="7FA9164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工器具年检</w:t>
            </w:r>
          </w:p>
        </w:tc>
        <w:tc>
          <w:tcPr>
            <w:tcW w:w="3880" w:type="dxa"/>
            <w:shd w:val="clear" w:color="auto" w:fill="auto"/>
            <w:tcMar>
              <w:top w:w="15" w:type="dxa"/>
              <w:left w:w="15" w:type="dxa"/>
              <w:right w:w="15" w:type="dxa"/>
            </w:tcMar>
            <w:vAlign w:val="center"/>
          </w:tcPr>
          <w:p w14:paraId="03E49C9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绝缘手套年检</w:t>
            </w:r>
          </w:p>
        </w:tc>
        <w:tc>
          <w:tcPr>
            <w:tcW w:w="951" w:type="dxa"/>
            <w:shd w:val="clear" w:color="auto" w:fill="auto"/>
            <w:tcMar>
              <w:top w:w="15" w:type="dxa"/>
              <w:left w:w="15" w:type="dxa"/>
              <w:right w:w="15" w:type="dxa"/>
            </w:tcMar>
            <w:vAlign w:val="center"/>
          </w:tcPr>
          <w:p w14:paraId="757DB42D">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w:t>
            </w:r>
          </w:p>
        </w:tc>
        <w:tc>
          <w:tcPr>
            <w:tcW w:w="855" w:type="dxa"/>
            <w:shd w:val="clear" w:color="auto" w:fill="auto"/>
            <w:tcMar>
              <w:top w:w="15" w:type="dxa"/>
              <w:left w:w="15" w:type="dxa"/>
              <w:right w:w="15" w:type="dxa"/>
            </w:tcMar>
            <w:vAlign w:val="center"/>
          </w:tcPr>
          <w:p w14:paraId="6504237B">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714" w:type="dxa"/>
            <w:shd w:val="clear" w:color="auto" w:fill="auto"/>
            <w:tcMar>
              <w:top w:w="15" w:type="dxa"/>
              <w:left w:w="15" w:type="dxa"/>
              <w:right w:w="15" w:type="dxa"/>
            </w:tcMar>
            <w:vAlign w:val="center"/>
          </w:tcPr>
          <w:p w14:paraId="17BE4616">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76752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4" w:hRule="exact"/>
          <w:jc w:val="center"/>
        </w:trPr>
        <w:tc>
          <w:tcPr>
            <w:tcW w:w="735" w:type="dxa"/>
            <w:vMerge w:val="continue"/>
            <w:shd w:val="clear" w:color="auto" w:fill="auto"/>
            <w:tcMar>
              <w:top w:w="15" w:type="dxa"/>
              <w:left w:w="15" w:type="dxa"/>
              <w:right w:w="15" w:type="dxa"/>
            </w:tcMar>
            <w:vAlign w:val="center"/>
          </w:tcPr>
          <w:p w14:paraId="265FAF57">
            <w:pPr>
              <w:jc w:val="center"/>
              <w:rPr>
                <w:rFonts w:hint="eastAsia" w:ascii="宋体" w:hAnsi="宋体" w:eastAsia="宋体" w:cs="宋体"/>
                <w:i w:val="0"/>
                <w:color w:val="000000"/>
                <w:sz w:val="20"/>
                <w:szCs w:val="20"/>
                <w:u w:val="none"/>
              </w:rPr>
            </w:pPr>
          </w:p>
        </w:tc>
        <w:tc>
          <w:tcPr>
            <w:tcW w:w="1738" w:type="dxa"/>
            <w:vMerge w:val="continue"/>
            <w:shd w:val="clear" w:color="auto" w:fill="auto"/>
            <w:tcMar>
              <w:top w:w="15" w:type="dxa"/>
              <w:left w:w="15" w:type="dxa"/>
              <w:right w:w="15" w:type="dxa"/>
            </w:tcMar>
            <w:vAlign w:val="center"/>
          </w:tcPr>
          <w:p w14:paraId="61024444">
            <w:pPr>
              <w:jc w:val="center"/>
              <w:rPr>
                <w:rFonts w:hint="eastAsia" w:ascii="宋体" w:hAnsi="宋体" w:eastAsia="宋体" w:cs="宋体"/>
                <w:i w:val="0"/>
                <w:color w:val="000000"/>
                <w:sz w:val="20"/>
                <w:szCs w:val="20"/>
                <w:u w:val="none"/>
              </w:rPr>
            </w:pPr>
          </w:p>
        </w:tc>
        <w:tc>
          <w:tcPr>
            <w:tcW w:w="3880" w:type="dxa"/>
            <w:shd w:val="clear" w:color="auto" w:fill="auto"/>
            <w:tcMar>
              <w:top w:w="15" w:type="dxa"/>
              <w:left w:w="15" w:type="dxa"/>
              <w:right w:w="15" w:type="dxa"/>
            </w:tcMar>
            <w:vAlign w:val="center"/>
          </w:tcPr>
          <w:p w14:paraId="32F0C28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绝缘靴年检</w:t>
            </w:r>
          </w:p>
        </w:tc>
        <w:tc>
          <w:tcPr>
            <w:tcW w:w="951" w:type="dxa"/>
            <w:shd w:val="clear" w:color="auto" w:fill="auto"/>
            <w:tcMar>
              <w:top w:w="15" w:type="dxa"/>
              <w:left w:w="15" w:type="dxa"/>
              <w:right w:w="15" w:type="dxa"/>
            </w:tcMar>
            <w:vAlign w:val="center"/>
          </w:tcPr>
          <w:p w14:paraId="0990680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w:t>
            </w:r>
          </w:p>
        </w:tc>
        <w:tc>
          <w:tcPr>
            <w:tcW w:w="855" w:type="dxa"/>
            <w:shd w:val="clear" w:color="auto" w:fill="auto"/>
            <w:tcMar>
              <w:top w:w="15" w:type="dxa"/>
              <w:left w:w="15" w:type="dxa"/>
              <w:right w:w="15" w:type="dxa"/>
            </w:tcMar>
            <w:vAlign w:val="center"/>
          </w:tcPr>
          <w:p w14:paraId="605E8E8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714" w:type="dxa"/>
            <w:shd w:val="clear" w:color="auto" w:fill="auto"/>
            <w:tcMar>
              <w:top w:w="15" w:type="dxa"/>
              <w:left w:w="15" w:type="dxa"/>
              <w:right w:w="15" w:type="dxa"/>
            </w:tcMar>
            <w:vAlign w:val="center"/>
          </w:tcPr>
          <w:p w14:paraId="3C5C7EC0">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587AC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4" w:hRule="exact"/>
          <w:jc w:val="center"/>
        </w:trPr>
        <w:tc>
          <w:tcPr>
            <w:tcW w:w="735" w:type="dxa"/>
            <w:vMerge w:val="continue"/>
            <w:shd w:val="clear" w:color="auto" w:fill="auto"/>
            <w:tcMar>
              <w:top w:w="15" w:type="dxa"/>
              <w:left w:w="15" w:type="dxa"/>
              <w:right w:w="15" w:type="dxa"/>
            </w:tcMar>
            <w:vAlign w:val="center"/>
          </w:tcPr>
          <w:p w14:paraId="1DF9AF3A">
            <w:pPr>
              <w:jc w:val="center"/>
              <w:rPr>
                <w:rFonts w:hint="eastAsia" w:ascii="宋体" w:hAnsi="宋体" w:eastAsia="宋体" w:cs="宋体"/>
                <w:i w:val="0"/>
                <w:color w:val="000000"/>
                <w:sz w:val="20"/>
                <w:szCs w:val="20"/>
                <w:u w:val="none"/>
              </w:rPr>
            </w:pPr>
          </w:p>
        </w:tc>
        <w:tc>
          <w:tcPr>
            <w:tcW w:w="1738" w:type="dxa"/>
            <w:vMerge w:val="continue"/>
            <w:shd w:val="clear" w:color="auto" w:fill="auto"/>
            <w:tcMar>
              <w:top w:w="15" w:type="dxa"/>
              <w:left w:w="15" w:type="dxa"/>
              <w:right w:w="15" w:type="dxa"/>
            </w:tcMar>
            <w:vAlign w:val="center"/>
          </w:tcPr>
          <w:p w14:paraId="17D99E1A">
            <w:pPr>
              <w:jc w:val="center"/>
              <w:rPr>
                <w:rFonts w:hint="eastAsia" w:ascii="宋体" w:hAnsi="宋体" w:eastAsia="宋体" w:cs="宋体"/>
                <w:i w:val="0"/>
                <w:color w:val="000000"/>
                <w:sz w:val="20"/>
                <w:szCs w:val="20"/>
                <w:u w:val="none"/>
              </w:rPr>
            </w:pPr>
          </w:p>
        </w:tc>
        <w:tc>
          <w:tcPr>
            <w:tcW w:w="3880" w:type="dxa"/>
            <w:shd w:val="clear" w:color="auto" w:fill="auto"/>
            <w:tcMar>
              <w:top w:w="15" w:type="dxa"/>
              <w:left w:w="15" w:type="dxa"/>
              <w:right w:w="15" w:type="dxa"/>
            </w:tcMar>
            <w:vAlign w:val="center"/>
          </w:tcPr>
          <w:p w14:paraId="3685CD3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验电器年检</w:t>
            </w:r>
          </w:p>
        </w:tc>
        <w:tc>
          <w:tcPr>
            <w:tcW w:w="951" w:type="dxa"/>
            <w:shd w:val="clear" w:color="auto" w:fill="auto"/>
            <w:tcMar>
              <w:top w:w="15" w:type="dxa"/>
              <w:left w:w="15" w:type="dxa"/>
              <w:right w:w="15" w:type="dxa"/>
            </w:tcMar>
            <w:vAlign w:val="center"/>
          </w:tcPr>
          <w:p w14:paraId="6BDE4F5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w:t>
            </w:r>
          </w:p>
        </w:tc>
        <w:tc>
          <w:tcPr>
            <w:tcW w:w="855" w:type="dxa"/>
            <w:shd w:val="clear" w:color="auto" w:fill="auto"/>
            <w:tcMar>
              <w:top w:w="15" w:type="dxa"/>
              <w:left w:w="15" w:type="dxa"/>
              <w:right w:w="15" w:type="dxa"/>
            </w:tcMar>
            <w:vAlign w:val="center"/>
          </w:tcPr>
          <w:p w14:paraId="38D6B49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714" w:type="dxa"/>
            <w:shd w:val="clear" w:color="auto" w:fill="auto"/>
            <w:tcMar>
              <w:top w:w="15" w:type="dxa"/>
              <w:left w:w="15" w:type="dxa"/>
              <w:right w:w="15" w:type="dxa"/>
            </w:tcMar>
            <w:vAlign w:val="center"/>
          </w:tcPr>
          <w:p w14:paraId="2C0A31E3">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79368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735" w:type="dxa"/>
            <w:vMerge w:val="restart"/>
            <w:shd w:val="clear" w:color="auto" w:fill="auto"/>
            <w:tcMar>
              <w:top w:w="15" w:type="dxa"/>
              <w:left w:w="15" w:type="dxa"/>
              <w:right w:w="15" w:type="dxa"/>
            </w:tcMar>
            <w:vAlign w:val="center"/>
          </w:tcPr>
          <w:p w14:paraId="1ADE62A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2#专配</w:t>
            </w:r>
          </w:p>
        </w:tc>
        <w:tc>
          <w:tcPr>
            <w:tcW w:w="1738" w:type="dxa"/>
            <w:shd w:val="clear" w:color="auto" w:fill="auto"/>
            <w:tcMar>
              <w:top w:w="15" w:type="dxa"/>
              <w:left w:w="15" w:type="dxa"/>
              <w:right w:w="15" w:type="dxa"/>
            </w:tcMar>
            <w:vAlign w:val="center"/>
          </w:tcPr>
          <w:p w14:paraId="795C353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高压电缆</w:t>
            </w:r>
          </w:p>
        </w:tc>
        <w:tc>
          <w:tcPr>
            <w:tcW w:w="3880" w:type="dxa"/>
            <w:shd w:val="clear" w:color="auto" w:fill="auto"/>
            <w:tcMar>
              <w:top w:w="15" w:type="dxa"/>
              <w:left w:w="15" w:type="dxa"/>
              <w:right w:w="15" w:type="dxa"/>
            </w:tcMar>
            <w:vAlign w:val="center"/>
          </w:tcPr>
          <w:p w14:paraId="2357BA7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10KV电力预防性试验（站内）</w:t>
            </w:r>
          </w:p>
        </w:tc>
        <w:tc>
          <w:tcPr>
            <w:tcW w:w="951" w:type="dxa"/>
            <w:shd w:val="clear" w:color="auto" w:fill="auto"/>
            <w:tcMar>
              <w:top w:w="15" w:type="dxa"/>
              <w:left w:w="15" w:type="dxa"/>
              <w:right w:w="15" w:type="dxa"/>
            </w:tcMar>
            <w:vAlign w:val="center"/>
          </w:tcPr>
          <w:p w14:paraId="4E811FC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根</w:t>
            </w:r>
          </w:p>
        </w:tc>
        <w:tc>
          <w:tcPr>
            <w:tcW w:w="855" w:type="dxa"/>
            <w:shd w:val="clear" w:color="auto" w:fill="auto"/>
            <w:tcMar>
              <w:top w:w="15" w:type="dxa"/>
              <w:left w:w="15" w:type="dxa"/>
              <w:right w:w="15" w:type="dxa"/>
            </w:tcMar>
            <w:vAlign w:val="center"/>
          </w:tcPr>
          <w:p w14:paraId="20EB353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714" w:type="dxa"/>
            <w:shd w:val="clear" w:color="auto" w:fill="auto"/>
            <w:tcMar>
              <w:top w:w="15" w:type="dxa"/>
              <w:left w:w="15" w:type="dxa"/>
              <w:right w:w="15" w:type="dxa"/>
            </w:tcMar>
            <w:vAlign w:val="center"/>
          </w:tcPr>
          <w:p w14:paraId="099870F2">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6F2CA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735" w:type="dxa"/>
            <w:vMerge w:val="continue"/>
            <w:shd w:val="clear" w:color="auto" w:fill="auto"/>
            <w:tcMar>
              <w:top w:w="15" w:type="dxa"/>
              <w:left w:w="15" w:type="dxa"/>
              <w:right w:w="15" w:type="dxa"/>
            </w:tcMar>
            <w:vAlign w:val="center"/>
          </w:tcPr>
          <w:p w14:paraId="473B0A10">
            <w:pPr>
              <w:jc w:val="center"/>
              <w:rPr>
                <w:rFonts w:hint="eastAsia" w:ascii="宋体" w:hAnsi="宋体" w:eastAsia="宋体" w:cs="宋体"/>
                <w:i w:val="0"/>
                <w:color w:val="000000"/>
                <w:sz w:val="20"/>
                <w:szCs w:val="20"/>
                <w:u w:val="none"/>
              </w:rPr>
            </w:pPr>
          </w:p>
        </w:tc>
        <w:tc>
          <w:tcPr>
            <w:tcW w:w="1738" w:type="dxa"/>
            <w:vMerge w:val="restart"/>
            <w:shd w:val="clear" w:color="auto" w:fill="auto"/>
            <w:tcMar>
              <w:top w:w="15" w:type="dxa"/>
              <w:left w:w="15" w:type="dxa"/>
              <w:right w:w="15" w:type="dxa"/>
            </w:tcMar>
            <w:vAlign w:val="center"/>
          </w:tcPr>
          <w:p w14:paraId="736C525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高压开关柜</w:t>
            </w:r>
          </w:p>
        </w:tc>
        <w:tc>
          <w:tcPr>
            <w:tcW w:w="3880" w:type="dxa"/>
            <w:shd w:val="clear" w:color="auto" w:fill="auto"/>
            <w:tcMar>
              <w:top w:w="15" w:type="dxa"/>
              <w:left w:w="15" w:type="dxa"/>
              <w:right w:w="15" w:type="dxa"/>
            </w:tcMar>
            <w:vAlign w:val="center"/>
          </w:tcPr>
          <w:p w14:paraId="4BCD237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6-10KV开关柜.定期试验</w:t>
            </w:r>
          </w:p>
        </w:tc>
        <w:tc>
          <w:tcPr>
            <w:tcW w:w="951" w:type="dxa"/>
            <w:shd w:val="clear" w:color="auto" w:fill="auto"/>
            <w:tcMar>
              <w:top w:w="15" w:type="dxa"/>
              <w:left w:w="15" w:type="dxa"/>
              <w:right w:w="15" w:type="dxa"/>
            </w:tcMar>
            <w:vAlign w:val="center"/>
          </w:tcPr>
          <w:p w14:paraId="5667967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55" w:type="dxa"/>
            <w:shd w:val="clear" w:color="auto" w:fill="auto"/>
            <w:tcMar>
              <w:top w:w="15" w:type="dxa"/>
              <w:left w:w="15" w:type="dxa"/>
              <w:right w:w="15" w:type="dxa"/>
            </w:tcMar>
            <w:vAlign w:val="center"/>
          </w:tcPr>
          <w:p w14:paraId="693E36A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714" w:type="dxa"/>
            <w:shd w:val="clear" w:color="auto" w:fill="auto"/>
            <w:tcMar>
              <w:top w:w="15" w:type="dxa"/>
              <w:left w:w="15" w:type="dxa"/>
              <w:right w:w="15" w:type="dxa"/>
            </w:tcMar>
            <w:vAlign w:val="center"/>
          </w:tcPr>
          <w:p w14:paraId="398EA82E">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15C12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735" w:type="dxa"/>
            <w:vMerge w:val="continue"/>
            <w:shd w:val="clear" w:color="auto" w:fill="auto"/>
            <w:tcMar>
              <w:top w:w="15" w:type="dxa"/>
              <w:left w:w="15" w:type="dxa"/>
              <w:right w:w="15" w:type="dxa"/>
            </w:tcMar>
            <w:vAlign w:val="center"/>
          </w:tcPr>
          <w:p w14:paraId="3613D3DB">
            <w:pPr>
              <w:jc w:val="center"/>
              <w:rPr>
                <w:rFonts w:hint="eastAsia" w:ascii="宋体" w:hAnsi="宋体" w:eastAsia="宋体" w:cs="宋体"/>
                <w:i w:val="0"/>
                <w:color w:val="000000"/>
                <w:sz w:val="20"/>
                <w:szCs w:val="20"/>
                <w:u w:val="none"/>
              </w:rPr>
            </w:pPr>
          </w:p>
        </w:tc>
        <w:tc>
          <w:tcPr>
            <w:tcW w:w="1738" w:type="dxa"/>
            <w:vMerge w:val="continue"/>
            <w:shd w:val="clear" w:color="auto" w:fill="auto"/>
            <w:tcMar>
              <w:top w:w="15" w:type="dxa"/>
              <w:left w:w="15" w:type="dxa"/>
              <w:right w:w="15" w:type="dxa"/>
            </w:tcMar>
            <w:vAlign w:val="center"/>
          </w:tcPr>
          <w:p w14:paraId="13255920">
            <w:pPr>
              <w:jc w:val="center"/>
              <w:rPr>
                <w:rFonts w:hint="eastAsia" w:ascii="宋体" w:hAnsi="宋体" w:eastAsia="宋体" w:cs="宋体"/>
                <w:i w:val="0"/>
                <w:color w:val="000000"/>
                <w:sz w:val="20"/>
                <w:szCs w:val="20"/>
                <w:u w:val="none"/>
              </w:rPr>
            </w:pPr>
          </w:p>
        </w:tc>
        <w:tc>
          <w:tcPr>
            <w:tcW w:w="3880" w:type="dxa"/>
            <w:shd w:val="clear" w:color="auto" w:fill="auto"/>
            <w:tcMar>
              <w:top w:w="15" w:type="dxa"/>
              <w:left w:w="15" w:type="dxa"/>
              <w:right w:w="15" w:type="dxa"/>
            </w:tcMar>
            <w:vAlign w:val="center"/>
          </w:tcPr>
          <w:p w14:paraId="10C3CC3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10-110kV继电保护定时限</w:t>
            </w:r>
          </w:p>
        </w:tc>
        <w:tc>
          <w:tcPr>
            <w:tcW w:w="951" w:type="dxa"/>
            <w:shd w:val="clear" w:color="auto" w:fill="auto"/>
            <w:tcMar>
              <w:top w:w="15" w:type="dxa"/>
              <w:left w:w="15" w:type="dxa"/>
              <w:right w:w="15" w:type="dxa"/>
            </w:tcMar>
            <w:vAlign w:val="center"/>
          </w:tcPr>
          <w:p w14:paraId="5DE1BD9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55" w:type="dxa"/>
            <w:shd w:val="clear" w:color="auto" w:fill="auto"/>
            <w:tcMar>
              <w:top w:w="15" w:type="dxa"/>
              <w:left w:w="15" w:type="dxa"/>
              <w:right w:w="15" w:type="dxa"/>
            </w:tcMar>
            <w:vAlign w:val="center"/>
          </w:tcPr>
          <w:p w14:paraId="2738D1F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714" w:type="dxa"/>
            <w:shd w:val="clear" w:color="auto" w:fill="auto"/>
            <w:tcMar>
              <w:top w:w="15" w:type="dxa"/>
              <w:left w:w="15" w:type="dxa"/>
              <w:right w:w="15" w:type="dxa"/>
            </w:tcMar>
            <w:vAlign w:val="center"/>
          </w:tcPr>
          <w:p w14:paraId="692F6923">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0962B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54" w:hRule="exact"/>
          <w:jc w:val="center"/>
        </w:trPr>
        <w:tc>
          <w:tcPr>
            <w:tcW w:w="735" w:type="dxa"/>
            <w:vMerge w:val="continue"/>
            <w:shd w:val="clear" w:color="auto" w:fill="auto"/>
            <w:tcMar>
              <w:top w:w="15" w:type="dxa"/>
              <w:left w:w="15" w:type="dxa"/>
              <w:right w:w="15" w:type="dxa"/>
            </w:tcMar>
            <w:vAlign w:val="center"/>
          </w:tcPr>
          <w:p w14:paraId="7DCB0B2D">
            <w:pPr>
              <w:jc w:val="center"/>
              <w:rPr>
                <w:rFonts w:hint="eastAsia" w:ascii="宋体" w:hAnsi="宋体" w:eastAsia="宋体" w:cs="宋体"/>
                <w:i w:val="0"/>
                <w:color w:val="000000"/>
                <w:sz w:val="20"/>
                <w:szCs w:val="20"/>
                <w:u w:val="none"/>
              </w:rPr>
            </w:pPr>
          </w:p>
        </w:tc>
        <w:tc>
          <w:tcPr>
            <w:tcW w:w="1738" w:type="dxa"/>
            <w:vMerge w:val="continue"/>
            <w:shd w:val="clear" w:color="auto" w:fill="auto"/>
            <w:tcMar>
              <w:top w:w="15" w:type="dxa"/>
              <w:left w:w="15" w:type="dxa"/>
              <w:right w:w="15" w:type="dxa"/>
            </w:tcMar>
            <w:vAlign w:val="center"/>
          </w:tcPr>
          <w:p w14:paraId="390A3F8B">
            <w:pPr>
              <w:jc w:val="center"/>
              <w:rPr>
                <w:rFonts w:hint="eastAsia" w:ascii="宋体" w:hAnsi="宋体" w:eastAsia="宋体" w:cs="宋体"/>
                <w:i w:val="0"/>
                <w:color w:val="000000"/>
                <w:sz w:val="20"/>
                <w:szCs w:val="20"/>
                <w:u w:val="none"/>
              </w:rPr>
            </w:pPr>
          </w:p>
        </w:tc>
        <w:tc>
          <w:tcPr>
            <w:tcW w:w="3880" w:type="dxa"/>
            <w:shd w:val="clear" w:color="auto" w:fill="auto"/>
            <w:tcMar>
              <w:top w:w="15" w:type="dxa"/>
              <w:left w:w="15" w:type="dxa"/>
              <w:right w:w="15" w:type="dxa"/>
            </w:tcMar>
            <w:vAlign w:val="center"/>
          </w:tcPr>
          <w:p w14:paraId="79EC2CB2">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10KV避雷器.定期试验</w:t>
            </w:r>
          </w:p>
        </w:tc>
        <w:tc>
          <w:tcPr>
            <w:tcW w:w="951" w:type="dxa"/>
            <w:shd w:val="clear" w:color="auto" w:fill="auto"/>
            <w:tcMar>
              <w:top w:w="15" w:type="dxa"/>
              <w:left w:w="15" w:type="dxa"/>
              <w:right w:w="15" w:type="dxa"/>
            </w:tcMar>
            <w:vAlign w:val="center"/>
          </w:tcPr>
          <w:p w14:paraId="410F4DFB">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只</w:t>
            </w:r>
          </w:p>
        </w:tc>
        <w:tc>
          <w:tcPr>
            <w:tcW w:w="855" w:type="dxa"/>
            <w:shd w:val="clear" w:color="auto" w:fill="auto"/>
            <w:tcMar>
              <w:top w:w="15" w:type="dxa"/>
              <w:left w:w="15" w:type="dxa"/>
              <w:right w:w="15" w:type="dxa"/>
            </w:tcMar>
            <w:vAlign w:val="center"/>
          </w:tcPr>
          <w:p w14:paraId="195D321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w:t>
            </w:r>
          </w:p>
        </w:tc>
        <w:tc>
          <w:tcPr>
            <w:tcW w:w="714" w:type="dxa"/>
            <w:shd w:val="clear" w:color="auto" w:fill="auto"/>
            <w:tcMar>
              <w:top w:w="15" w:type="dxa"/>
              <w:left w:w="15" w:type="dxa"/>
              <w:right w:w="15" w:type="dxa"/>
            </w:tcMar>
            <w:vAlign w:val="center"/>
          </w:tcPr>
          <w:p w14:paraId="7FFBFBCE">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6A1F1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735" w:type="dxa"/>
            <w:vMerge w:val="continue"/>
            <w:shd w:val="clear" w:color="auto" w:fill="auto"/>
            <w:tcMar>
              <w:top w:w="15" w:type="dxa"/>
              <w:left w:w="15" w:type="dxa"/>
              <w:right w:w="15" w:type="dxa"/>
            </w:tcMar>
            <w:vAlign w:val="center"/>
          </w:tcPr>
          <w:p w14:paraId="2BAD21D3">
            <w:pPr>
              <w:jc w:val="center"/>
              <w:rPr>
                <w:rFonts w:hint="eastAsia" w:ascii="宋体" w:hAnsi="宋体" w:eastAsia="宋体" w:cs="宋体"/>
                <w:i w:val="0"/>
                <w:color w:val="000000"/>
                <w:sz w:val="20"/>
                <w:szCs w:val="20"/>
                <w:u w:val="none"/>
              </w:rPr>
            </w:pPr>
          </w:p>
        </w:tc>
        <w:tc>
          <w:tcPr>
            <w:tcW w:w="1738" w:type="dxa"/>
            <w:vMerge w:val="continue"/>
            <w:shd w:val="clear" w:color="auto" w:fill="auto"/>
            <w:tcMar>
              <w:top w:w="15" w:type="dxa"/>
              <w:left w:w="15" w:type="dxa"/>
              <w:right w:w="15" w:type="dxa"/>
            </w:tcMar>
            <w:vAlign w:val="center"/>
          </w:tcPr>
          <w:p w14:paraId="23C716D5">
            <w:pPr>
              <w:jc w:val="center"/>
              <w:rPr>
                <w:rFonts w:hint="eastAsia" w:ascii="宋体" w:hAnsi="宋体" w:eastAsia="宋体" w:cs="宋体"/>
                <w:i w:val="0"/>
                <w:color w:val="000000"/>
                <w:sz w:val="20"/>
                <w:szCs w:val="20"/>
                <w:u w:val="none"/>
              </w:rPr>
            </w:pPr>
          </w:p>
        </w:tc>
        <w:tc>
          <w:tcPr>
            <w:tcW w:w="3880" w:type="dxa"/>
            <w:shd w:val="clear" w:color="auto" w:fill="auto"/>
            <w:tcMar>
              <w:top w:w="15" w:type="dxa"/>
              <w:left w:w="15" w:type="dxa"/>
              <w:right w:w="15" w:type="dxa"/>
            </w:tcMar>
            <w:vAlign w:val="center"/>
          </w:tcPr>
          <w:p w14:paraId="780355A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10KV配电站接地电阻测试(站).定期试验</w:t>
            </w:r>
          </w:p>
        </w:tc>
        <w:tc>
          <w:tcPr>
            <w:tcW w:w="951" w:type="dxa"/>
            <w:shd w:val="clear" w:color="auto" w:fill="auto"/>
            <w:tcMar>
              <w:top w:w="15" w:type="dxa"/>
              <w:left w:w="15" w:type="dxa"/>
              <w:right w:w="15" w:type="dxa"/>
            </w:tcMar>
            <w:vAlign w:val="center"/>
          </w:tcPr>
          <w:p w14:paraId="26721AF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55" w:type="dxa"/>
            <w:shd w:val="clear" w:color="auto" w:fill="auto"/>
            <w:tcMar>
              <w:top w:w="15" w:type="dxa"/>
              <w:left w:w="15" w:type="dxa"/>
              <w:right w:w="15" w:type="dxa"/>
            </w:tcMar>
            <w:vAlign w:val="center"/>
          </w:tcPr>
          <w:p w14:paraId="49EF59A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714" w:type="dxa"/>
            <w:shd w:val="clear" w:color="auto" w:fill="auto"/>
            <w:tcMar>
              <w:top w:w="15" w:type="dxa"/>
              <w:left w:w="15" w:type="dxa"/>
              <w:right w:w="15" w:type="dxa"/>
            </w:tcMar>
            <w:vAlign w:val="center"/>
          </w:tcPr>
          <w:p w14:paraId="650C2745">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2B413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72" w:hRule="atLeast"/>
          <w:jc w:val="center"/>
        </w:trPr>
        <w:tc>
          <w:tcPr>
            <w:tcW w:w="735" w:type="dxa"/>
            <w:vMerge w:val="continue"/>
            <w:shd w:val="clear" w:color="auto" w:fill="auto"/>
            <w:tcMar>
              <w:top w:w="15" w:type="dxa"/>
              <w:left w:w="15" w:type="dxa"/>
              <w:right w:w="15" w:type="dxa"/>
            </w:tcMar>
            <w:vAlign w:val="center"/>
          </w:tcPr>
          <w:p w14:paraId="2F299DA1">
            <w:pPr>
              <w:jc w:val="center"/>
              <w:rPr>
                <w:rFonts w:hint="eastAsia" w:ascii="宋体" w:hAnsi="宋体" w:eastAsia="宋体" w:cs="宋体"/>
                <w:i w:val="0"/>
                <w:color w:val="000000"/>
                <w:sz w:val="20"/>
                <w:szCs w:val="20"/>
                <w:u w:val="none"/>
              </w:rPr>
            </w:pPr>
          </w:p>
        </w:tc>
        <w:tc>
          <w:tcPr>
            <w:tcW w:w="1738" w:type="dxa"/>
            <w:vMerge w:val="restart"/>
            <w:shd w:val="clear" w:color="auto" w:fill="auto"/>
            <w:tcMar>
              <w:top w:w="15" w:type="dxa"/>
              <w:left w:w="15" w:type="dxa"/>
              <w:right w:w="15" w:type="dxa"/>
            </w:tcMar>
            <w:vAlign w:val="center"/>
          </w:tcPr>
          <w:p w14:paraId="772578B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电力变压器</w:t>
            </w:r>
          </w:p>
        </w:tc>
        <w:tc>
          <w:tcPr>
            <w:tcW w:w="3880" w:type="dxa"/>
            <w:shd w:val="clear" w:color="auto" w:fill="auto"/>
            <w:tcMar>
              <w:top w:w="15" w:type="dxa"/>
              <w:left w:w="15" w:type="dxa"/>
              <w:right w:w="15" w:type="dxa"/>
            </w:tcMar>
            <w:vAlign w:val="center"/>
          </w:tcPr>
          <w:p w14:paraId="78502CD9">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6-10KV电力变压器.定期试验</w:t>
            </w:r>
          </w:p>
        </w:tc>
        <w:tc>
          <w:tcPr>
            <w:tcW w:w="951" w:type="dxa"/>
            <w:shd w:val="clear" w:color="auto" w:fill="auto"/>
            <w:tcMar>
              <w:top w:w="15" w:type="dxa"/>
              <w:left w:w="15" w:type="dxa"/>
              <w:right w:w="15" w:type="dxa"/>
            </w:tcMar>
            <w:vAlign w:val="center"/>
          </w:tcPr>
          <w:p w14:paraId="3EE6111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55" w:type="dxa"/>
            <w:shd w:val="clear" w:color="auto" w:fill="auto"/>
            <w:tcMar>
              <w:top w:w="15" w:type="dxa"/>
              <w:left w:w="15" w:type="dxa"/>
              <w:right w:w="15" w:type="dxa"/>
            </w:tcMar>
            <w:vAlign w:val="center"/>
          </w:tcPr>
          <w:p w14:paraId="7F1B984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714" w:type="dxa"/>
            <w:shd w:val="clear" w:color="auto" w:fill="auto"/>
            <w:tcMar>
              <w:top w:w="15" w:type="dxa"/>
              <w:left w:w="15" w:type="dxa"/>
              <w:right w:w="15" w:type="dxa"/>
            </w:tcMar>
            <w:vAlign w:val="center"/>
          </w:tcPr>
          <w:p w14:paraId="562B148B">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13CC2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jc w:val="center"/>
        </w:trPr>
        <w:tc>
          <w:tcPr>
            <w:tcW w:w="735" w:type="dxa"/>
            <w:vMerge w:val="continue"/>
            <w:shd w:val="clear" w:color="auto" w:fill="auto"/>
            <w:tcMar>
              <w:top w:w="15" w:type="dxa"/>
              <w:left w:w="15" w:type="dxa"/>
              <w:right w:w="15" w:type="dxa"/>
            </w:tcMar>
            <w:vAlign w:val="center"/>
          </w:tcPr>
          <w:p w14:paraId="6595A660">
            <w:pPr>
              <w:jc w:val="center"/>
              <w:rPr>
                <w:rFonts w:hint="eastAsia" w:ascii="宋体" w:hAnsi="宋体" w:eastAsia="宋体" w:cs="宋体"/>
                <w:i w:val="0"/>
                <w:color w:val="000000"/>
                <w:sz w:val="20"/>
                <w:szCs w:val="20"/>
                <w:u w:val="none"/>
              </w:rPr>
            </w:pPr>
          </w:p>
        </w:tc>
        <w:tc>
          <w:tcPr>
            <w:tcW w:w="1738" w:type="dxa"/>
            <w:vMerge w:val="continue"/>
            <w:shd w:val="clear" w:color="auto" w:fill="auto"/>
            <w:tcMar>
              <w:top w:w="15" w:type="dxa"/>
              <w:left w:w="15" w:type="dxa"/>
              <w:right w:w="15" w:type="dxa"/>
            </w:tcMar>
            <w:vAlign w:val="center"/>
          </w:tcPr>
          <w:p w14:paraId="1964665B">
            <w:pPr>
              <w:jc w:val="center"/>
              <w:rPr>
                <w:rFonts w:hint="eastAsia" w:ascii="宋体" w:hAnsi="宋体" w:eastAsia="宋体" w:cs="宋体"/>
                <w:i w:val="0"/>
                <w:color w:val="000000"/>
                <w:sz w:val="20"/>
                <w:szCs w:val="20"/>
                <w:u w:val="none"/>
              </w:rPr>
            </w:pPr>
          </w:p>
        </w:tc>
        <w:tc>
          <w:tcPr>
            <w:tcW w:w="3880" w:type="dxa"/>
            <w:shd w:val="clear" w:color="auto" w:fill="auto"/>
            <w:tcMar>
              <w:top w:w="15" w:type="dxa"/>
              <w:left w:w="15" w:type="dxa"/>
              <w:right w:w="15" w:type="dxa"/>
            </w:tcMar>
            <w:vAlign w:val="center"/>
          </w:tcPr>
          <w:p w14:paraId="794528F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10KV配电站接地电阻测试(站).定期试验</w:t>
            </w:r>
          </w:p>
        </w:tc>
        <w:tc>
          <w:tcPr>
            <w:tcW w:w="951" w:type="dxa"/>
            <w:shd w:val="clear" w:color="auto" w:fill="auto"/>
            <w:tcMar>
              <w:top w:w="15" w:type="dxa"/>
              <w:left w:w="15" w:type="dxa"/>
              <w:right w:w="15" w:type="dxa"/>
            </w:tcMar>
            <w:vAlign w:val="center"/>
          </w:tcPr>
          <w:p w14:paraId="030084D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55" w:type="dxa"/>
            <w:shd w:val="clear" w:color="auto" w:fill="auto"/>
            <w:tcMar>
              <w:top w:w="15" w:type="dxa"/>
              <w:left w:w="15" w:type="dxa"/>
              <w:right w:w="15" w:type="dxa"/>
            </w:tcMar>
            <w:vAlign w:val="center"/>
          </w:tcPr>
          <w:p w14:paraId="08D0570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714" w:type="dxa"/>
            <w:shd w:val="clear" w:color="auto" w:fill="auto"/>
            <w:tcMar>
              <w:top w:w="15" w:type="dxa"/>
              <w:left w:w="15" w:type="dxa"/>
              <w:right w:w="15" w:type="dxa"/>
            </w:tcMar>
            <w:vAlign w:val="center"/>
          </w:tcPr>
          <w:p w14:paraId="7064A15B">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2FFFD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jc w:val="center"/>
        </w:trPr>
        <w:tc>
          <w:tcPr>
            <w:tcW w:w="735" w:type="dxa"/>
            <w:vMerge w:val="continue"/>
            <w:shd w:val="clear" w:color="auto" w:fill="auto"/>
            <w:tcMar>
              <w:top w:w="15" w:type="dxa"/>
              <w:left w:w="15" w:type="dxa"/>
              <w:right w:w="15" w:type="dxa"/>
            </w:tcMar>
            <w:vAlign w:val="center"/>
          </w:tcPr>
          <w:p w14:paraId="3C9CAD86">
            <w:pPr>
              <w:jc w:val="center"/>
              <w:rPr>
                <w:rFonts w:hint="eastAsia" w:ascii="宋体" w:hAnsi="宋体" w:eastAsia="宋体" w:cs="宋体"/>
                <w:i w:val="0"/>
                <w:color w:val="000000"/>
                <w:sz w:val="20"/>
                <w:szCs w:val="20"/>
                <w:u w:val="none"/>
              </w:rPr>
            </w:pPr>
          </w:p>
        </w:tc>
        <w:tc>
          <w:tcPr>
            <w:tcW w:w="1738" w:type="dxa"/>
            <w:shd w:val="clear" w:color="auto" w:fill="auto"/>
            <w:tcMar>
              <w:top w:w="15" w:type="dxa"/>
              <w:left w:w="15" w:type="dxa"/>
              <w:right w:w="15" w:type="dxa"/>
            </w:tcMar>
            <w:vAlign w:val="center"/>
          </w:tcPr>
          <w:p w14:paraId="2D22A01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直流屏</w:t>
            </w:r>
          </w:p>
        </w:tc>
        <w:tc>
          <w:tcPr>
            <w:tcW w:w="3880" w:type="dxa"/>
            <w:shd w:val="clear" w:color="auto" w:fill="auto"/>
            <w:tcMar>
              <w:top w:w="15" w:type="dxa"/>
              <w:left w:w="15" w:type="dxa"/>
              <w:right w:w="15" w:type="dxa"/>
            </w:tcMar>
            <w:vAlign w:val="center"/>
          </w:tcPr>
          <w:p w14:paraId="6CCE833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柜内清扫及关键点螺栓紧固</w:t>
            </w:r>
          </w:p>
        </w:tc>
        <w:tc>
          <w:tcPr>
            <w:tcW w:w="951" w:type="dxa"/>
            <w:shd w:val="clear" w:color="auto" w:fill="auto"/>
            <w:tcMar>
              <w:top w:w="15" w:type="dxa"/>
              <w:left w:w="15" w:type="dxa"/>
              <w:right w:w="15" w:type="dxa"/>
            </w:tcMar>
            <w:vAlign w:val="center"/>
          </w:tcPr>
          <w:p w14:paraId="46B1D89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55" w:type="dxa"/>
            <w:shd w:val="clear" w:color="auto" w:fill="auto"/>
            <w:tcMar>
              <w:top w:w="15" w:type="dxa"/>
              <w:left w:w="15" w:type="dxa"/>
              <w:right w:w="15" w:type="dxa"/>
            </w:tcMar>
            <w:vAlign w:val="center"/>
          </w:tcPr>
          <w:p w14:paraId="3BA9803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714" w:type="dxa"/>
            <w:shd w:val="clear" w:color="auto" w:fill="auto"/>
            <w:tcMar>
              <w:top w:w="15" w:type="dxa"/>
              <w:left w:w="15" w:type="dxa"/>
              <w:right w:w="15" w:type="dxa"/>
            </w:tcMar>
            <w:vAlign w:val="center"/>
          </w:tcPr>
          <w:p w14:paraId="25E74626">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41AAD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72" w:hRule="atLeast"/>
          <w:jc w:val="center"/>
        </w:trPr>
        <w:tc>
          <w:tcPr>
            <w:tcW w:w="735" w:type="dxa"/>
            <w:vMerge w:val="continue"/>
            <w:shd w:val="clear" w:color="auto" w:fill="auto"/>
            <w:tcMar>
              <w:top w:w="15" w:type="dxa"/>
              <w:left w:w="15" w:type="dxa"/>
              <w:right w:w="15" w:type="dxa"/>
            </w:tcMar>
            <w:vAlign w:val="center"/>
          </w:tcPr>
          <w:p w14:paraId="384D0456">
            <w:pPr>
              <w:jc w:val="center"/>
              <w:rPr>
                <w:rFonts w:hint="eastAsia" w:ascii="宋体" w:hAnsi="宋体" w:eastAsia="宋体" w:cs="宋体"/>
                <w:i w:val="0"/>
                <w:color w:val="000000"/>
                <w:sz w:val="20"/>
                <w:szCs w:val="20"/>
                <w:u w:val="none"/>
              </w:rPr>
            </w:pPr>
          </w:p>
        </w:tc>
        <w:tc>
          <w:tcPr>
            <w:tcW w:w="1738" w:type="dxa"/>
            <w:shd w:val="clear" w:color="auto" w:fill="auto"/>
            <w:tcMar>
              <w:top w:w="15" w:type="dxa"/>
              <w:left w:w="15" w:type="dxa"/>
              <w:right w:w="15" w:type="dxa"/>
            </w:tcMar>
            <w:vAlign w:val="center"/>
          </w:tcPr>
          <w:p w14:paraId="4B43B1F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低压开关柜</w:t>
            </w:r>
          </w:p>
        </w:tc>
        <w:tc>
          <w:tcPr>
            <w:tcW w:w="3880" w:type="dxa"/>
            <w:shd w:val="clear" w:color="auto" w:fill="auto"/>
            <w:tcMar>
              <w:top w:w="15" w:type="dxa"/>
              <w:left w:w="15" w:type="dxa"/>
              <w:right w:w="15" w:type="dxa"/>
            </w:tcMar>
            <w:vAlign w:val="center"/>
          </w:tcPr>
          <w:p w14:paraId="14E2148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柜内清扫及关键点螺栓紧固</w:t>
            </w:r>
          </w:p>
        </w:tc>
        <w:tc>
          <w:tcPr>
            <w:tcW w:w="951" w:type="dxa"/>
            <w:shd w:val="clear" w:color="auto" w:fill="auto"/>
            <w:tcMar>
              <w:top w:w="15" w:type="dxa"/>
              <w:left w:w="15" w:type="dxa"/>
              <w:right w:w="15" w:type="dxa"/>
            </w:tcMar>
            <w:vAlign w:val="center"/>
          </w:tcPr>
          <w:p w14:paraId="3D92D9B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55" w:type="dxa"/>
            <w:shd w:val="clear" w:color="auto" w:fill="auto"/>
            <w:tcMar>
              <w:top w:w="15" w:type="dxa"/>
              <w:left w:w="15" w:type="dxa"/>
              <w:right w:w="15" w:type="dxa"/>
            </w:tcMar>
            <w:vAlign w:val="center"/>
          </w:tcPr>
          <w:p w14:paraId="300C8DE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714" w:type="dxa"/>
            <w:shd w:val="clear" w:color="auto" w:fill="auto"/>
            <w:tcMar>
              <w:top w:w="15" w:type="dxa"/>
              <w:left w:w="15" w:type="dxa"/>
              <w:right w:w="15" w:type="dxa"/>
            </w:tcMar>
            <w:vAlign w:val="center"/>
          </w:tcPr>
          <w:p w14:paraId="0406FF3C">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39A0E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jc w:val="center"/>
        </w:trPr>
        <w:tc>
          <w:tcPr>
            <w:tcW w:w="735" w:type="dxa"/>
            <w:vMerge w:val="continue"/>
            <w:shd w:val="clear" w:color="auto" w:fill="auto"/>
            <w:tcMar>
              <w:top w:w="15" w:type="dxa"/>
              <w:left w:w="15" w:type="dxa"/>
              <w:right w:w="15" w:type="dxa"/>
            </w:tcMar>
            <w:vAlign w:val="center"/>
          </w:tcPr>
          <w:p w14:paraId="46C53F97">
            <w:pPr>
              <w:jc w:val="center"/>
              <w:rPr>
                <w:rFonts w:hint="eastAsia" w:ascii="宋体" w:hAnsi="宋体" w:eastAsia="宋体" w:cs="宋体"/>
                <w:i w:val="0"/>
                <w:color w:val="000000"/>
                <w:sz w:val="20"/>
                <w:szCs w:val="20"/>
                <w:u w:val="none"/>
              </w:rPr>
            </w:pPr>
          </w:p>
        </w:tc>
        <w:tc>
          <w:tcPr>
            <w:tcW w:w="1738" w:type="dxa"/>
            <w:vMerge w:val="restart"/>
            <w:shd w:val="clear" w:color="auto" w:fill="auto"/>
            <w:tcMar>
              <w:top w:w="15" w:type="dxa"/>
              <w:left w:w="15" w:type="dxa"/>
              <w:right w:w="15" w:type="dxa"/>
            </w:tcMar>
            <w:vAlign w:val="center"/>
          </w:tcPr>
          <w:p w14:paraId="6D34AF3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工器具年检</w:t>
            </w:r>
          </w:p>
        </w:tc>
        <w:tc>
          <w:tcPr>
            <w:tcW w:w="3880" w:type="dxa"/>
            <w:shd w:val="clear" w:color="auto" w:fill="auto"/>
            <w:tcMar>
              <w:top w:w="15" w:type="dxa"/>
              <w:left w:w="15" w:type="dxa"/>
              <w:right w:w="15" w:type="dxa"/>
            </w:tcMar>
            <w:vAlign w:val="center"/>
          </w:tcPr>
          <w:p w14:paraId="751BCF5A">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绝缘手套年检</w:t>
            </w:r>
          </w:p>
        </w:tc>
        <w:tc>
          <w:tcPr>
            <w:tcW w:w="951" w:type="dxa"/>
            <w:shd w:val="clear" w:color="auto" w:fill="auto"/>
            <w:tcMar>
              <w:top w:w="15" w:type="dxa"/>
              <w:left w:w="15" w:type="dxa"/>
              <w:right w:w="15" w:type="dxa"/>
            </w:tcMar>
            <w:vAlign w:val="center"/>
          </w:tcPr>
          <w:p w14:paraId="3E26C89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w:t>
            </w:r>
          </w:p>
        </w:tc>
        <w:tc>
          <w:tcPr>
            <w:tcW w:w="855" w:type="dxa"/>
            <w:shd w:val="clear" w:color="auto" w:fill="auto"/>
            <w:tcMar>
              <w:top w:w="15" w:type="dxa"/>
              <w:left w:w="15" w:type="dxa"/>
              <w:right w:w="15" w:type="dxa"/>
            </w:tcMar>
            <w:vAlign w:val="center"/>
          </w:tcPr>
          <w:p w14:paraId="2CE04DA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714" w:type="dxa"/>
            <w:shd w:val="clear" w:color="auto" w:fill="auto"/>
            <w:tcMar>
              <w:top w:w="15" w:type="dxa"/>
              <w:left w:w="15" w:type="dxa"/>
              <w:right w:w="15" w:type="dxa"/>
            </w:tcMar>
            <w:vAlign w:val="center"/>
          </w:tcPr>
          <w:p w14:paraId="2580F1E2">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44F2F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472" w:hRule="atLeast"/>
          <w:jc w:val="center"/>
        </w:trPr>
        <w:tc>
          <w:tcPr>
            <w:tcW w:w="735" w:type="dxa"/>
            <w:vMerge w:val="continue"/>
            <w:shd w:val="clear" w:color="auto" w:fill="auto"/>
            <w:tcMar>
              <w:top w:w="15" w:type="dxa"/>
              <w:left w:w="15" w:type="dxa"/>
              <w:right w:w="15" w:type="dxa"/>
            </w:tcMar>
            <w:vAlign w:val="center"/>
          </w:tcPr>
          <w:p w14:paraId="369D0AF8">
            <w:pPr>
              <w:jc w:val="center"/>
              <w:rPr>
                <w:rFonts w:hint="eastAsia" w:ascii="宋体" w:hAnsi="宋体" w:eastAsia="宋体" w:cs="宋体"/>
                <w:i w:val="0"/>
                <w:color w:val="000000"/>
                <w:sz w:val="20"/>
                <w:szCs w:val="20"/>
                <w:u w:val="none"/>
              </w:rPr>
            </w:pPr>
          </w:p>
        </w:tc>
        <w:tc>
          <w:tcPr>
            <w:tcW w:w="1738" w:type="dxa"/>
            <w:vMerge w:val="continue"/>
            <w:shd w:val="clear" w:color="auto" w:fill="auto"/>
            <w:tcMar>
              <w:top w:w="15" w:type="dxa"/>
              <w:left w:w="15" w:type="dxa"/>
              <w:right w:w="15" w:type="dxa"/>
            </w:tcMar>
            <w:vAlign w:val="center"/>
          </w:tcPr>
          <w:p w14:paraId="3A8DD450">
            <w:pPr>
              <w:jc w:val="center"/>
              <w:rPr>
                <w:rFonts w:hint="eastAsia" w:ascii="宋体" w:hAnsi="宋体" w:eastAsia="宋体" w:cs="宋体"/>
                <w:i w:val="0"/>
                <w:color w:val="000000"/>
                <w:sz w:val="20"/>
                <w:szCs w:val="20"/>
                <w:u w:val="none"/>
              </w:rPr>
            </w:pPr>
          </w:p>
        </w:tc>
        <w:tc>
          <w:tcPr>
            <w:tcW w:w="3880" w:type="dxa"/>
            <w:shd w:val="clear" w:color="auto" w:fill="auto"/>
            <w:tcMar>
              <w:top w:w="15" w:type="dxa"/>
              <w:left w:w="15" w:type="dxa"/>
              <w:right w:w="15" w:type="dxa"/>
            </w:tcMar>
            <w:vAlign w:val="center"/>
          </w:tcPr>
          <w:p w14:paraId="0354C98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绝缘靴年检</w:t>
            </w:r>
          </w:p>
        </w:tc>
        <w:tc>
          <w:tcPr>
            <w:tcW w:w="951" w:type="dxa"/>
            <w:shd w:val="clear" w:color="auto" w:fill="auto"/>
            <w:tcMar>
              <w:top w:w="15" w:type="dxa"/>
              <w:left w:w="15" w:type="dxa"/>
              <w:right w:w="15" w:type="dxa"/>
            </w:tcMar>
            <w:vAlign w:val="center"/>
          </w:tcPr>
          <w:p w14:paraId="0CD92E5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w:t>
            </w:r>
          </w:p>
        </w:tc>
        <w:tc>
          <w:tcPr>
            <w:tcW w:w="855" w:type="dxa"/>
            <w:shd w:val="clear" w:color="auto" w:fill="auto"/>
            <w:tcMar>
              <w:top w:w="15" w:type="dxa"/>
              <w:left w:w="15" w:type="dxa"/>
              <w:right w:w="15" w:type="dxa"/>
            </w:tcMar>
            <w:vAlign w:val="center"/>
          </w:tcPr>
          <w:p w14:paraId="3E4D9AC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714" w:type="dxa"/>
            <w:shd w:val="clear" w:color="auto" w:fill="auto"/>
            <w:tcMar>
              <w:top w:w="15" w:type="dxa"/>
              <w:left w:w="15" w:type="dxa"/>
              <w:right w:w="15" w:type="dxa"/>
            </w:tcMar>
            <w:vAlign w:val="center"/>
          </w:tcPr>
          <w:p w14:paraId="4B7FE63A">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7ACC9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jc w:val="center"/>
        </w:trPr>
        <w:tc>
          <w:tcPr>
            <w:tcW w:w="735" w:type="dxa"/>
            <w:vMerge w:val="continue"/>
            <w:shd w:val="clear" w:color="auto" w:fill="auto"/>
            <w:tcMar>
              <w:top w:w="15" w:type="dxa"/>
              <w:left w:w="15" w:type="dxa"/>
              <w:right w:w="15" w:type="dxa"/>
            </w:tcMar>
            <w:vAlign w:val="center"/>
          </w:tcPr>
          <w:p w14:paraId="287B1649">
            <w:pPr>
              <w:jc w:val="center"/>
              <w:rPr>
                <w:rFonts w:hint="eastAsia" w:ascii="宋体" w:hAnsi="宋体" w:eastAsia="宋体" w:cs="宋体"/>
                <w:i w:val="0"/>
                <w:color w:val="000000"/>
                <w:sz w:val="20"/>
                <w:szCs w:val="20"/>
                <w:u w:val="none"/>
              </w:rPr>
            </w:pPr>
          </w:p>
        </w:tc>
        <w:tc>
          <w:tcPr>
            <w:tcW w:w="1738" w:type="dxa"/>
            <w:vMerge w:val="continue"/>
            <w:shd w:val="clear" w:color="auto" w:fill="auto"/>
            <w:tcMar>
              <w:top w:w="15" w:type="dxa"/>
              <w:left w:w="15" w:type="dxa"/>
              <w:right w:w="15" w:type="dxa"/>
            </w:tcMar>
            <w:vAlign w:val="center"/>
          </w:tcPr>
          <w:p w14:paraId="733E818C">
            <w:pPr>
              <w:jc w:val="center"/>
              <w:rPr>
                <w:rFonts w:hint="eastAsia" w:ascii="宋体" w:hAnsi="宋体" w:eastAsia="宋体" w:cs="宋体"/>
                <w:i w:val="0"/>
                <w:color w:val="000000"/>
                <w:sz w:val="20"/>
                <w:szCs w:val="20"/>
                <w:u w:val="none"/>
              </w:rPr>
            </w:pPr>
          </w:p>
        </w:tc>
        <w:tc>
          <w:tcPr>
            <w:tcW w:w="3880" w:type="dxa"/>
            <w:shd w:val="clear" w:color="auto" w:fill="auto"/>
            <w:tcMar>
              <w:top w:w="15" w:type="dxa"/>
              <w:left w:w="15" w:type="dxa"/>
              <w:right w:w="15" w:type="dxa"/>
            </w:tcMar>
            <w:vAlign w:val="center"/>
          </w:tcPr>
          <w:p w14:paraId="607AF34A">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验电器年检</w:t>
            </w:r>
          </w:p>
        </w:tc>
        <w:tc>
          <w:tcPr>
            <w:tcW w:w="951" w:type="dxa"/>
            <w:shd w:val="clear" w:color="auto" w:fill="auto"/>
            <w:tcMar>
              <w:top w:w="15" w:type="dxa"/>
              <w:left w:w="15" w:type="dxa"/>
              <w:right w:w="15" w:type="dxa"/>
            </w:tcMar>
            <w:vAlign w:val="center"/>
          </w:tcPr>
          <w:p w14:paraId="561E03B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双</w:t>
            </w:r>
          </w:p>
        </w:tc>
        <w:tc>
          <w:tcPr>
            <w:tcW w:w="855" w:type="dxa"/>
            <w:shd w:val="clear" w:color="auto" w:fill="auto"/>
            <w:tcMar>
              <w:top w:w="15" w:type="dxa"/>
              <w:left w:w="15" w:type="dxa"/>
              <w:right w:w="15" w:type="dxa"/>
            </w:tcMar>
            <w:vAlign w:val="center"/>
          </w:tcPr>
          <w:p w14:paraId="7561CFAB">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714" w:type="dxa"/>
            <w:shd w:val="clear" w:color="auto" w:fill="auto"/>
            <w:tcMar>
              <w:top w:w="15" w:type="dxa"/>
              <w:left w:w="15" w:type="dxa"/>
              <w:right w:w="15" w:type="dxa"/>
            </w:tcMar>
            <w:vAlign w:val="center"/>
          </w:tcPr>
          <w:p w14:paraId="287F8A8D">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449E5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jc w:val="center"/>
        </w:trPr>
        <w:tc>
          <w:tcPr>
            <w:tcW w:w="735" w:type="dxa"/>
            <w:vMerge w:val="continue"/>
            <w:shd w:val="clear" w:color="auto" w:fill="auto"/>
            <w:tcMar>
              <w:top w:w="15" w:type="dxa"/>
              <w:left w:w="15" w:type="dxa"/>
              <w:right w:w="15" w:type="dxa"/>
            </w:tcMar>
            <w:vAlign w:val="center"/>
          </w:tcPr>
          <w:p w14:paraId="1BE85E4B">
            <w:pPr>
              <w:jc w:val="center"/>
              <w:rPr>
                <w:rFonts w:hint="eastAsia" w:ascii="宋体" w:hAnsi="宋体" w:eastAsia="宋体" w:cs="宋体"/>
                <w:i w:val="0"/>
                <w:color w:val="000000"/>
                <w:sz w:val="20"/>
                <w:szCs w:val="20"/>
                <w:u w:val="none"/>
              </w:rPr>
            </w:pPr>
          </w:p>
        </w:tc>
        <w:tc>
          <w:tcPr>
            <w:tcW w:w="1738" w:type="dxa"/>
            <w:vMerge w:val="continue"/>
            <w:shd w:val="clear" w:color="auto" w:fill="auto"/>
            <w:tcMar>
              <w:top w:w="15" w:type="dxa"/>
              <w:left w:w="15" w:type="dxa"/>
              <w:right w:w="15" w:type="dxa"/>
            </w:tcMar>
            <w:vAlign w:val="center"/>
          </w:tcPr>
          <w:p w14:paraId="1BABE4CC">
            <w:pPr>
              <w:jc w:val="center"/>
              <w:rPr>
                <w:rFonts w:hint="eastAsia" w:ascii="宋体" w:hAnsi="宋体" w:eastAsia="宋体" w:cs="宋体"/>
                <w:i w:val="0"/>
                <w:color w:val="000000"/>
                <w:sz w:val="20"/>
                <w:szCs w:val="20"/>
                <w:u w:val="none"/>
              </w:rPr>
            </w:pPr>
          </w:p>
        </w:tc>
        <w:tc>
          <w:tcPr>
            <w:tcW w:w="3880" w:type="dxa"/>
            <w:shd w:val="clear" w:color="auto" w:fill="auto"/>
            <w:tcMar>
              <w:top w:w="15" w:type="dxa"/>
              <w:left w:w="15" w:type="dxa"/>
              <w:right w:w="15" w:type="dxa"/>
            </w:tcMar>
            <w:vAlign w:val="center"/>
          </w:tcPr>
          <w:p w14:paraId="0C513DE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接地线年检</w:t>
            </w:r>
          </w:p>
        </w:tc>
        <w:tc>
          <w:tcPr>
            <w:tcW w:w="951" w:type="dxa"/>
            <w:shd w:val="clear" w:color="auto" w:fill="auto"/>
            <w:tcMar>
              <w:top w:w="15" w:type="dxa"/>
              <w:left w:w="15" w:type="dxa"/>
              <w:right w:w="15" w:type="dxa"/>
            </w:tcMar>
            <w:vAlign w:val="center"/>
          </w:tcPr>
          <w:p w14:paraId="391C484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付</w:t>
            </w:r>
          </w:p>
        </w:tc>
        <w:tc>
          <w:tcPr>
            <w:tcW w:w="855" w:type="dxa"/>
            <w:shd w:val="clear" w:color="auto" w:fill="auto"/>
            <w:tcMar>
              <w:top w:w="15" w:type="dxa"/>
              <w:left w:w="15" w:type="dxa"/>
              <w:right w:w="15" w:type="dxa"/>
            </w:tcMar>
            <w:vAlign w:val="center"/>
          </w:tcPr>
          <w:p w14:paraId="09D8021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714" w:type="dxa"/>
            <w:shd w:val="clear" w:color="auto" w:fill="auto"/>
            <w:tcMar>
              <w:top w:w="15" w:type="dxa"/>
              <w:left w:w="15" w:type="dxa"/>
              <w:right w:w="15" w:type="dxa"/>
            </w:tcMar>
            <w:vAlign w:val="center"/>
          </w:tcPr>
          <w:p w14:paraId="2F16B952">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46F78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jc w:val="center"/>
        </w:trPr>
        <w:tc>
          <w:tcPr>
            <w:tcW w:w="735" w:type="dxa"/>
            <w:vMerge w:val="restart"/>
            <w:shd w:val="clear" w:color="auto" w:fill="auto"/>
            <w:tcMar>
              <w:top w:w="15" w:type="dxa"/>
              <w:left w:w="15" w:type="dxa"/>
              <w:right w:w="15" w:type="dxa"/>
            </w:tcMar>
            <w:vAlign w:val="center"/>
          </w:tcPr>
          <w:p w14:paraId="64858A8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箱变</w:t>
            </w:r>
          </w:p>
        </w:tc>
        <w:tc>
          <w:tcPr>
            <w:tcW w:w="1738" w:type="dxa"/>
            <w:shd w:val="clear" w:color="auto" w:fill="auto"/>
            <w:tcMar>
              <w:top w:w="15" w:type="dxa"/>
              <w:left w:w="15" w:type="dxa"/>
              <w:right w:w="15" w:type="dxa"/>
            </w:tcMar>
            <w:vAlign w:val="center"/>
          </w:tcPr>
          <w:p w14:paraId="54CB471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高压电缆</w:t>
            </w:r>
          </w:p>
        </w:tc>
        <w:tc>
          <w:tcPr>
            <w:tcW w:w="3880" w:type="dxa"/>
            <w:shd w:val="clear" w:color="auto" w:fill="auto"/>
            <w:tcMar>
              <w:top w:w="15" w:type="dxa"/>
              <w:left w:w="15" w:type="dxa"/>
              <w:right w:w="15" w:type="dxa"/>
            </w:tcMar>
            <w:vAlign w:val="center"/>
          </w:tcPr>
          <w:p w14:paraId="74D5E00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10KV电力预防性试验（站内）</w:t>
            </w:r>
          </w:p>
        </w:tc>
        <w:tc>
          <w:tcPr>
            <w:tcW w:w="951" w:type="dxa"/>
            <w:shd w:val="clear" w:color="auto" w:fill="auto"/>
            <w:tcMar>
              <w:top w:w="15" w:type="dxa"/>
              <w:left w:w="15" w:type="dxa"/>
              <w:right w:w="15" w:type="dxa"/>
            </w:tcMar>
            <w:vAlign w:val="center"/>
          </w:tcPr>
          <w:p w14:paraId="2294F23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根</w:t>
            </w:r>
          </w:p>
        </w:tc>
        <w:tc>
          <w:tcPr>
            <w:tcW w:w="855" w:type="dxa"/>
            <w:shd w:val="clear" w:color="auto" w:fill="auto"/>
            <w:tcMar>
              <w:top w:w="15" w:type="dxa"/>
              <w:left w:w="15" w:type="dxa"/>
              <w:right w:w="15" w:type="dxa"/>
            </w:tcMar>
            <w:vAlign w:val="center"/>
          </w:tcPr>
          <w:p w14:paraId="1831A70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714" w:type="dxa"/>
            <w:shd w:val="clear" w:color="auto" w:fill="auto"/>
            <w:tcMar>
              <w:top w:w="15" w:type="dxa"/>
              <w:left w:w="15" w:type="dxa"/>
              <w:right w:w="15" w:type="dxa"/>
            </w:tcMar>
            <w:vAlign w:val="center"/>
          </w:tcPr>
          <w:p w14:paraId="307ED09E">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39932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jc w:val="center"/>
        </w:trPr>
        <w:tc>
          <w:tcPr>
            <w:tcW w:w="735" w:type="dxa"/>
            <w:vMerge w:val="continue"/>
            <w:shd w:val="clear" w:color="auto" w:fill="auto"/>
            <w:tcMar>
              <w:top w:w="15" w:type="dxa"/>
              <w:left w:w="15" w:type="dxa"/>
              <w:right w:w="15" w:type="dxa"/>
            </w:tcMar>
            <w:vAlign w:val="center"/>
          </w:tcPr>
          <w:p w14:paraId="66383DC5">
            <w:pPr>
              <w:jc w:val="center"/>
              <w:rPr>
                <w:rFonts w:hint="eastAsia" w:ascii="宋体" w:hAnsi="宋体" w:eastAsia="宋体" w:cs="宋体"/>
                <w:i w:val="0"/>
                <w:color w:val="000000"/>
                <w:sz w:val="20"/>
                <w:szCs w:val="20"/>
                <w:u w:val="none"/>
              </w:rPr>
            </w:pPr>
          </w:p>
        </w:tc>
        <w:tc>
          <w:tcPr>
            <w:tcW w:w="1738" w:type="dxa"/>
            <w:vMerge w:val="restart"/>
            <w:shd w:val="clear" w:color="auto" w:fill="auto"/>
            <w:tcMar>
              <w:top w:w="15" w:type="dxa"/>
              <w:left w:w="15" w:type="dxa"/>
              <w:right w:w="15" w:type="dxa"/>
            </w:tcMar>
            <w:vAlign w:val="center"/>
          </w:tcPr>
          <w:p w14:paraId="0400B4C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高压开关柜</w:t>
            </w:r>
          </w:p>
        </w:tc>
        <w:tc>
          <w:tcPr>
            <w:tcW w:w="3880" w:type="dxa"/>
            <w:shd w:val="clear" w:color="auto" w:fill="auto"/>
            <w:tcMar>
              <w:top w:w="15" w:type="dxa"/>
              <w:left w:w="15" w:type="dxa"/>
              <w:right w:w="15" w:type="dxa"/>
            </w:tcMar>
            <w:vAlign w:val="center"/>
          </w:tcPr>
          <w:p w14:paraId="577EDB2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6-10KV开关柜.定期试验</w:t>
            </w:r>
          </w:p>
        </w:tc>
        <w:tc>
          <w:tcPr>
            <w:tcW w:w="951" w:type="dxa"/>
            <w:shd w:val="clear" w:color="auto" w:fill="auto"/>
            <w:tcMar>
              <w:top w:w="15" w:type="dxa"/>
              <w:left w:w="15" w:type="dxa"/>
              <w:right w:w="15" w:type="dxa"/>
            </w:tcMar>
            <w:vAlign w:val="center"/>
          </w:tcPr>
          <w:p w14:paraId="0B98492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55" w:type="dxa"/>
            <w:shd w:val="clear" w:color="auto" w:fill="auto"/>
            <w:tcMar>
              <w:top w:w="15" w:type="dxa"/>
              <w:left w:w="15" w:type="dxa"/>
              <w:right w:w="15" w:type="dxa"/>
            </w:tcMar>
            <w:vAlign w:val="center"/>
          </w:tcPr>
          <w:p w14:paraId="7404949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714" w:type="dxa"/>
            <w:shd w:val="clear" w:color="auto" w:fill="auto"/>
            <w:tcMar>
              <w:top w:w="15" w:type="dxa"/>
              <w:left w:w="15" w:type="dxa"/>
              <w:right w:w="15" w:type="dxa"/>
            </w:tcMar>
            <w:vAlign w:val="center"/>
          </w:tcPr>
          <w:p w14:paraId="7BDC7976">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02B81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jc w:val="center"/>
        </w:trPr>
        <w:tc>
          <w:tcPr>
            <w:tcW w:w="735" w:type="dxa"/>
            <w:vMerge w:val="continue"/>
            <w:shd w:val="clear" w:color="auto" w:fill="auto"/>
            <w:tcMar>
              <w:top w:w="15" w:type="dxa"/>
              <w:left w:w="15" w:type="dxa"/>
              <w:right w:w="15" w:type="dxa"/>
            </w:tcMar>
            <w:vAlign w:val="center"/>
          </w:tcPr>
          <w:p w14:paraId="076D5112">
            <w:pPr>
              <w:jc w:val="center"/>
              <w:rPr>
                <w:rFonts w:hint="eastAsia" w:ascii="宋体" w:hAnsi="宋体" w:eastAsia="宋体" w:cs="宋体"/>
                <w:i w:val="0"/>
                <w:color w:val="000000"/>
                <w:sz w:val="20"/>
                <w:szCs w:val="20"/>
                <w:u w:val="none"/>
              </w:rPr>
            </w:pPr>
          </w:p>
        </w:tc>
        <w:tc>
          <w:tcPr>
            <w:tcW w:w="1738" w:type="dxa"/>
            <w:vMerge w:val="continue"/>
            <w:shd w:val="clear" w:color="auto" w:fill="auto"/>
            <w:tcMar>
              <w:top w:w="15" w:type="dxa"/>
              <w:left w:w="15" w:type="dxa"/>
              <w:right w:w="15" w:type="dxa"/>
            </w:tcMar>
            <w:vAlign w:val="center"/>
          </w:tcPr>
          <w:p w14:paraId="74DA2233">
            <w:pPr>
              <w:jc w:val="center"/>
              <w:rPr>
                <w:rFonts w:hint="eastAsia" w:ascii="宋体" w:hAnsi="宋体" w:eastAsia="宋体" w:cs="宋体"/>
                <w:i w:val="0"/>
                <w:color w:val="000000"/>
                <w:sz w:val="20"/>
                <w:szCs w:val="20"/>
                <w:u w:val="none"/>
              </w:rPr>
            </w:pPr>
          </w:p>
        </w:tc>
        <w:tc>
          <w:tcPr>
            <w:tcW w:w="3880" w:type="dxa"/>
            <w:shd w:val="clear" w:color="auto" w:fill="auto"/>
            <w:tcMar>
              <w:top w:w="15" w:type="dxa"/>
              <w:left w:w="15" w:type="dxa"/>
              <w:right w:w="15" w:type="dxa"/>
            </w:tcMar>
            <w:vAlign w:val="center"/>
          </w:tcPr>
          <w:p w14:paraId="3F1D6CAA">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10KV避雷器.定期试验</w:t>
            </w:r>
          </w:p>
        </w:tc>
        <w:tc>
          <w:tcPr>
            <w:tcW w:w="951" w:type="dxa"/>
            <w:shd w:val="clear" w:color="auto" w:fill="auto"/>
            <w:tcMar>
              <w:top w:w="15" w:type="dxa"/>
              <w:left w:w="15" w:type="dxa"/>
              <w:right w:w="15" w:type="dxa"/>
            </w:tcMar>
            <w:vAlign w:val="center"/>
          </w:tcPr>
          <w:p w14:paraId="6042F17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只</w:t>
            </w:r>
          </w:p>
        </w:tc>
        <w:tc>
          <w:tcPr>
            <w:tcW w:w="855" w:type="dxa"/>
            <w:shd w:val="clear" w:color="auto" w:fill="auto"/>
            <w:tcMar>
              <w:top w:w="15" w:type="dxa"/>
              <w:left w:w="15" w:type="dxa"/>
              <w:right w:w="15" w:type="dxa"/>
            </w:tcMar>
            <w:vAlign w:val="center"/>
          </w:tcPr>
          <w:p w14:paraId="55174A4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w:t>
            </w:r>
          </w:p>
        </w:tc>
        <w:tc>
          <w:tcPr>
            <w:tcW w:w="714" w:type="dxa"/>
            <w:shd w:val="clear" w:color="auto" w:fill="auto"/>
            <w:tcMar>
              <w:top w:w="15" w:type="dxa"/>
              <w:left w:w="15" w:type="dxa"/>
              <w:right w:w="15" w:type="dxa"/>
            </w:tcMar>
            <w:vAlign w:val="center"/>
          </w:tcPr>
          <w:p w14:paraId="7BB1E634">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2BC84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jc w:val="center"/>
        </w:trPr>
        <w:tc>
          <w:tcPr>
            <w:tcW w:w="735" w:type="dxa"/>
            <w:vMerge w:val="continue"/>
            <w:shd w:val="clear" w:color="auto" w:fill="auto"/>
            <w:tcMar>
              <w:top w:w="15" w:type="dxa"/>
              <w:left w:w="15" w:type="dxa"/>
              <w:right w:w="15" w:type="dxa"/>
            </w:tcMar>
            <w:vAlign w:val="center"/>
          </w:tcPr>
          <w:p w14:paraId="2DD2956F">
            <w:pPr>
              <w:jc w:val="center"/>
              <w:rPr>
                <w:rFonts w:hint="eastAsia" w:ascii="宋体" w:hAnsi="宋体" w:eastAsia="宋体" w:cs="宋体"/>
                <w:i w:val="0"/>
                <w:color w:val="000000"/>
                <w:sz w:val="20"/>
                <w:szCs w:val="20"/>
                <w:u w:val="none"/>
              </w:rPr>
            </w:pPr>
          </w:p>
        </w:tc>
        <w:tc>
          <w:tcPr>
            <w:tcW w:w="1738" w:type="dxa"/>
            <w:vMerge w:val="continue"/>
            <w:shd w:val="clear" w:color="auto" w:fill="auto"/>
            <w:tcMar>
              <w:top w:w="15" w:type="dxa"/>
              <w:left w:w="15" w:type="dxa"/>
              <w:right w:w="15" w:type="dxa"/>
            </w:tcMar>
            <w:vAlign w:val="center"/>
          </w:tcPr>
          <w:p w14:paraId="5C582B5C">
            <w:pPr>
              <w:jc w:val="center"/>
              <w:rPr>
                <w:rFonts w:hint="eastAsia" w:ascii="宋体" w:hAnsi="宋体" w:eastAsia="宋体" w:cs="宋体"/>
                <w:i w:val="0"/>
                <w:color w:val="000000"/>
                <w:sz w:val="20"/>
                <w:szCs w:val="20"/>
                <w:u w:val="none"/>
              </w:rPr>
            </w:pPr>
          </w:p>
        </w:tc>
        <w:tc>
          <w:tcPr>
            <w:tcW w:w="3880" w:type="dxa"/>
            <w:shd w:val="clear" w:color="auto" w:fill="auto"/>
            <w:tcMar>
              <w:top w:w="15" w:type="dxa"/>
              <w:left w:w="15" w:type="dxa"/>
              <w:right w:w="15" w:type="dxa"/>
            </w:tcMar>
            <w:vAlign w:val="center"/>
          </w:tcPr>
          <w:p w14:paraId="44A2B56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10KV配电站接地电阻测试(站).定期试验</w:t>
            </w:r>
          </w:p>
        </w:tc>
        <w:tc>
          <w:tcPr>
            <w:tcW w:w="951" w:type="dxa"/>
            <w:shd w:val="clear" w:color="auto" w:fill="auto"/>
            <w:tcMar>
              <w:top w:w="15" w:type="dxa"/>
              <w:left w:w="15" w:type="dxa"/>
              <w:right w:w="15" w:type="dxa"/>
            </w:tcMar>
            <w:vAlign w:val="center"/>
          </w:tcPr>
          <w:p w14:paraId="7D14F7D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55" w:type="dxa"/>
            <w:shd w:val="clear" w:color="auto" w:fill="auto"/>
            <w:tcMar>
              <w:top w:w="15" w:type="dxa"/>
              <w:left w:w="15" w:type="dxa"/>
              <w:right w:w="15" w:type="dxa"/>
            </w:tcMar>
            <w:vAlign w:val="center"/>
          </w:tcPr>
          <w:p w14:paraId="166F791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714" w:type="dxa"/>
            <w:shd w:val="clear" w:color="auto" w:fill="auto"/>
            <w:tcMar>
              <w:top w:w="15" w:type="dxa"/>
              <w:left w:w="15" w:type="dxa"/>
              <w:right w:w="15" w:type="dxa"/>
            </w:tcMar>
            <w:vAlign w:val="center"/>
          </w:tcPr>
          <w:p w14:paraId="7A8B2E39">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63CA3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jc w:val="center"/>
        </w:trPr>
        <w:tc>
          <w:tcPr>
            <w:tcW w:w="735" w:type="dxa"/>
            <w:vMerge w:val="continue"/>
            <w:shd w:val="clear" w:color="auto" w:fill="auto"/>
            <w:tcMar>
              <w:top w:w="15" w:type="dxa"/>
              <w:left w:w="15" w:type="dxa"/>
              <w:right w:w="15" w:type="dxa"/>
            </w:tcMar>
            <w:vAlign w:val="center"/>
          </w:tcPr>
          <w:p w14:paraId="07BE961A">
            <w:pPr>
              <w:jc w:val="center"/>
              <w:rPr>
                <w:rFonts w:hint="eastAsia" w:ascii="宋体" w:hAnsi="宋体" w:eastAsia="宋体" w:cs="宋体"/>
                <w:i w:val="0"/>
                <w:color w:val="000000"/>
                <w:sz w:val="20"/>
                <w:szCs w:val="20"/>
                <w:u w:val="none"/>
              </w:rPr>
            </w:pPr>
          </w:p>
        </w:tc>
        <w:tc>
          <w:tcPr>
            <w:tcW w:w="1738" w:type="dxa"/>
            <w:vMerge w:val="restart"/>
            <w:shd w:val="clear" w:color="auto" w:fill="auto"/>
            <w:tcMar>
              <w:top w:w="15" w:type="dxa"/>
              <w:left w:w="15" w:type="dxa"/>
              <w:right w:w="15" w:type="dxa"/>
            </w:tcMar>
            <w:vAlign w:val="center"/>
          </w:tcPr>
          <w:p w14:paraId="3AAF93C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电力变压器</w:t>
            </w:r>
          </w:p>
        </w:tc>
        <w:tc>
          <w:tcPr>
            <w:tcW w:w="3880" w:type="dxa"/>
            <w:shd w:val="clear" w:color="auto" w:fill="auto"/>
            <w:tcMar>
              <w:top w:w="15" w:type="dxa"/>
              <w:left w:w="15" w:type="dxa"/>
              <w:right w:w="15" w:type="dxa"/>
            </w:tcMar>
            <w:vAlign w:val="center"/>
          </w:tcPr>
          <w:p w14:paraId="256B93AE">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6-10KV电力变压器.定期试验</w:t>
            </w:r>
          </w:p>
        </w:tc>
        <w:tc>
          <w:tcPr>
            <w:tcW w:w="951" w:type="dxa"/>
            <w:shd w:val="clear" w:color="auto" w:fill="auto"/>
            <w:tcMar>
              <w:top w:w="15" w:type="dxa"/>
              <w:left w:w="15" w:type="dxa"/>
              <w:right w:w="15" w:type="dxa"/>
            </w:tcMar>
            <w:vAlign w:val="center"/>
          </w:tcPr>
          <w:p w14:paraId="7971B52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55" w:type="dxa"/>
            <w:shd w:val="clear" w:color="auto" w:fill="auto"/>
            <w:tcMar>
              <w:top w:w="15" w:type="dxa"/>
              <w:left w:w="15" w:type="dxa"/>
              <w:right w:w="15" w:type="dxa"/>
            </w:tcMar>
            <w:vAlign w:val="center"/>
          </w:tcPr>
          <w:p w14:paraId="2E69606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714" w:type="dxa"/>
            <w:shd w:val="clear" w:color="auto" w:fill="auto"/>
            <w:tcMar>
              <w:top w:w="15" w:type="dxa"/>
              <w:left w:w="15" w:type="dxa"/>
              <w:right w:w="15" w:type="dxa"/>
            </w:tcMar>
            <w:vAlign w:val="center"/>
          </w:tcPr>
          <w:p w14:paraId="5B42164B">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40005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jc w:val="center"/>
        </w:trPr>
        <w:tc>
          <w:tcPr>
            <w:tcW w:w="735" w:type="dxa"/>
            <w:vMerge w:val="continue"/>
            <w:shd w:val="clear" w:color="auto" w:fill="auto"/>
            <w:tcMar>
              <w:top w:w="15" w:type="dxa"/>
              <w:left w:w="15" w:type="dxa"/>
              <w:right w:w="15" w:type="dxa"/>
            </w:tcMar>
            <w:vAlign w:val="center"/>
          </w:tcPr>
          <w:p w14:paraId="2DB65F1D">
            <w:pPr>
              <w:jc w:val="center"/>
              <w:rPr>
                <w:rFonts w:hint="eastAsia" w:ascii="宋体" w:hAnsi="宋体" w:eastAsia="宋体" w:cs="宋体"/>
                <w:i w:val="0"/>
                <w:color w:val="000000"/>
                <w:sz w:val="20"/>
                <w:szCs w:val="20"/>
                <w:u w:val="none"/>
              </w:rPr>
            </w:pPr>
          </w:p>
        </w:tc>
        <w:tc>
          <w:tcPr>
            <w:tcW w:w="1738" w:type="dxa"/>
            <w:vMerge w:val="continue"/>
            <w:shd w:val="clear" w:color="auto" w:fill="auto"/>
            <w:tcMar>
              <w:top w:w="15" w:type="dxa"/>
              <w:left w:w="15" w:type="dxa"/>
              <w:right w:w="15" w:type="dxa"/>
            </w:tcMar>
            <w:vAlign w:val="center"/>
          </w:tcPr>
          <w:p w14:paraId="3500A5D0">
            <w:pPr>
              <w:jc w:val="center"/>
              <w:rPr>
                <w:rFonts w:hint="eastAsia" w:ascii="宋体" w:hAnsi="宋体" w:eastAsia="宋体" w:cs="宋体"/>
                <w:i w:val="0"/>
                <w:color w:val="000000"/>
                <w:sz w:val="20"/>
                <w:szCs w:val="20"/>
                <w:u w:val="none"/>
              </w:rPr>
            </w:pPr>
          </w:p>
        </w:tc>
        <w:tc>
          <w:tcPr>
            <w:tcW w:w="3880" w:type="dxa"/>
            <w:shd w:val="clear" w:color="auto" w:fill="auto"/>
            <w:tcMar>
              <w:top w:w="15" w:type="dxa"/>
              <w:left w:w="15" w:type="dxa"/>
              <w:right w:w="15" w:type="dxa"/>
            </w:tcMar>
            <w:vAlign w:val="center"/>
          </w:tcPr>
          <w:p w14:paraId="6A8E8FB9">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10KV配电站接地电阻测试(站).定期试验</w:t>
            </w:r>
          </w:p>
        </w:tc>
        <w:tc>
          <w:tcPr>
            <w:tcW w:w="951" w:type="dxa"/>
            <w:shd w:val="clear" w:color="auto" w:fill="auto"/>
            <w:tcMar>
              <w:top w:w="15" w:type="dxa"/>
              <w:left w:w="15" w:type="dxa"/>
              <w:right w:w="15" w:type="dxa"/>
            </w:tcMar>
            <w:vAlign w:val="center"/>
          </w:tcPr>
          <w:p w14:paraId="72FD613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套</w:t>
            </w:r>
          </w:p>
        </w:tc>
        <w:tc>
          <w:tcPr>
            <w:tcW w:w="855" w:type="dxa"/>
            <w:shd w:val="clear" w:color="auto" w:fill="auto"/>
            <w:tcMar>
              <w:top w:w="15" w:type="dxa"/>
              <w:left w:w="15" w:type="dxa"/>
              <w:right w:w="15" w:type="dxa"/>
            </w:tcMar>
            <w:vAlign w:val="center"/>
          </w:tcPr>
          <w:p w14:paraId="40EA495B">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714" w:type="dxa"/>
            <w:shd w:val="clear" w:color="auto" w:fill="auto"/>
            <w:tcMar>
              <w:top w:w="15" w:type="dxa"/>
              <w:left w:w="15" w:type="dxa"/>
              <w:right w:w="15" w:type="dxa"/>
            </w:tcMar>
            <w:vAlign w:val="center"/>
          </w:tcPr>
          <w:p w14:paraId="1C546666">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5CC07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 w:hRule="atLeast"/>
          <w:jc w:val="center"/>
        </w:trPr>
        <w:tc>
          <w:tcPr>
            <w:tcW w:w="735" w:type="dxa"/>
            <w:vMerge w:val="continue"/>
            <w:shd w:val="clear" w:color="auto" w:fill="auto"/>
            <w:tcMar>
              <w:top w:w="15" w:type="dxa"/>
              <w:left w:w="15" w:type="dxa"/>
              <w:right w:w="15" w:type="dxa"/>
            </w:tcMar>
            <w:vAlign w:val="center"/>
          </w:tcPr>
          <w:p w14:paraId="5DBC01E6">
            <w:pPr>
              <w:jc w:val="center"/>
              <w:rPr>
                <w:rFonts w:hint="eastAsia" w:ascii="宋体" w:hAnsi="宋体" w:eastAsia="宋体" w:cs="宋体"/>
                <w:i w:val="0"/>
                <w:color w:val="000000"/>
                <w:sz w:val="20"/>
                <w:szCs w:val="20"/>
                <w:u w:val="none"/>
              </w:rPr>
            </w:pPr>
          </w:p>
        </w:tc>
        <w:tc>
          <w:tcPr>
            <w:tcW w:w="1738" w:type="dxa"/>
            <w:shd w:val="clear" w:color="auto" w:fill="auto"/>
            <w:tcMar>
              <w:top w:w="15" w:type="dxa"/>
              <w:left w:w="15" w:type="dxa"/>
              <w:right w:w="15" w:type="dxa"/>
            </w:tcMar>
            <w:vAlign w:val="center"/>
          </w:tcPr>
          <w:p w14:paraId="5EB5B3C6">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低压开关柜</w:t>
            </w:r>
          </w:p>
        </w:tc>
        <w:tc>
          <w:tcPr>
            <w:tcW w:w="3880" w:type="dxa"/>
            <w:shd w:val="clear" w:color="auto" w:fill="auto"/>
            <w:tcMar>
              <w:top w:w="15" w:type="dxa"/>
              <w:left w:w="15" w:type="dxa"/>
              <w:right w:w="15" w:type="dxa"/>
            </w:tcMar>
            <w:vAlign w:val="center"/>
          </w:tcPr>
          <w:p w14:paraId="62FD998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柜内清扫及关键点螺栓紧固</w:t>
            </w:r>
          </w:p>
        </w:tc>
        <w:tc>
          <w:tcPr>
            <w:tcW w:w="951" w:type="dxa"/>
            <w:shd w:val="clear" w:color="auto" w:fill="auto"/>
            <w:tcMar>
              <w:top w:w="15" w:type="dxa"/>
              <w:left w:w="15" w:type="dxa"/>
              <w:right w:w="15" w:type="dxa"/>
            </w:tcMar>
            <w:vAlign w:val="center"/>
          </w:tcPr>
          <w:p w14:paraId="1AAF9E7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w:t>
            </w:r>
          </w:p>
        </w:tc>
        <w:tc>
          <w:tcPr>
            <w:tcW w:w="855" w:type="dxa"/>
            <w:shd w:val="clear" w:color="auto" w:fill="auto"/>
            <w:tcMar>
              <w:top w:w="15" w:type="dxa"/>
              <w:left w:w="15" w:type="dxa"/>
              <w:right w:w="15" w:type="dxa"/>
            </w:tcMar>
            <w:vAlign w:val="center"/>
          </w:tcPr>
          <w:p w14:paraId="759AE57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714" w:type="dxa"/>
            <w:shd w:val="clear" w:color="auto" w:fill="auto"/>
            <w:tcMar>
              <w:top w:w="15" w:type="dxa"/>
              <w:left w:w="15" w:type="dxa"/>
              <w:right w:w="15" w:type="dxa"/>
            </w:tcMar>
            <w:vAlign w:val="center"/>
          </w:tcPr>
          <w:p w14:paraId="5502977C">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r w14:paraId="04758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624" w:hRule="exact"/>
          <w:jc w:val="center"/>
        </w:trPr>
        <w:tc>
          <w:tcPr>
            <w:tcW w:w="2473" w:type="dxa"/>
            <w:gridSpan w:val="2"/>
            <w:shd w:val="clear" w:color="auto" w:fill="auto"/>
            <w:tcMar>
              <w:top w:w="15" w:type="dxa"/>
              <w:left w:w="15" w:type="dxa"/>
              <w:right w:w="15" w:type="dxa"/>
            </w:tcMar>
            <w:vAlign w:val="center"/>
          </w:tcPr>
          <w:p w14:paraId="024CE3FC">
            <w:pPr>
              <w:jc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维保服务</w:t>
            </w:r>
          </w:p>
        </w:tc>
        <w:tc>
          <w:tcPr>
            <w:tcW w:w="3880" w:type="dxa"/>
            <w:shd w:val="clear" w:color="auto" w:fill="auto"/>
            <w:tcMar>
              <w:top w:w="15" w:type="dxa"/>
              <w:left w:w="15" w:type="dxa"/>
              <w:right w:w="15" w:type="dxa"/>
            </w:tcMar>
            <w:vAlign w:val="center"/>
          </w:tcPr>
          <w:p w14:paraId="71FECC67">
            <w:pPr>
              <w:keepNext w:val="0"/>
              <w:keepLines w:val="0"/>
              <w:widowControl/>
              <w:suppressLineNumbers w:val="0"/>
              <w:jc w:val="left"/>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sz w:val="20"/>
                <w:szCs w:val="20"/>
                <w:u w:val="none"/>
                <w:lang w:val="en-US" w:eastAsia="zh-CN"/>
              </w:rPr>
              <w:t>月度巡检、维保小修（每月一次巡检）</w:t>
            </w:r>
          </w:p>
        </w:tc>
        <w:tc>
          <w:tcPr>
            <w:tcW w:w="951" w:type="dxa"/>
            <w:shd w:val="clear" w:color="auto" w:fill="auto"/>
            <w:tcMar>
              <w:top w:w="15" w:type="dxa"/>
              <w:left w:w="15" w:type="dxa"/>
              <w:right w:w="15" w:type="dxa"/>
            </w:tcMar>
            <w:vAlign w:val="center"/>
          </w:tcPr>
          <w:p w14:paraId="5F89F2DF">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次</w:t>
            </w:r>
          </w:p>
        </w:tc>
        <w:tc>
          <w:tcPr>
            <w:tcW w:w="855" w:type="dxa"/>
            <w:shd w:val="clear" w:color="auto" w:fill="auto"/>
            <w:tcMar>
              <w:top w:w="15" w:type="dxa"/>
              <w:left w:w="15" w:type="dxa"/>
              <w:right w:w="15" w:type="dxa"/>
            </w:tcMar>
            <w:vAlign w:val="center"/>
          </w:tcPr>
          <w:p w14:paraId="2C6BDFF9">
            <w:pPr>
              <w:keepNext w:val="0"/>
              <w:keepLines w:val="0"/>
              <w:widowControl/>
              <w:suppressLineNumbers w:val="0"/>
              <w:jc w:val="center"/>
              <w:textAlignment w:val="center"/>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w:t>
            </w:r>
          </w:p>
        </w:tc>
        <w:tc>
          <w:tcPr>
            <w:tcW w:w="714" w:type="dxa"/>
            <w:shd w:val="clear" w:color="auto" w:fill="auto"/>
            <w:tcMar>
              <w:top w:w="15" w:type="dxa"/>
              <w:left w:w="15" w:type="dxa"/>
              <w:right w:w="15" w:type="dxa"/>
            </w:tcMar>
            <w:vAlign w:val="center"/>
          </w:tcPr>
          <w:p w14:paraId="23F1E065">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r>
    </w:tbl>
    <w:p w14:paraId="3C8DC02A">
      <w:pPr>
        <w:spacing w:line="220" w:lineRule="atLeast"/>
        <w:jc w:val="center"/>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                                </w:t>
      </w:r>
    </w:p>
    <w:p w14:paraId="09A008B9">
      <w:pPr>
        <w:spacing w:line="220" w:lineRule="atLeast"/>
        <w:jc w:val="center"/>
        <w:rPr>
          <w:rFonts w:hint="eastAsia" w:ascii="方正仿宋_GBK" w:hAnsi="宋体" w:eastAsia="方正仿宋_GBK"/>
          <w:sz w:val="24"/>
          <w:szCs w:val="24"/>
          <w:highlight w:val="none"/>
        </w:rPr>
      </w:pPr>
    </w:p>
    <w:p w14:paraId="1A1EEC75">
      <w:pPr>
        <w:spacing w:line="220" w:lineRule="atLeast"/>
        <w:jc w:val="center"/>
        <w:rPr>
          <w:rFonts w:hint="eastAsia" w:ascii="方正仿宋_GBK" w:hAnsi="宋体" w:eastAsia="方正仿宋_GBK"/>
          <w:sz w:val="24"/>
          <w:szCs w:val="24"/>
          <w:highlight w:val="none"/>
        </w:rPr>
      </w:pPr>
    </w:p>
    <w:p w14:paraId="7026936A">
      <w:pPr>
        <w:spacing w:line="220" w:lineRule="atLeast"/>
        <w:jc w:val="center"/>
        <w:rPr>
          <w:rFonts w:hint="eastAsia" w:ascii="方正仿宋_GBK" w:hAnsi="宋体" w:eastAsia="方正仿宋_GBK"/>
          <w:sz w:val="24"/>
          <w:szCs w:val="24"/>
          <w:highlight w:val="none"/>
        </w:rPr>
      </w:pPr>
    </w:p>
    <w:p w14:paraId="43A9085A">
      <w:pPr>
        <w:spacing w:line="220" w:lineRule="atLeast"/>
        <w:jc w:val="center"/>
        <w:rPr>
          <w:rFonts w:hint="eastAsia" w:ascii="方正仿宋_GBK" w:hAnsi="宋体" w:eastAsia="方正仿宋_GBK"/>
          <w:sz w:val="24"/>
          <w:szCs w:val="24"/>
          <w:highlight w:val="none"/>
        </w:rPr>
      </w:pPr>
    </w:p>
    <w:p w14:paraId="38EF6E46">
      <w:pPr>
        <w:spacing w:line="220" w:lineRule="atLeast"/>
        <w:jc w:val="both"/>
        <w:rPr>
          <w:rFonts w:hint="eastAsia" w:ascii="方正仿宋_GBK" w:hAnsi="宋体" w:eastAsia="方正仿宋_GBK"/>
          <w:sz w:val="24"/>
          <w:szCs w:val="24"/>
          <w:highlight w:val="none"/>
        </w:rPr>
      </w:pPr>
    </w:p>
    <w:p w14:paraId="3C7C863F">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val="0"/>
        <w:snapToGrid w:val="0"/>
        <w:spacing w:after="0" w:line="500" w:lineRule="exact"/>
        <w:jc w:val="both"/>
        <w:textAlignment w:val="auto"/>
        <w:outlineLvl w:val="9"/>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附件2</w:t>
      </w:r>
    </w:p>
    <w:p w14:paraId="182E124F">
      <w:pPr>
        <w:spacing w:line="220" w:lineRule="atLeast"/>
        <w:jc w:val="center"/>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巴南区机关事务中心配电运维服务采购询价表报价函</w:t>
      </w:r>
    </w:p>
    <w:p w14:paraId="4162926C">
      <w:pPr>
        <w:keepNext w:val="0"/>
        <w:keepLines w:val="0"/>
        <w:pageBreakBefore w:val="0"/>
        <w:widowControl/>
        <w:kinsoku/>
        <w:wordWrap/>
        <w:overflowPunct/>
        <w:topLinePunct w:val="0"/>
        <w:autoSpaceDE/>
        <w:autoSpaceDN/>
        <w:bidi w:val="0"/>
        <w:adjustRightInd w:val="0"/>
        <w:snapToGrid w:val="0"/>
        <w:spacing w:after="0" w:line="560" w:lineRule="atLeast"/>
        <w:ind w:firstLine="560" w:firstLineChars="200"/>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lang w:val="en-US" w:eastAsia="zh-CN"/>
        </w:rPr>
        <w:t>重庆市巴南区机关事务中心</w:t>
      </w:r>
      <w:r>
        <w:rPr>
          <w:rFonts w:hint="eastAsia" w:ascii="方正仿宋_GBK" w:hAnsi="方正仿宋_GBK" w:eastAsia="方正仿宋_GBK" w:cs="方正仿宋_GBK"/>
          <w:sz w:val="28"/>
          <w:szCs w:val="28"/>
        </w:rPr>
        <w:t>：</w:t>
      </w:r>
    </w:p>
    <w:p w14:paraId="3975D60C">
      <w:pPr>
        <w:keepNext w:val="0"/>
        <w:keepLines w:val="0"/>
        <w:pageBreakBefore w:val="0"/>
        <w:widowControl/>
        <w:kinsoku/>
        <w:wordWrap/>
        <w:overflowPunct/>
        <w:topLinePunct w:val="0"/>
        <w:autoSpaceDE/>
        <w:autoSpaceDN/>
        <w:bidi w:val="0"/>
        <w:adjustRightInd w:val="0"/>
        <w:snapToGrid w:val="0"/>
        <w:spacing w:after="0" w:line="560" w:lineRule="atLeast"/>
        <w:ind w:firstLine="560" w:firstLineChars="200"/>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我方收到_____________</w:t>
      </w:r>
      <w:r>
        <w:rPr>
          <w:rFonts w:hint="eastAsia" w:ascii="方正仿宋_GBK" w:hAnsi="方正仿宋_GBK" w:eastAsia="方正仿宋_GBK" w:cs="方正仿宋_GBK"/>
          <w:sz w:val="28"/>
          <w:szCs w:val="28"/>
          <w:lang w:val="en-US" w:eastAsia="zh-CN"/>
        </w:rPr>
        <w:t>项目</w:t>
      </w:r>
      <w:r>
        <w:rPr>
          <w:rFonts w:hint="eastAsia" w:ascii="方正仿宋_GBK" w:hAnsi="方正仿宋_GBK" w:eastAsia="方正仿宋_GBK" w:cs="方正仿宋_GBK"/>
          <w:sz w:val="28"/>
          <w:szCs w:val="28"/>
        </w:rPr>
        <w:t>的</w:t>
      </w:r>
      <w:r>
        <w:rPr>
          <w:rFonts w:hint="eastAsia" w:ascii="方正仿宋_GBK" w:hAnsi="方正仿宋_GBK" w:eastAsia="方正仿宋_GBK" w:cs="方正仿宋_GBK"/>
          <w:sz w:val="28"/>
          <w:szCs w:val="28"/>
          <w:lang w:val="en-US" w:eastAsia="zh-CN"/>
        </w:rPr>
        <w:t>市场</w:t>
      </w:r>
      <w:r>
        <w:rPr>
          <w:rFonts w:hint="eastAsia" w:ascii="方正仿宋_GBK" w:hAnsi="方正仿宋_GBK" w:eastAsia="方正仿宋_GBK" w:cs="方正仿宋_GBK"/>
          <w:sz w:val="28"/>
          <w:szCs w:val="28"/>
        </w:rPr>
        <w:t>询价</w:t>
      </w:r>
      <w:r>
        <w:rPr>
          <w:rFonts w:hint="eastAsia" w:ascii="方正仿宋_GBK" w:hAnsi="方正仿宋_GBK" w:eastAsia="方正仿宋_GBK" w:cs="方正仿宋_GBK"/>
          <w:sz w:val="28"/>
          <w:szCs w:val="28"/>
          <w:lang w:val="en-US" w:eastAsia="zh-CN"/>
        </w:rPr>
        <w:t>文件</w:t>
      </w:r>
      <w:r>
        <w:rPr>
          <w:rFonts w:hint="eastAsia" w:ascii="方正仿宋_GBK" w:hAnsi="方正仿宋_GBK" w:eastAsia="方正仿宋_GBK" w:cs="方正仿宋_GBK"/>
          <w:sz w:val="28"/>
          <w:szCs w:val="28"/>
        </w:rPr>
        <w:t>，经详细研究，决定参加该询价项目的报价。</w:t>
      </w:r>
    </w:p>
    <w:p w14:paraId="25F1FA36">
      <w:pPr>
        <w:keepNext w:val="0"/>
        <w:keepLines w:val="0"/>
        <w:pageBreakBefore w:val="0"/>
        <w:widowControl/>
        <w:kinsoku/>
        <w:wordWrap/>
        <w:overflowPunct/>
        <w:topLinePunct w:val="0"/>
        <w:autoSpaceDE/>
        <w:autoSpaceDN/>
        <w:bidi w:val="0"/>
        <w:adjustRightInd w:val="0"/>
        <w:snapToGrid w:val="0"/>
        <w:spacing w:after="0" w:line="560" w:lineRule="atLeast"/>
        <w:ind w:firstLine="560" w:firstLineChars="200"/>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1.愿意按照询价</w:t>
      </w:r>
      <w:r>
        <w:rPr>
          <w:rFonts w:hint="eastAsia" w:ascii="方正仿宋_GBK" w:hAnsi="方正仿宋_GBK" w:eastAsia="方正仿宋_GBK" w:cs="方正仿宋_GBK"/>
          <w:sz w:val="28"/>
          <w:szCs w:val="28"/>
          <w:lang w:val="en-US" w:eastAsia="zh-CN"/>
        </w:rPr>
        <w:t>文件</w:t>
      </w:r>
      <w:r>
        <w:rPr>
          <w:rFonts w:hint="eastAsia" w:ascii="方正仿宋_GBK" w:hAnsi="方正仿宋_GBK" w:eastAsia="方正仿宋_GBK" w:cs="方正仿宋_GBK"/>
          <w:sz w:val="28"/>
          <w:szCs w:val="28"/>
        </w:rPr>
        <w:t xml:space="preserve">中的一切要求，提供本项目的服务，项目初始报价（总价）为人民币大写：    </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 xml:space="preserve">  元整；人民币小写：    元。</w:t>
      </w:r>
    </w:p>
    <w:p w14:paraId="0C398FFC">
      <w:pPr>
        <w:keepNext w:val="0"/>
        <w:keepLines w:val="0"/>
        <w:pageBreakBefore w:val="0"/>
        <w:widowControl/>
        <w:kinsoku/>
        <w:wordWrap/>
        <w:overflowPunct/>
        <w:topLinePunct w:val="0"/>
        <w:autoSpaceDE/>
        <w:autoSpaceDN/>
        <w:bidi w:val="0"/>
        <w:adjustRightInd w:val="0"/>
        <w:snapToGrid w:val="0"/>
        <w:spacing w:after="0" w:line="560" w:lineRule="atLeast"/>
        <w:ind w:firstLine="560" w:firstLineChars="200"/>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2.我方现提交的响应文件为：响应文件正本   份，电子文档   份。</w:t>
      </w:r>
    </w:p>
    <w:p w14:paraId="62A150D3">
      <w:pPr>
        <w:keepNext w:val="0"/>
        <w:keepLines w:val="0"/>
        <w:pageBreakBefore w:val="0"/>
        <w:widowControl/>
        <w:kinsoku/>
        <w:wordWrap/>
        <w:overflowPunct/>
        <w:topLinePunct w:val="0"/>
        <w:autoSpaceDE/>
        <w:autoSpaceDN/>
        <w:bidi w:val="0"/>
        <w:adjustRightInd w:val="0"/>
        <w:snapToGrid w:val="0"/>
        <w:spacing w:after="0" w:line="560" w:lineRule="atLeast"/>
        <w:ind w:firstLine="560" w:firstLineChars="200"/>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3.我方承诺：本次报价的有效期为提交响应文件截止时间起90天。</w:t>
      </w:r>
    </w:p>
    <w:p w14:paraId="5313C8BC">
      <w:pPr>
        <w:keepNext w:val="0"/>
        <w:keepLines w:val="0"/>
        <w:pageBreakBefore w:val="0"/>
        <w:widowControl/>
        <w:kinsoku/>
        <w:wordWrap/>
        <w:overflowPunct/>
        <w:topLinePunct w:val="0"/>
        <w:autoSpaceDE/>
        <w:autoSpaceDN/>
        <w:bidi w:val="0"/>
        <w:adjustRightInd w:val="0"/>
        <w:snapToGrid w:val="0"/>
        <w:spacing w:after="0" w:line="560" w:lineRule="atLeast"/>
        <w:ind w:firstLine="560" w:firstLineChars="200"/>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4.我方完全理解和接受贵方询价</w:t>
      </w:r>
      <w:r>
        <w:rPr>
          <w:rFonts w:hint="eastAsia" w:ascii="方正仿宋_GBK" w:hAnsi="方正仿宋_GBK" w:eastAsia="方正仿宋_GBK" w:cs="方正仿宋_GBK"/>
          <w:sz w:val="28"/>
          <w:szCs w:val="28"/>
          <w:lang w:val="en-US" w:eastAsia="zh-CN"/>
        </w:rPr>
        <w:t>文件</w:t>
      </w:r>
      <w:r>
        <w:rPr>
          <w:rFonts w:hint="eastAsia" w:ascii="方正仿宋_GBK" w:hAnsi="方正仿宋_GBK" w:eastAsia="方正仿宋_GBK" w:cs="方正仿宋_GBK"/>
          <w:sz w:val="28"/>
          <w:szCs w:val="28"/>
        </w:rPr>
        <w:t>的一切规定和要求。</w:t>
      </w:r>
    </w:p>
    <w:p w14:paraId="16B96260">
      <w:pPr>
        <w:keepNext w:val="0"/>
        <w:keepLines w:val="0"/>
        <w:pageBreakBefore w:val="0"/>
        <w:widowControl/>
        <w:kinsoku/>
        <w:wordWrap/>
        <w:overflowPunct/>
        <w:topLinePunct w:val="0"/>
        <w:autoSpaceDE/>
        <w:autoSpaceDN/>
        <w:bidi w:val="0"/>
        <w:adjustRightInd w:val="0"/>
        <w:snapToGrid w:val="0"/>
        <w:spacing w:after="0" w:line="560" w:lineRule="atLeast"/>
        <w:ind w:firstLine="560" w:firstLineChars="200"/>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5.在整个询价过程中，我方若有违规行为，接受按照《中华人民共和国政府采购法》和《询价</w:t>
      </w:r>
      <w:r>
        <w:rPr>
          <w:rFonts w:hint="eastAsia" w:ascii="方正仿宋_GBK" w:hAnsi="方正仿宋_GBK" w:eastAsia="方正仿宋_GBK" w:cs="方正仿宋_GBK"/>
          <w:sz w:val="28"/>
          <w:szCs w:val="28"/>
          <w:lang w:val="en-US" w:eastAsia="zh-CN"/>
        </w:rPr>
        <w:t>文件</w:t>
      </w:r>
      <w:r>
        <w:rPr>
          <w:rFonts w:hint="eastAsia" w:ascii="方正仿宋_GBK" w:hAnsi="方正仿宋_GBK" w:eastAsia="方正仿宋_GBK" w:cs="方正仿宋_GBK"/>
          <w:sz w:val="28"/>
          <w:szCs w:val="28"/>
        </w:rPr>
        <w:t>》之规定给予惩罚。</w:t>
      </w:r>
    </w:p>
    <w:p w14:paraId="009DD6C8">
      <w:pPr>
        <w:keepNext w:val="0"/>
        <w:keepLines w:val="0"/>
        <w:pageBreakBefore w:val="0"/>
        <w:widowControl/>
        <w:kinsoku/>
        <w:wordWrap/>
        <w:overflowPunct/>
        <w:topLinePunct w:val="0"/>
        <w:autoSpaceDE/>
        <w:autoSpaceDN/>
        <w:bidi w:val="0"/>
        <w:adjustRightInd w:val="0"/>
        <w:snapToGrid w:val="0"/>
        <w:spacing w:after="0" w:line="560" w:lineRule="atLeast"/>
        <w:ind w:firstLine="560" w:firstLineChars="200"/>
        <w:textAlignment w:val="auto"/>
        <w:outlineLvl w:val="9"/>
        <w:rPr>
          <w:rFonts w:hint="eastAsia" w:ascii="方正仿宋_GBK" w:hAnsi="宋体" w:eastAsia="方正仿宋_GBK"/>
          <w:sz w:val="24"/>
          <w:szCs w:val="24"/>
          <w:highlight w:val="none"/>
        </w:rPr>
      </w:pPr>
      <w:r>
        <w:rPr>
          <w:rFonts w:hint="eastAsia" w:ascii="方正仿宋_GBK" w:hAnsi="方正仿宋_GBK" w:eastAsia="方正仿宋_GBK" w:cs="方正仿宋_GBK"/>
          <w:sz w:val="28"/>
          <w:szCs w:val="28"/>
        </w:rPr>
        <w:t>6.我方若成为成交供应商，将按照最终报价结果签订合同，并且严格履行合同义务。本承诺函将成为合同不可分割的一部分，与合同具有同等的法律效力。</w:t>
      </w:r>
    </w:p>
    <w:p w14:paraId="659485A5">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供应商（公章）或自然人签署：</w:t>
      </w:r>
    </w:p>
    <w:p w14:paraId="75CFE929">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地址：  </w:t>
      </w:r>
    </w:p>
    <w:p w14:paraId="3445426C">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电话：                                             传真：</w:t>
      </w:r>
    </w:p>
    <w:p w14:paraId="59CF829B">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网址：                                             邮编：</w:t>
      </w:r>
    </w:p>
    <w:p w14:paraId="14D49FBA">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联系人：</w:t>
      </w:r>
    </w:p>
    <w:p w14:paraId="7425D46A">
      <w:pPr>
        <w:snapToGrid w:val="0"/>
        <w:spacing w:line="312" w:lineRule="auto"/>
        <w:ind w:firstLine="480" w:firstLineChars="200"/>
        <w:rPr>
          <w:rFonts w:hint="eastAsia" w:ascii="方正仿宋_GBK" w:hAnsi="宋体" w:eastAsia="方正仿宋_GBK"/>
          <w:sz w:val="24"/>
          <w:szCs w:val="24"/>
          <w:highlight w:val="none"/>
          <w:lang w:val="en-US" w:eastAsia="zh-CN"/>
        </w:rPr>
        <w:sectPr>
          <w:footerReference r:id="rId5" w:type="default"/>
          <w:pgSz w:w="11907" w:h="16840"/>
          <w:pgMar w:top="1984" w:right="1446" w:bottom="1644" w:left="1446" w:header="851" w:footer="992" w:gutter="0"/>
          <w:pgNumType w:fmt="numberInDash"/>
          <w:cols w:space="720" w:num="1"/>
          <w:docGrid w:linePitch="380" w:charSpace="-5735"/>
        </w:sectPr>
      </w:pPr>
      <w:r>
        <w:rPr>
          <w:rFonts w:hint="eastAsia" w:ascii="方正仿宋_GBK" w:hAnsi="宋体" w:eastAsia="方正仿宋_GBK"/>
          <w:sz w:val="24"/>
          <w:szCs w:val="24"/>
          <w:highlight w:val="none"/>
        </w:rPr>
        <w:t xml:space="preserve">                                              </w:t>
      </w:r>
      <w:r>
        <w:rPr>
          <w:rFonts w:hint="eastAsia" w:ascii="方正仿宋_GBK" w:hAnsi="宋体" w:eastAsia="方正仿宋_GBK"/>
          <w:sz w:val="24"/>
          <w:szCs w:val="24"/>
          <w:highlight w:val="none"/>
          <w:lang w:val="en-US" w:eastAsia="zh-CN"/>
        </w:rPr>
        <w:t xml:space="preserve">    </w:t>
      </w:r>
      <w:r>
        <w:rPr>
          <w:rFonts w:hint="eastAsia" w:ascii="方正仿宋_GBK" w:hAnsi="宋体" w:eastAsia="方正仿宋_GBK"/>
          <w:sz w:val="24"/>
          <w:szCs w:val="24"/>
          <w:highlight w:val="none"/>
        </w:rPr>
        <w:t xml:space="preserve">  年   月 </w:t>
      </w:r>
      <w:r>
        <w:rPr>
          <w:rFonts w:hint="eastAsia" w:ascii="方正仿宋_GBK" w:hAnsi="宋体" w:eastAsia="方正仿宋_GBK"/>
          <w:sz w:val="24"/>
          <w:szCs w:val="24"/>
          <w:highlight w:val="none"/>
          <w:lang w:val="en-US" w:eastAsia="zh-CN"/>
        </w:rPr>
        <w:t xml:space="preserve">  日</w:t>
      </w:r>
    </w:p>
    <w:p w14:paraId="36509C80">
      <w:pPr>
        <w:spacing w:line="220" w:lineRule="atLeast"/>
        <w:jc w:val="both"/>
        <w:rPr>
          <w:rFonts w:hint="default"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eastAsia="zh-CN"/>
        </w:rPr>
        <w:t>附件</w:t>
      </w:r>
      <w:r>
        <w:rPr>
          <w:rFonts w:hint="eastAsia" w:ascii="方正小标宋_GBK" w:hAnsi="方正小标宋_GBK" w:eastAsia="方正小标宋_GBK" w:cs="方正小标宋_GBK"/>
          <w:sz w:val="32"/>
          <w:szCs w:val="32"/>
          <w:lang w:val="en-US" w:eastAsia="zh-CN"/>
        </w:rPr>
        <w:t>3</w:t>
      </w:r>
    </w:p>
    <w:p w14:paraId="692EBEBC">
      <w:pPr>
        <w:spacing w:line="220" w:lineRule="atLeast"/>
        <w:jc w:val="center"/>
        <w:rPr>
          <w:rFonts w:hint="eastAsia"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基本资格条件承诺函</w:t>
      </w:r>
    </w:p>
    <w:p w14:paraId="68445416">
      <w:pPr>
        <w:keepNext w:val="0"/>
        <w:keepLines w:val="0"/>
        <w:pageBreakBefore w:val="0"/>
        <w:widowControl/>
        <w:kinsoku/>
        <w:wordWrap/>
        <w:overflowPunct/>
        <w:topLinePunct w:val="0"/>
        <w:autoSpaceDE/>
        <w:autoSpaceDN/>
        <w:bidi w:val="0"/>
        <w:adjustRightInd w:val="0"/>
        <w:snapToGrid w:val="0"/>
        <w:spacing w:after="0" w:line="560" w:lineRule="atLeast"/>
        <w:ind w:firstLine="560" w:firstLineChars="200"/>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项目名称：                         </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 xml:space="preserve">                                               </w:t>
      </w:r>
    </w:p>
    <w:p w14:paraId="527666C8">
      <w:pPr>
        <w:keepNext w:val="0"/>
        <w:keepLines w:val="0"/>
        <w:pageBreakBefore w:val="0"/>
        <w:widowControl/>
        <w:kinsoku/>
        <w:wordWrap/>
        <w:overflowPunct/>
        <w:topLinePunct w:val="0"/>
        <w:autoSpaceDE/>
        <w:autoSpaceDN/>
        <w:bidi w:val="0"/>
        <w:adjustRightInd w:val="0"/>
        <w:snapToGrid w:val="0"/>
        <w:spacing w:after="0" w:line="560" w:lineRule="atLeast"/>
        <w:ind w:firstLine="560" w:firstLineChars="200"/>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致:                         </w:t>
      </w:r>
    </w:p>
    <w:p w14:paraId="7AEAE65A">
      <w:pPr>
        <w:keepNext w:val="0"/>
        <w:keepLines w:val="0"/>
        <w:pageBreakBefore w:val="0"/>
        <w:widowControl/>
        <w:kinsoku/>
        <w:wordWrap/>
        <w:overflowPunct/>
        <w:topLinePunct w:val="0"/>
        <w:autoSpaceDE/>
        <w:autoSpaceDN/>
        <w:bidi w:val="0"/>
        <w:adjustRightInd w:val="0"/>
        <w:snapToGrid w:val="0"/>
        <w:spacing w:after="0" w:line="560" w:lineRule="atLeast"/>
        <w:ind w:firstLine="560" w:firstLineChars="200"/>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r>
        <w:rPr>
          <w:rFonts w:hint="eastAsia" w:ascii="方正仿宋_GBK" w:hAnsi="方正仿宋_GBK" w:eastAsia="方正仿宋_GBK" w:cs="方正仿宋_GBK"/>
          <w:sz w:val="28"/>
          <w:szCs w:val="28"/>
          <w:lang w:eastAsia="zh-CN"/>
        </w:rPr>
        <w:t>供应商</w:t>
      </w:r>
      <w:r>
        <w:rPr>
          <w:rFonts w:hint="eastAsia" w:ascii="方正仿宋_GBK" w:hAnsi="方正仿宋_GBK" w:eastAsia="方正仿宋_GBK" w:cs="方正仿宋_GBK"/>
          <w:sz w:val="28"/>
          <w:szCs w:val="28"/>
        </w:rPr>
        <w:t>名称)郑重承诺:</w:t>
      </w:r>
    </w:p>
    <w:p w14:paraId="2B5D0956">
      <w:pPr>
        <w:keepNext w:val="0"/>
        <w:keepLines w:val="0"/>
        <w:pageBreakBefore w:val="0"/>
        <w:widowControl/>
        <w:kinsoku/>
        <w:wordWrap/>
        <w:overflowPunct/>
        <w:topLinePunct w:val="0"/>
        <w:autoSpaceDE/>
        <w:autoSpaceDN/>
        <w:bidi w:val="0"/>
        <w:adjustRightInd w:val="0"/>
        <w:snapToGrid w:val="0"/>
        <w:spacing w:after="0" w:line="560" w:lineRule="atLeast"/>
        <w:ind w:firstLine="560" w:firstLineChars="200"/>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1.我方具有良好的商业信誉和健全的财务会计制度，具有履行合同所必需的设备和专业技术能力，具有依法缴纳税收和社会保障金的良好记录，参加本项目采购活动前三年内无重大违法活动记录。</w:t>
      </w:r>
    </w:p>
    <w:p w14:paraId="03EA6AB2">
      <w:pPr>
        <w:keepNext w:val="0"/>
        <w:keepLines w:val="0"/>
        <w:pageBreakBefore w:val="0"/>
        <w:widowControl/>
        <w:kinsoku/>
        <w:wordWrap/>
        <w:overflowPunct/>
        <w:topLinePunct w:val="0"/>
        <w:autoSpaceDE/>
        <w:autoSpaceDN/>
        <w:bidi w:val="0"/>
        <w:adjustRightInd w:val="0"/>
        <w:snapToGrid w:val="0"/>
        <w:spacing w:after="0" w:line="560" w:lineRule="atLeast"/>
        <w:ind w:firstLine="560" w:firstLineChars="200"/>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2.我方未列入在信用中国网站(www.creditchina.gov.cn)“失信被执行人”、“重大税收违法案件当事人名单”中，也未列入中国政府采购网(www.ccgp.gov.cn)“政府采购严重违法失信行为记录名单"中。</w:t>
      </w:r>
    </w:p>
    <w:p w14:paraId="477E946E">
      <w:pPr>
        <w:keepNext w:val="0"/>
        <w:keepLines w:val="0"/>
        <w:pageBreakBefore w:val="0"/>
        <w:widowControl/>
        <w:kinsoku/>
        <w:wordWrap/>
        <w:overflowPunct/>
        <w:topLinePunct w:val="0"/>
        <w:autoSpaceDE/>
        <w:autoSpaceDN/>
        <w:bidi w:val="0"/>
        <w:adjustRightInd w:val="0"/>
        <w:snapToGrid w:val="0"/>
        <w:spacing w:after="0" w:line="560" w:lineRule="atLeast"/>
        <w:ind w:firstLine="560" w:firstLineChars="200"/>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3.我方在采购项目评审(评标)环节结束后，随时接受</w:t>
      </w:r>
      <w:r>
        <w:rPr>
          <w:rFonts w:hint="eastAsia" w:ascii="方正仿宋_GBK" w:hAnsi="方正仿宋_GBK" w:eastAsia="方正仿宋_GBK" w:cs="方正仿宋_GBK"/>
          <w:sz w:val="28"/>
          <w:szCs w:val="28"/>
          <w:lang w:eastAsia="zh-CN"/>
        </w:rPr>
        <w:t>采购人</w:t>
      </w:r>
      <w:r>
        <w:rPr>
          <w:rFonts w:hint="eastAsia" w:ascii="方正仿宋_GBK" w:hAnsi="方正仿宋_GBK" w:eastAsia="方正仿宋_GBK" w:cs="方正仿宋_GBK"/>
          <w:sz w:val="28"/>
          <w:szCs w:val="28"/>
        </w:rPr>
        <w:t>、采购代理机构的检查验证，配合提供相关证明材料，证明符合《中华人民共和国政府采购法》规定的</w:t>
      </w:r>
      <w:r>
        <w:rPr>
          <w:rFonts w:hint="eastAsia" w:ascii="方正仿宋_GBK" w:hAnsi="方正仿宋_GBK" w:eastAsia="方正仿宋_GBK" w:cs="方正仿宋_GBK"/>
          <w:sz w:val="28"/>
          <w:szCs w:val="28"/>
          <w:lang w:eastAsia="zh-CN"/>
        </w:rPr>
        <w:t>供应商</w:t>
      </w:r>
      <w:r>
        <w:rPr>
          <w:rFonts w:hint="eastAsia" w:ascii="方正仿宋_GBK" w:hAnsi="方正仿宋_GBK" w:eastAsia="方正仿宋_GBK" w:cs="方正仿宋_GBK"/>
          <w:sz w:val="28"/>
          <w:szCs w:val="28"/>
        </w:rPr>
        <w:t>基本资格条件。</w:t>
      </w:r>
    </w:p>
    <w:p w14:paraId="1F1C8700">
      <w:pPr>
        <w:keepNext w:val="0"/>
        <w:keepLines w:val="0"/>
        <w:pageBreakBefore w:val="0"/>
        <w:widowControl/>
        <w:kinsoku/>
        <w:wordWrap/>
        <w:overflowPunct/>
        <w:topLinePunct w:val="0"/>
        <w:autoSpaceDE/>
        <w:autoSpaceDN/>
        <w:bidi w:val="0"/>
        <w:adjustRightInd w:val="0"/>
        <w:snapToGrid w:val="0"/>
        <w:spacing w:after="0" w:line="560" w:lineRule="atLeast"/>
        <w:ind w:firstLine="560" w:firstLineChars="200"/>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我方对以上承诺负全部法律责任。</w:t>
      </w:r>
    </w:p>
    <w:p w14:paraId="79943F15">
      <w:pPr>
        <w:keepNext w:val="0"/>
        <w:keepLines w:val="0"/>
        <w:pageBreakBefore w:val="0"/>
        <w:widowControl/>
        <w:kinsoku/>
        <w:wordWrap/>
        <w:overflowPunct/>
        <w:topLinePunct w:val="0"/>
        <w:autoSpaceDE/>
        <w:autoSpaceDN/>
        <w:bidi w:val="0"/>
        <w:adjustRightInd w:val="0"/>
        <w:snapToGrid w:val="0"/>
        <w:spacing w:after="0" w:line="560" w:lineRule="atLeast"/>
        <w:ind w:firstLine="560" w:firstLineChars="200"/>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特此承诺。</w:t>
      </w:r>
    </w:p>
    <w:p w14:paraId="72DCE1DD">
      <w:pPr>
        <w:keepNext w:val="0"/>
        <w:keepLines w:val="0"/>
        <w:pageBreakBefore w:val="0"/>
        <w:widowControl/>
        <w:kinsoku/>
        <w:wordWrap/>
        <w:overflowPunct/>
        <w:topLinePunct w:val="0"/>
        <w:autoSpaceDE/>
        <w:autoSpaceDN/>
        <w:bidi w:val="0"/>
        <w:adjustRightInd w:val="0"/>
        <w:snapToGrid w:val="0"/>
        <w:spacing w:after="0" w:line="560" w:lineRule="atLeast"/>
        <w:textAlignment w:val="auto"/>
        <w:outlineLvl w:val="9"/>
        <w:rPr>
          <w:rFonts w:hint="eastAsia" w:ascii="方正仿宋_GBK" w:hAnsi="方正仿宋_GBK" w:eastAsia="方正仿宋_GBK" w:cs="方正仿宋_GBK"/>
          <w:sz w:val="28"/>
          <w:szCs w:val="28"/>
        </w:rPr>
      </w:pPr>
    </w:p>
    <w:p w14:paraId="432EB2AB">
      <w:pPr>
        <w:keepNext w:val="0"/>
        <w:keepLines w:val="0"/>
        <w:pageBreakBefore w:val="0"/>
        <w:widowControl/>
        <w:kinsoku/>
        <w:wordWrap/>
        <w:overflowPunct/>
        <w:topLinePunct w:val="0"/>
        <w:autoSpaceDE/>
        <w:autoSpaceDN/>
        <w:bidi w:val="0"/>
        <w:adjustRightInd w:val="0"/>
        <w:snapToGrid w:val="0"/>
        <w:spacing w:after="0" w:line="560" w:lineRule="atLeast"/>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p>
    <w:p w14:paraId="4C4AC6AC">
      <w:pPr>
        <w:keepNext w:val="0"/>
        <w:keepLines w:val="0"/>
        <w:pageBreakBefore w:val="0"/>
        <w:widowControl/>
        <w:kinsoku/>
        <w:wordWrap/>
        <w:overflowPunct/>
        <w:topLinePunct w:val="0"/>
        <w:autoSpaceDE/>
        <w:autoSpaceDN/>
        <w:bidi w:val="0"/>
        <w:adjustRightInd w:val="0"/>
        <w:snapToGrid w:val="0"/>
        <w:spacing w:after="0" w:line="560" w:lineRule="atLeast"/>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w:t>
      </w:r>
      <w:r>
        <w:rPr>
          <w:rFonts w:hint="eastAsia" w:ascii="方正仿宋_GBK" w:hAnsi="方正仿宋_GBK" w:eastAsia="方正仿宋_GBK" w:cs="方正仿宋_GBK"/>
          <w:sz w:val="28"/>
          <w:szCs w:val="28"/>
          <w:lang w:eastAsia="zh-CN"/>
        </w:rPr>
        <w:t>供应商</w:t>
      </w:r>
      <w:r>
        <w:rPr>
          <w:rFonts w:hint="eastAsia" w:ascii="方正仿宋_GBK" w:hAnsi="方正仿宋_GBK" w:eastAsia="方正仿宋_GBK" w:cs="方正仿宋_GBK"/>
          <w:sz w:val="28"/>
          <w:szCs w:val="28"/>
        </w:rPr>
        <w:t xml:space="preserve">公章）         </w:t>
      </w:r>
    </w:p>
    <w:p w14:paraId="21D52172">
      <w:pPr>
        <w:keepNext w:val="0"/>
        <w:keepLines w:val="0"/>
        <w:pageBreakBefore w:val="0"/>
        <w:widowControl/>
        <w:kinsoku/>
        <w:wordWrap/>
        <w:overflowPunct/>
        <w:topLinePunct w:val="0"/>
        <w:autoSpaceDE/>
        <w:autoSpaceDN/>
        <w:bidi w:val="0"/>
        <w:adjustRightInd w:val="0"/>
        <w:snapToGrid w:val="0"/>
        <w:spacing w:after="0" w:line="560" w:lineRule="atLeast"/>
        <w:textAlignment w:val="auto"/>
        <w:outlineLvl w:val="9"/>
        <w:rPr>
          <w:rFonts w:hint="eastAsia" w:ascii="方正仿宋_GBK" w:hAnsi="方正仿宋_GBK" w:eastAsia="方正仿宋_GBK" w:cs="方正仿宋_GBK"/>
          <w:sz w:val="28"/>
          <w:szCs w:val="28"/>
        </w:rPr>
      </w:pPr>
    </w:p>
    <w:p w14:paraId="0510C347">
      <w:pPr>
        <w:keepNext w:val="0"/>
        <w:keepLines w:val="0"/>
        <w:pageBreakBefore w:val="0"/>
        <w:widowControl/>
        <w:kinsoku/>
        <w:wordWrap/>
        <w:overflowPunct/>
        <w:topLinePunct w:val="0"/>
        <w:autoSpaceDE/>
        <w:autoSpaceDN/>
        <w:bidi w:val="0"/>
        <w:adjustRightInd w:val="0"/>
        <w:snapToGrid w:val="0"/>
        <w:spacing w:after="0" w:line="560" w:lineRule="atLeast"/>
        <w:jc w:val="right"/>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年   月   日</w:t>
      </w:r>
    </w:p>
    <w:p w14:paraId="645CAEEF">
      <w:pPr>
        <w:keepNext w:val="0"/>
        <w:keepLines w:val="0"/>
        <w:pageBreakBefore w:val="0"/>
        <w:widowControl/>
        <w:kinsoku/>
        <w:wordWrap/>
        <w:overflowPunct/>
        <w:topLinePunct w:val="0"/>
        <w:autoSpaceDE/>
        <w:autoSpaceDN/>
        <w:bidi w:val="0"/>
        <w:adjustRightInd w:val="0"/>
        <w:snapToGrid w:val="0"/>
        <w:spacing w:after="0" w:line="560" w:lineRule="atLeast"/>
        <w:textAlignment w:val="auto"/>
        <w:outlineLvl w:val="9"/>
        <w:rPr>
          <w:rFonts w:hint="eastAsia" w:ascii="方正仿宋_GBK" w:hAnsi="方正仿宋_GBK" w:eastAsia="方正仿宋_GBK" w:cs="方正仿宋_GBK"/>
          <w:sz w:val="28"/>
          <w:szCs w:val="28"/>
        </w:rPr>
        <w:sectPr>
          <w:pgSz w:w="11907" w:h="16840"/>
          <w:pgMar w:top="1984" w:right="1446" w:bottom="1644" w:left="1446" w:header="851" w:footer="992" w:gutter="0"/>
          <w:pgNumType w:fmt="numberInDash"/>
          <w:cols w:space="720" w:num="1"/>
          <w:docGrid w:linePitch="380" w:charSpace="-5735"/>
        </w:sectPr>
      </w:pPr>
    </w:p>
    <w:p w14:paraId="4EC67255">
      <w:pPr>
        <w:spacing w:line="220" w:lineRule="atLeast"/>
        <w:jc w:val="both"/>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eastAsia="zh-CN"/>
        </w:rPr>
        <w:t>附件</w:t>
      </w:r>
      <w:r>
        <w:rPr>
          <w:rFonts w:hint="eastAsia" w:ascii="方正小标宋_GBK" w:hAnsi="方正小标宋_GBK" w:eastAsia="方正小标宋_GBK" w:cs="方正小标宋_GBK"/>
          <w:sz w:val="32"/>
          <w:szCs w:val="32"/>
          <w:lang w:val="en-US" w:eastAsia="zh-CN"/>
        </w:rPr>
        <w:t>4</w:t>
      </w:r>
    </w:p>
    <w:p w14:paraId="3EB20480">
      <w:pPr>
        <w:spacing w:line="220" w:lineRule="atLeast"/>
        <w:jc w:val="center"/>
        <w:rPr>
          <w:rFonts w:hint="eastAsia"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中小企业声明函</w:t>
      </w:r>
    </w:p>
    <w:p w14:paraId="783F12ED">
      <w:pPr>
        <w:keepNext w:val="0"/>
        <w:keepLines w:val="0"/>
        <w:pageBreakBefore w:val="0"/>
        <w:widowControl/>
        <w:kinsoku/>
        <w:wordWrap/>
        <w:overflowPunct/>
        <w:topLinePunct w:val="0"/>
        <w:autoSpaceDE/>
        <w:autoSpaceDN/>
        <w:bidi w:val="0"/>
        <w:adjustRightInd w:val="0"/>
        <w:snapToGrid w:val="0"/>
        <w:spacing w:after="0" w:line="560" w:lineRule="atLeast"/>
        <w:ind w:firstLine="560" w:firstLineChars="200"/>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本公司郑重声明，根据《政府采购促进中小企业发展管理办法》（财库〔2020〕46号）的规定，本公司参加（单位名称）的（项目名称）采购活动，工程的施工单位全部为符合政策要求的中小企业。相关企业（含联合体中的中小企业、签订分包意向协议的中小企业）的具体情况如下：</w:t>
      </w:r>
    </w:p>
    <w:p w14:paraId="531FA3B0">
      <w:pPr>
        <w:keepNext w:val="0"/>
        <w:keepLines w:val="0"/>
        <w:pageBreakBefore w:val="0"/>
        <w:widowControl/>
        <w:kinsoku/>
        <w:wordWrap/>
        <w:overflowPunct/>
        <w:topLinePunct w:val="0"/>
        <w:autoSpaceDE/>
        <w:autoSpaceDN/>
        <w:bidi w:val="0"/>
        <w:adjustRightInd w:val="0"/>
        <w:snapToGrid w:val="0"/>
        <w:spacing w:after="0" w:line="560" w:lineRule="atLeast"/>
        <w:ind w:firstLine="560" w:firstLineChars="200"/>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1.（标的名称），属于（采购文件中明确的所属行业）行业；承建（承接）企业为（企业名称），从业人员</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人，营业收入为</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万元，资产总额为</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万元，属于（中型企业、小型企业、微型企业）；</w:t>
      </w:r>
    </w:p>
    <w:p w14:paraId="5129138A">
      <w:pPr>
        <w:keepNext w:val="0"/>
        <w:keepLines w:val="0"/>
        <w:pageBreakBefore w:val="0"/>
        <w:widowControl/>
        <w:kinsoku/>
        <w:wordWrap/>
        <w:overflowPunct/>
        <w:topLinePunct w:val="0"/>
        <w:autoSpaceDE/>
        <w:autoSpaceDN/>
        <w:bidi w:val="0"/>
        <w:adjustRightInd w:val="0"/>
        <w:snapToGrid w:val="0"/>
        <w:spacing w:after="0" w:line="560" w:lineRule="atLeast"/>
        <w:ind w:firstLine="560" w:firstLineChars="200"/>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2.（标的名称），属于（采购文件中明确的所属行业）行业；承建（承接）企业为（企业名称），从业人员</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人，营业收入为</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万元，资产总额为</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万元，属于（中型企业、小型企业、微型企业）；</w:t>
      </w:r>
    </w:p>
    <w:p w14:paraId="16984713">
      <w:pPr>
        <w:keepNext w:val="0"/>
        <w:keepLines w:val="0"/>
        <w:pageBreakBefore w:val="0"/>
        <w:widowControl/>
        <w:kinsoku/>
        <w:wordWrap/>
        <w:overflowPunct/>
        <w:topLinePunct w:val="0"/>
        <w:autoSpaceDE/>
        <w:autoSpaceDN/>
        <w:bidi w:val="0"/>
        <w:adjustRightInd w:val="0"/>
        <w:snapToGrid w:val="0"/>
        <w:spacing w:after="0" w:line="560" w:lineRule="atLeast"/>
        <w:ind w:firstLine="560" w:firstLineChars="200"/>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w:t>
      </w:r>
    </w:p>
    <w:p w14:paraId="645700DE">
      <w:pPr>
        <w:keepNext w:val="0"/>
        <w:keepLines w:val="0"/>
        <w:pageBreakBefore w:val="0"/>
        <w:widowControl/>
        <w:kinsoku/>
        <w:wordWrap/>
        <w:overflowPunct/>
        <w:topLinePunct w:val="0"/>
        <w:autoSpaceDE/>
        <w:autoSpaceDN/>
        <w:bidi w:val="0"/>
        <w:adjustRightInd w:val="0"/>
        <w:snapToGrid w:val="0"/>
        <w:spacing w:after="0" w:line="560" w:lineRule="atLeast"/>
        <w:ind w:firstLine="560" w:firstLineChars="200"/>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以上企业，不属于大企业的分支机构，不存在控股股东为大企业的情形，也不存在与大企业的负责人为同一人的情形。</w:t>
      </w:r>
    </w:p>
    <w:p w14:paraId="592D449E">
      <w:pPr>
        <w:keepNext w:val="0"/>
        <w:keepLines w:val="0"/>
        <w:pageBreakBefore w:val="0"/>
        <w:widowControl/>
        <w:kinsoku/>
        <w:wordWrap/>
        <w:overflowPunct/>
        <w:topLinePunct w:val="0"/>
        <w:autoSpaceDE/>
        <w:autoSpaceDN/>
        <w:bidi w:val="0"/>
        <w:adjustRightInd w:val="0"/>
        <w:snapToGrid w:val="0"/>
        <w:spacing w:after="0" w:line="560" w:lineRule="atLeast"/>
        <w:ind w:firstLine="560" w:firstLineChars="200"/>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本企业对上述声明内容的真实性负责。如有虚假，将依法承担相应责任。</w:t>
      </w:r>
    </w:p>
    <w:p w14:paraId="64032B9C">
      <w:pPr>
        <w:keepNext w:val="0"/>
        <w:keepLines w:val="0"/>
        <w:pageBreakBefore w:val="0"/>
        <w:widowControl/>
        <w:kinsoku/>
        <w:wordWrap/>
        <w:overflowPunct/>
        <w:topLinePunct w:val="0"/>
        <w:autoSpaceDE/>
        <w:autoSpaceDN/>
        <w:bidi w:val="0"/>
        <w:adjustRightInd w:val="0"/>
        <w:snapToGrid w:val="0"/>
        <w:spacing w:after="0" w:line="560" w:lineRule="atLeast"/>
        <w:textAlignment w:val="auto"/>
        <w:outlineLvl w:val="9"/>
        <w:rPr>
          <w:rFonts w:hint="eastAsia" w:ascii="方正仿宋_GBK" w:hAnsi="方正仿宋_GBK" w:eastAsia="方正仿宋_GBK" w:cs="方正仿宋_GBK"/>
          <w:sz w:val="28"/>
          <w:szCs w:val="28"/>
        </w:rPr>
      </w:pPr>
    </w:p>
    <w:p w14:paraId="2FD4403D">
      <w:pPr>
        <w:keepNext w:val="0"/>
        <w:keepLines w:val="0"/>
        <w:pageBreakBefore w:val="0"/>
        <w:widowControl/>
        <w:kinsoku/>
        <w:wordWrap/>
        <w:overflowPunct/>
        <w:topLinePunct w:val="0"/>
        <w:autoSpaceDE/>
        <w:autoSpaceDN/>
        <w:bidi w:val="0"/>
        <w:adjustRightInd w:val="0"/>
        <w:snapToGrid w:val="0"/>
        <w:spacing w:after="0" w:line="560" w:lineRule="atLeast"/>
        <w:jc w:val="center"/>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企业名称（盖章）：</w:t>
      </w:r>
    </w:p>
    <w:p w14:paraId="58E875E9">
      <w:pPr>
        <w:keepNext w:val="0"/>
        <w:keepLines w:val="0"/>
        <w:pageBreakBefore w:val="0"/>
        <w:widowControl/>
        <w:kinsoku/>
        <w:wordWrap/>
        <w:overflowPunct/>
        <w:topLinePunct w:val="0"/>
        <w:autoSpaceDE/>
        <w:autoSpaceDN/>
        <w:bidi w:val="0"/>
        <w:adjustRightInd w:val="0"/>
        <w:snapToGrid w:val="0"/>
        <w:spacing w:after="0" w:line="560" w:lineRule="atLeast"/>
        <w:ind w:left="5880" w:hanging="5880" w:hangingChars="2100"/>
        <w:jc w:val="left"/>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日期：</w:t>
      </w:r>
    </w:p>
    <w:p w14:paraId="26382390">
      <w:pPr>
        <w:keepNext w:val="0"/>
        <w:keepLines w:val="0"/>
        <w:pageBreakBefore w:val="0"/>
        <w:widowControl/>
        <w:kinsoku/>
        <w:wordWrap/>
        <w:overflowPunct/>
        <w:topLinePunct w:val="0"/>
        <w:autoSpaceDE/>
        <w:autoSpaceDN/>
        <w:bidi w:val="0"/>
        <w:adjustRightInd w:val="0"/>
        <w:snapToGrid w:val="0"/>
        <w:spacing w:after="0" w:line="240" w:lineRule="exact"/>
        <w:textAlignment w:val="auto"/>
        <w:outlineLvl w:val="9"/>
        <w:rPr>
          <w:rFonts w:hint="eastAsia" w:ascii="方正仿宋_GBK" w:hAnsi="方正仿宋_GBK" w:eastAsia="方正仿宋_GBK" w:cs="方正仿宋_GBK"/>
          <w:sz w:val="20"/>
          <w:szCs w:val="20"/>
        </w:rPr>
      </w:pPr>
      <w:r>
        <w:rPr>
          <w:rFonts w:hint="eastAsia" w:ascii="方正仿宋_GBK" w:hAnsi="方正仿宋_GBK" w:eastAsia="方正仿宋_GBK" w:cs="方正仿宋_GBK"/>
          <w:sz w:val="20"/>
          <w:szCs w:val="20"/>
        </w:rPr>
        <w:t>填写时应注意以下事项：</w:t>
      </w:r>
    </w:p>
    <w:p w14:paraId="2DB3E109">
      <w:pPr>
        <w:keepNext w:val="0"/>
        <w:keepLines w:val="0"/>
        <w:pageBreakBefore w:val="0"/>
        <w:widowControl/>
        <w:kinsoku/>
        <w:wordWrap/>
        <w:overflowPunct/>
        <w:topLinePunct w:val="0"/>
        <w:autoSpaceDE/>
        <w:autoSpaceDN/>
        <w:bidi w:val="0"/>
        <w:adjustRightInd w:val="0"/>
        <w:snapToGrid w:val="0"/>
        <w:spacing w:after="0" w:line="240" w:lineRule="exact"/>
        <w:textAlignment w:val="auto"/>
        <w:outlineLvl w:val="9"/>
        <w:rPr>
          <w:rFonts w:hint="eastAsia" w:ascii="方正仿宋_GBK" w:hAnsi="方正仿宋_GBK" w:eastAsia="方正仿宋_GBK" w:cs="方正仿宋_GBK"/>
          <w:sz w:val="20"/>
          <w:szCs w:val="20"/>
        </w:rPr>
      </w:pPr>
      <w:r>
        <w:rPr>
          <w:rFonts w:hint="eastAsia" w:ascii="方正仿宋_GBK" w:hAnsi="方正仿宋_GBK" w:eastAsia="方正仿宋_GBK" w:cs="方正仿宋_GBK"/>
          <w:sz w:val="20"/>
          <w:szCs w:val="20"/>
        </w:rPr>
        <w:t>1.从业人员、营业收入、资产总额填报上一年度数据，无上一年度数据的新成立企业可不填报。</w:t>
      </w:r>
    </w:p>
    <w:p w14:paraId="421B9781">
      <w:pPr>
        <w:keepNext w:val="0"/>
        <w:keepLines w:val="0"/>
        <w:pageBreakBefore w:val="0"/>
        <w:widowControl/>
        <w:kinsoku/>
        <w:wordWrap/>
        <w:overflowPunct/>
        <w:topLinePunct w:val="0"/>
        <w:autoSpaceDE/>
        <w:autoSpaceDN/>
        <w:bidi w:val="0"/>
        <w:adjustRightInd w:val="0"/>
        <w:snapToGrid w:val="0"/>
        <w:spacing w:after="0" w:line="240" w:lineRule="exact"/>
        <w:textAlignment w:val="auto"/>
        <w:outlineLvl w:val="9"/>
        <w:rPr>
          <w:rFonts w:hint="eastAsia" w:ascii="方正仿宋_GBK" w:hAnsi="方正仿宋_GBK" w:eastAsia="方正仿宋_GBK" w:cs="方正仿宋_GBK"/>
          <w:sz w:val="20"/>
          <w:szCs w:val="20"/>
        </w:rPr>
      </w:pPr>
      <w:r>
        <w:rPr>
          <w:rFonts w:hint="eastAsia" w:ascii="方正仿宋_GBK" w:hAnsi="方正仿宋_GBK" w:eastAsia="方正仿宋_GBK" w:cs="方正仿宋_GBK"/>
          <w:sz w:val="20"/>
          <w:szCs w:val="20"/>
        </w:rPr>
        <w:t>2.中小企业应当按照《中小企业划型标准规定》（工信部联企业〔2011〕300号），如实填写并提交《中小企业声明函》。</w:t>
      </w:r>
    </w:p>
    <w:p w14:paraId="54A1886B">
      <w:pPr>
        <w:keepNext w:val="0"/>
        <w:keepLines w:val="0"/>
        <w:pageBreakBefore w:val="0"/>
        <w:widowControl/>
        <w:kinsoku/>
        <w:wordWrap/>
        <w:overflowPunct/>
        <w:topLinePunct w:val="0"/>
        <w:autoSpaceDE/>
        <w:autoSpaceDN/>
        <w:bidi w:val="0"/>
        <w:adjustRightInd w:val="0"/>
        <w:snapToGrid w:val="0"/>
        <w:spacing w:after="0" w:line="240" w:lineRule="exact"/>
        <w:textAlignment w:val="auto"/>
        <w:outlineLvl w:val="9"/>
        <w:rPr>
          <w:rFonts w:hint="eastAsia" w:ascii="方正仿宋_GBK" w:hAnsi="方正仿宋_GBK" w:eastAsia="方正仿宋_GBK" w:cs="方正仿宋_GBK"/>
          <w:sz w:val="20"/>
          <w:szCs w:val="20"/>
          <w:lang w:eastAsia="zh-CN"/>
        </w:rPr>
      </w:pPr>
      <w:r>
        <w:rPr>
          <w:rFonts w:hint="eastAsia" w:ascii="方正仿宋_GBK" w:hAnsi="方正仿宋_GBK" w:eastAsia="方正仿宋_GBK" w:cs="方正仿宋_GBK"/>
          <w:sz w:val="20"/>
          <w:szCs w:val="20"/>
        </w:rPr>
        <w:t>3.</w:t>
      </w:r>
      <w:r>
        <w:rPr>
          <w:rFonts w:hint="eastAsia" w:ascii="方正仿宋_GBK" w:hAnsi="方正仿宋_GBK" w:eastAsia="方正仿宋_GBK" w:cs="方正仿宋_GBK"/>
          <w:sz w:val="20"/>
          <w:szCs w:val="20"/>
          <w:lang w:eastAsia="zh-CN"/>
        </w:rPr>
        <w:t>供应商</w:t>
      </w:r>
      <w:r>
        <w:rPr>
          <w:rFonts w:hint="eastAsia" w:ascii="方正仿宋_GBK" w:hAnsi="方正仿宋_GBK" w:eastAsia="方正仿宋_GBK" w:cs="方正仿宋_GBK"/>
          <w:sz w:val="20"/>
          <w:szCs w:val="20"/>
        </w:rPr>
        <w:t>填写《中小企业声明函》中所属行业时，应与采购文件第一篇“采购标的对应的中小企业划分标准所属行业”中填写的所属行业一致</w:t>
      </w:r>
      <w:r>
        <w:rPr>
          <w:rFonts w:hint="eastAsia" w:ascii="方正仿宋_GBK" w:hAnsi="方正仿宋_GBK" w:eastAsia="方正仿宋_GBK" w:cs="方正仿宋_GBK"/>
          <w:sz w:val="20"/>
          <w:szCs w:val="20"/>
          <w:lang w:eastAsia="zh-CN"/>
        </w:rPr>
        <w:t>。</w:t>
      </w:r>
    </w:p>
    <w:p w14:paraId="26BB5F81">
      <w:pPr>
        <w:keepNext w:val="0"/>
        <w:keepLines w:val="0"/>
        <w:pageBreakBefore w:val="0"/>
        <w:widowControl/>
        <w:kinsoku/>
        <w:wordWrap/>
        <w:overflowPunct/>
        <w:topLinePunct w:val="0"/>
        <w:autoSpaceDE/>
        <w:autoSpaceDN/>
        <w:bidi w:val="0"/>
        <w:adjustRightInd w:val="0"/>
        <w:snapToGrid w:val="0"/>
        <w:spacing w:line="240" w:lineRule="exact"/>
        <w:textAlignment w:val="auto"/>
        <w:outlineLvl w:val="9"/>
        <w:rPr>
          <w:rFonts w:hint="eastAsia" w:ascii="方正小标宋_GBK" w:hAnsi="方正小标宋_GBK" w:eastAsia="方正小标宋_GBK" w:cs="方正小标宋_GBK"/>
          <w:sz w:val="32"/>
          <w:szCs w:val="32"/>
        </w:rPr>
      </w:pPr>
      <w:r>
        <w:rPr>
          <w:rFonts w:hint="eastAsia" w:ascii="方正仿宋_GBK" w:hAnsi="方正仿宋_GBK" w:eastAsia="方正仿宋_GBK" w:cs="方正仿宋_GBK"/>
          <w:sz w:val="20"/>
          <w:szCs w:val="20"/>
          <w:lang w:eastAsia="zh-CN"/>
        </w:rPr>
        <w:t>4.本声明函“企业名称（盖章）”处为供应商盖章。</w:t>
      </w:r>
    </w:p>
    <w:p w14:paraId="05A4D3EE">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outlineLvl w:val="9"/>
        <w:rPr>
          <w:rFonts w:hint="eastAsia"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残疾人福利性单位声明函</w:t>
      </w:r>
    </w:p>
    <w:p w14:paraId="01A57FA9">
      <w:pPr>
        <w:keepNext w:val="0"/>
        <w:keepLines w:val="0"/>
        <w:pageBreakBefore w:val="0"/>
        <w:widowControl/>
        <w:kinsoku/>
        <w:wordWrap/>
        <w:overflowPunct/>
        <w:topLinePunct w:val="0"/>
        <w:autoSpaceDE/>
        <w:autoSpaceDN/>
        <w:bidi w:val="0"/>
        <w:adjustRightInd w:val="0"/>
        <w:snapToGrid w:val="0"/>
        <w:spacing w:after="0" w:line="560" w:lineRule="exact"/>
        <w:textAlignment w:val="auto"/>
        <w:outlineLvl w:val="9"/>
        <w:rPr>
          <w:rFonts w:hint="eastAsia" w:ascii="方正仿宋_GBK" w:hAnsi="方正仿宋_GBK" w:eastAsia="方正仿宋_GBK" w:cs="方正仿宋_GBK"/>
          <w:b w:val="0"/>
          <w:bCs w:val="0"/>
          <w:sz w:val="28"/>
          <w:szCs w:val="28"/>
        </w:rPr>
      </w:pPr>
    </w:p>
    <w:p w14:paraId="26C61030">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textAlignment w:val="auto"/>
        <w:outlineLvl w:val="9"/>
        <w:rPr>
          <w:rFonts w:hint="eastAsia" w:ascii="方正仿宋_GBK" w:hAnsi="方正仿宋_GBK" w:eastAsia="方正仿宋_GBK" w:cs="方正仿宋_GBK"/>
          <w:b w:val="0"/>
          <w:bCs w:val="0"/>
          <w:sz w:val="28"/>
          <w:szCs w:val="28"/>
        </w:rPr>
      </w:pPr>
      <w:r>
        <w:rPr>
          <w:rFonts w:hint="eastAsia" w:ascii="方正仿宋_GBK" w:hAnsi="方正仿宋_GBK" w:eastAsia="方正仿宋_GBK" w:cs="方正仿宋_GBK"/>
          <w:b w:val="0"/>
          <w:bCs w:val="0"/>
          <w:sz w:val="28"/>
          <w:szCs w:val="28"/>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7806A3F7">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textAlignment w:val="auto"/>
        <w:outlineLvl w:val="9"/>
        <w:rPr>
          <w:rFonts w:hint="eastAsia" w:ascii="方正仿宋_GBK" w:hAnsi="方正仿宋_GBK" w:eastAsia="方正仿宋_GBK" w:cs="方正仿宋_GBK"/>
          <w:b w:val="0"/>
          <w:bCs w:val="0"/>
          <w:sz w:val="28"/>
          <w:szCs w:val="28"/>
        </w:rPr>
      </w:pPr>
      <w:r>
        <w:rPr>
          <w:rFonts w:hint="eastAsia" w:ascii="方正仿宋_GBK" w:hAnsi="方正仿宋_GBK" w:eastAsia="方正仿宋_GBK" w:cs="方正仿宋_GBK"/>
          <w:b w:val="0"/>
          <w:bCs w:val="0"/>
          <w:sz w:val="28"/>
          <w:szCs w:val="28"/>
        </w:rPr>
        <w:t>本单位对上述声明的真实性负责。如有虚假，将依法承担相应责任。</w:t>
      </w:r>
    </w:p>
    <w:p w14:paraId="2267480E">
      <w:pPr>
        <w:keepNext w:val="0"/>
        <w:keepLines w:val="0"/>
        <w:pageBreakBefore w:val="0"/>
        <w:widowControl/>
        <w:kinsoku/>
        <w:wordWrap/>
        <w:overflowPunct/>
        <w:topLinePunct w:val="0"/>
        <w:autoSpaceDE/>
        <w:autoSpaceDN/>
        <w:bidi w:val="0"/>
        <w:adjustRightInd w:val="0"/>
        <w:snapToGrid w:val="0"/>
        <w:spacing w:after="0" w:line="560" w:lineRule="exact"/>
        <w:textAlignment w:val="auto"/>
        <w:outlineLvl w:val="9"/>
        <w:rPr>
          <w:rFonts w:hint="eastAsia" w:ascii="方正仿宋_GBK" w:hAnsi="方正仿宋_GBK" w:eastAsia="方正仿宋_GBK" w:cs="方正仿宋_GBK"/>
          <w:b w:val="0"/>
          <w:bCs w:val="0"/>
          <w:sz w:val="28"/>
          <w:szCs w:val="28"/>
        </w:rPr>
      </w:pPr>
    </w:p>
    <w:p w14:paraId="63F345F8">
      <w:pPr>
        <w:keepNext w:val="0"/>
        <w:keepLines w:val="0"/>
        <w:pageBreakBefore w:val="0"/>
        <w:widowControl/>
        <w:kinsoku/>
        <w:wordWrap/>
        <w:overflowPunct/>
        <w:topLinePunct w:val="0"/>
        <w:autoSpaceDE/>
        <w:autoSpaceDN/>
        <w:bidi w:val="0"/>
        <w:adjustRightInd w:val="0"/>
        <w:snapToGrid w:val="0"/>
        <w:spacing w:after="0" w:line="560" w:lineRule="exact"/>
        <w:textAlignment w:val="auto"/>
        <w:outlineLvl w:val="9"/>
        <w:rPr>
          <w:rFonts w:hint="eastAsia" w:ascii="方正仿宋_GBK" w:hAnsi="方正仿宋_GBK" w:eastAsia="方正仿宋_GBK" w:cs="方正仿宋_GBK"/>
          <w:b w:val="0"/>
          <w:bCs w:val="0"/>
          <w:sz w:val="28"/>
          <w:szCs w:val="28"/>
        </w:rPr>
      </w:pPr>
    </w:p>
    <w:p w14:paraId="7B00DDBE">
      <w:pPr>
        <w:keepNext w:val="0"/>
        <w:keepLines w:val="0"/>
        <w:pageBreakBefore w:val="0"/>
        <w:widowControl/>
        <w:kinsoku/>
        <w:wordWrap/>
        <w:overflowPunct/>
        <w:topLinePunct w:val="0"/>
        <w:autoSpaceDE/>
        <w:autoSpaceDN/>
        <w:bidi w:val="0"/>
        <w:adjustRightInd w:val="0"/>
        <w:snapToGrid w:val="0"/>
        <w:spacing w:after="0" w:line="560" w:lineRule="exact"/>
        <w:textAlignment w:val="auto"/>
        <w:outlineLvl w:val="9"/>
        <w:rPr>
          <w:rFonts w:hint="eastAsia" w:ascii="方正仿宋_GBK" w:hAnsi="方正仿宋_GBK" w:eastAsia="方正仿宋_GBK" w:cs="方正仿宋_GBK"/>
          <w:b w:val="0"/>
          <w:bCs w:val="0"/>
          <w:sz w:val="28"/>
          <w:szCs w:val="28"/>
        </w:rPr>
      </w:pPr>
      <w:r>
        <w:rPr>
          <w:rFonts w:hint="eastAsia" w:ascii="方正仿宋_GBK" w:hAnsi="方正仿宋_GBK" w:eastAsia="方正仿宋_GBK" w:cs="方正仿宋_GBK"/>
          <w:b w:val="0"/>
          <w:bCs w:val="0"/>
          <w:sz w:val="28"/>
          <w:szCs w:val="28"/>
          <w:lang w:eastAsia="zh-CN"/>
        </w:rPr>
        <w:t>供应商</w:t>
      </w:r>
      <w:r>
        <w:rPr>
          <w:rFonts w:hint="eastAsia" w:ascii="方正仿宋_GBK" w:hAnsi="方正仿宋_GBK" w:eastAsia="方正仿宋_GBK" w:cs="方正仿宋_GBK"/>
          <w:b w:val="0"/>
          <w:bCs w:val="0"/>
          <w:sz w:val="28"/>
          <w:szCs w:val="28"/>
        </w:rPr>
        <w:t xml:space="preserve">名称（公章）：        </w:t>
      </w:r>
    </w:p>
    <w:p w14:paraId="14DFBB19">
      <w:pPr>
        <w:keepNext w:val="0"/>
        <w:keepLines w:val="0"/>
        <w:pageBreakBefore w:val="0"/>
        <w:widowControl/>
        <w:kinsoku/>
        <w:wordWrap/>
        <w:overflowPunct/>
        <w:topLinePunct w:val="0"/>
        <w:autoSpaceDE/>
        <w:autoSpaceDN/>
        <w:bidi w:val="0"/>
        <w:adjustRightInd w:val="0"/>
        <w:snapToGrid w:val="0"/>
        <w:spacing w:after="0" w:line="560" w:lineRule="exact"/>
        <w:jc w:val="right"/>
        <w:textAlignment w:val="auto"/>
        <w:outlineLvl w:val="9"/>
        <w:rPr>
          <w:rFonts w:hint="eastAsia" w:ascii="方正仿宋_GBK" w:hAnsi="方正仿宋_GBK" w:eastAsia="方正仿宋_GBK" w:cs="方正仿宋_GBK"/>
          <w:b w:val="0"/>
          <w:bCs w:val="0"/>
          <w:sz w:val="28"/>
          <w:szCs w:val="28"/>
        </w:rPr>
      </w:pPr>
      <w:r>
        <w:rPr>
          <w:rFonts w:hint="eastAsia" w:ascii="方正仿宋_GBK" w:hAnsi="方正仿宋_GBK" w:eastAsia="方正仿宋_GBK" w:cs="方正仿宋_GBK"/>
          <w:b w:val="0"/>
          <w:bCs w:val="0"/>
          <w:sz w:val="28"/>
          <w:szCs w:val="28"/>
        </w:rPr>
        <w:t>年    月    日</w:t>
      </w:r>
    </w:p>
    <w:p w14:paraId="09852682">
      <w:pPr>
        <w:snapToGrid w:val="0"/>
        <w:spacing w:line="312" w:lineRule="auto"/>
        <w:rPr>
          <w:rFonts w:hint="eastAsia" w:ascii="方正仿宋_GBK" w:hAnsi="宋体" w:eastAsia="方正仿宋_GBK"/>
          <w:sz w:val="24"/>
          <w:szCs w:val="24"/>
          <w:highlight w:val="none"/>
          <w:lang w:val="en-US" w:eastAsia="zh-CN"/>
        </w:rPr>
        <w:sectPr>
          <w:pgSz w:w="11907" w:h="16840"/>
          <w:pgMar w:top="1984" w:right="1446" w:bottom="1644" w:left="1446" w:header="851" w:footer="992" w:gutter="0"/>
          <w:pgNumType w:fmt="numberInDash"/>
          <w:cols w:space="720" w:num="1"/>
          <w:docGrid w:linePitch="380" w:charSpace="-5735"/>
        </w:sectPr>
      </w:pPr>
    </w:p>
    <w:p w14:paraId="384200AB">
      <w:pPr>
        <w:keepNext w:val="0"/>
        <w:keepLines w:val="0"/>
        <w:pageBreakBefore w:val="0"/>
        <w:widowControl/>
        <w:kinsoku/>
        <w:wordWrap/>
        <w:overflowPunct/>
        <w:topLinePunct w:val="0"/>
        <w:autoSpaceDE/>
        <w:autoSpaceDN/>
        <w:bidi w:val="0"/>
        <w:adjustRightInd w:val="0"/>
        <w:snapToGrid w:val="0"/>
        <w:spacing w:after="0" w:line="560" w:lineRule="exact"/>
        <w:textAlignment w:val="auto"/>
        <w:outlineLvl w:val="9"/>
        <w:rPr>
          <w:rFonts w:hint="eastAsia" w:ascii="方正仿宋_GBK" w:hAnsi="方正仿宋_GBK" w:eastAsia="方正仿宋_GBK" w:cs="方正仿宋_GBK"/>
          <w:b w:val="0"/>
          <w:bCs w:val="0"/>
          <w:sz w:val="28"/>
          <w:szCs w:val="28"/>
        </w:rPr>
      </w:pPr>
    </w:p>
    <w:sectPr>
      <w:pgSz w:w="11906" w:h="16838"/>
      <w:pgMar w:top="1984" w:right="1446" w:bottom="1644" w:left="1446" w:header="708" w:footer="708" w:gutter="0"/>
      <w:pgNumType w:fmt="numberInDash"/>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D2E5A">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ABAF06">
                          <w:pPr>
                            <w:pStyle w:val="6"/>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fldChar w:fldCharType="begin"/>
                          </w:r>
                          <w:r>
                            <w:rPr>
                              <w:rFonts w:hint="eastAsia" w:ascii="方正仿宋_GBK" w:hAnsi="方正仿宋_GBK" w:eastAsia="方正仿宋_GBK" w:cs="方正仿宋_GBK"/>
                              <w:sz w:val="24"/>
                              <w:szCs w:val="24"/>
                            </w:rPr>
                            <w:instrText xml:space="preserve"> PAGE  \* MERGEFORMAT </w:instrText>
                          </w:r>
                          <w:r>
                            <w:rPr>
                              <w:rFonts w:hint="eastAsia" w:ascii="方正仿宋_GBK" w:hAnsi="方正仿宋_GBK" w:eastAsia="方正仿宋_GBK" w:cs="方正仿宋_GBK"/>
                              <w:sz w:val="24"/>
                              <w:szCs w:val="24"/>
                            </w:rPr>
                            <w:fldChar w:fldCharType="separate"/>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DABAF06">
                    <w:pPr>
                      <w:pStyle w:val="6"/>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fldChar w:fldCharType="begin"/>
                    </w:r>
                    <w:r>
                      <w:rPr>
                        <w:rFonts w:hint="eastAsia" w:ascii="方正仿宋_GBK" w:hAnsi="方正仿宋_GBK" w:eastAsia="方正仿宋_GBK" w:cs="方正仿宋_GBK"/>
                        <w:sz w:val="24"/>
                        <w:szCs w:val="24"/>
                      </w:rPr>
                      <w:instrText xml:space="preserve"> PAGE  \* MERGEFORMAT </w:instrText>
                    </w:r>
                    <w:r>
                      <w:rPr>
                        <w:rFonts w:hint="eastAsia" w:ascii="方正仿宋_GBK" w:hAnsi="方正仿宋_GBK" w:eastAsia="方正仿宋_GBK" w:cs="方正仿宋_GBK"/>
                        <w:sz w:val="24"/>
                        <w:szCs w:val="24"/>
                      </w:rPr>
                      <w:fldChar w:fldCharType="separate"/>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461A3"/>
    <w:rsid w:val="0005222F"/>
    <w:rsid w:val="00260C1A"/>
    <w:rsid w:val="00293019"/>
    <w:rsid w:val="002F104E"/>
    <w:rsid w:val="00323B43"/>
    <w:rsid w:val="003D37D8"/>
    <w:rsid w:val="00426133"/>
    <w:rsid w:val="004358AB"/>
    <w:rsid w:val="005239CF"/>
    <w:rsid w:val="006F5749"/>
    <w:rsid w:val="008B7726"/>
    <w:rsid w:val="00D31D50"/>
    <w:rsid w:val="00DC2D69"/>
    <w:rsid w:val="065C0248"/>
    <w:rsid w:val="075A7AEE"/>
    <w:rsid w:val="0C5E1CA9"/>
    <w:rsid w:val="0E6779B3"/>
    <w:rsid w:val="0FC44344"/>
    <w:rsid w:val="12F463B4"/>
    <w:rsid w:val="139C41A2"/>
    <w:rsid w:val="14DE22CC"/>
    <w:rsid w:val="153413A5"/>
    <w:rsid w:val="16B71652"/>
    <w:rsid w:val="17510614"/>
    <w:rsid w:val="19AB2E22"/>
    <w:rsid w:val="1A280496"/>
    <w:rsid w:val="1AB520A6"/>
    <w:rsid w:val="1BC0656D"/>
    <w:rsid w:val="1F6F5F6D"/>
    <w:rsid w:val="20653E8F"/>
    <w:rsid w:val="21531C6F"/>
    <w:rsid w:val="23444FDF"/>
    <w:rsid w:val="23D563C9"/>
    <w:rsid w:val="24206335"/>
    <w:rsid w:val="24AD39C1"/>
    <w:rsid w:val="2CC00C88"/>
    <w:rsid w:val="2F945544"/>
    <w:rsid w:val="31934481"/>
    <w:rsid w:val="33061933"/>
    <w:rsid w:val="330F61F8"/>
    <w:rsid w:val="395463A7"/>
    <w:rsid w:val="397077F7"/>
    <w:rsid w:val="39C1285D"/>
    <w:rsid w:val="3A3A26CF"/>
    <w:rsid w:val="3CBE5E4E"/>
    <w:rsid w:val="3D894F7D"/>
    <w:rsid w:val="3DDB1D53"/>
    <w:rsid w:val="3E375EB7"/>
    <w:rsid w:val="3FCA5001"/>
    <w:rsid w:val="40A5325C"/>
    <w:rsid w:val="42123C5E"/>
    <w:rsid w:val="45D61F0F"/>
    <w:rsid w:val="4A846EF9"/>
    <w:rsid w:val="4CA13539"/>
    <w:rsid w:val="4D027691"/>
    <w:rsid w:val="4D7B263F"/>
    <w:rsid w:val="4D9A1152"/>
    <w:rsid w:val="4F706F2B"/>
    <w:rsid w:val="50AC608A"/>
    <w:rsid w:val="5178164C"/>
    <w:rsid w:val="537A05D0"/>
    <w:rsid w:val="56DB1151"/>
    <w:rsid w:val="576757A8"/>
    <w:rsid w:val="59B91A1D"/>
    <w:rsid w:val="5A3966BC"/>
    <w:rsid w:val="5E1978DE"/>
    <w:rsid w:val="5EA9720E"/>
    <w:rsid w:val="61442516"/>
    <w:rsid w:val="672940C0"/>
    <w:rsid w:val="6AF21E59"/>
    <w:rsid w:val="6C96075A"/>
    <w:rsid w:val="6CD95179"/>
    <w:rsid w:val="6E640473"/>
    <w:rsid w:val="6F8E5BAB"/>
    <w:rsid w:val="70E144B6"/>
    <w:rsid w:val="735D3FB1"/>
    <w:rsid w:val="73F41B79"/>
    <w:rsid w:val="754B0B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qFormat/>
    <w:uiPriority w:val="0"/>
    <w:pPr>
      <w:keepNext/>
      <w:keepLines/>
      <w:spacing w:before="260" w:after="260" w:line="413" w:lineRule="auto"/>
      <w:outlineLvl w:val="2"/>
    </w:pPr>
    <w:rPr>
      <w:b/>
      <w:sz w:val="32"/>
    </w:rPr>
  </w:style>
  <w:style w:type="character" w:default="1" w:styleId="10">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4">
    <w:name w:val="Body Text"/>
    <w:basedOn w:val="1"/>
    <w:next w:val="1"/>
    <w:qFormat/>
    <w:uiPriority w:val="0"/>
    <w:pPr>
      <w:spacing w:after="120"/>
    </w:pPr>
  </w:style>
  <w:style w:type="paragraph" w:styleId="5">
    <w:name w:val="Balloon Text"/>
    <w:basedOn w:val="1"/>
    <w:qFormat/>
    <w:uiPriority w:val="0"/>
    <w:rPr>
      <w:rFonts w:ascii="Times New Roman" w:hAnsi="Times New Roman"/>
      <w:sz w:val="18"/>
      <w:szCs w:val="20"/>
    </w:rPr>
  </w:style>
  <w:style w:type="paragraph" w:styleId="6">
    <w:name w:val="footer"/>
    <w:basedOn w:val="1"/>
    <w:link w:val="12"/>
    <w:unhideWhenUsed/>
    <w:qFormat/>
    <w:uiPriority w:val="99"/>
    <w:pPr>
      <w:tabs>
        <w:tab w:val="center" w:pos="4153"/>
        <w:tab w:val="right" w:pos="8306"/>
      </w:tabs>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jc w:val="center"/>
    </w:pPr>
    <w:rPr>
      <w:sz w:val="18"/>
      <w:szCs w:val="18"/>
    </w:rPr>
  </w:style>
  <w:style w:type="paragraph" w:styleId="8">
    <w:name w:val="Body Text First Indent"/>
    <w:basedOn w:val="4"/>
    <w:qFormat/>
    <w:uiPriority w:val="0"/>
    <w:pPr>
      <w:spacing w:line="360" w:lineRule="auto"/>
      <w:ind w:firstLine="420"/>
    </w:pPr>
    <w:rPr>
      <w:rFonts w:ascii="宋体" w:hAnsi="宋体"/>
      <w:szCs w:val="20"/>
    </w:rPr>
  </w:style>
  <w:style w:type="character" w:customStyle="1" w:styleId="11">
    <w:name w:val="页眉 Char"/>
    <w:basedOn w:val="10"/>
    <w:link w:val="7"/>
    <w:semiHidden/>
    <w:qFormat/>
    <w:uiPriority w:val="99"/>
    <w:rPr>
      <w:rFonts w:ascii="Tahoma" w:hAnsi="Tahoma"/>
      <w:sz w:val="18"/>
      <w:szCs w:val="18"/>
    </w:rPr>
  </w:style>
  <w:style w:type="character" w:customStyle="1" w:styleId="12">
    <w:name w:val="页脚 Char"/>
    <w:basedOn w:val="10"/>
    <w:link w:val="6"/>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4725</Words>
  <Characters>5099</Characters>
  <Lines>9</Lines>
  <Paragraphs>2</Paragraphs>
  <TotalTime>2</TotalTime>
  <ScaleCrop>false</ScaleCrop>
  <LinksUpToDate>false</LinksUpToDate>
  <CharactersWithSpaces>5603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半夏时光</cp:lastModifiedBy>
  <cp:lastPrinted>2025-10-15T07:42:49Z</cp:lastPrinted>
  <dcterms:modified xsi:type="dcterms:W3CDTF">2025-10-15T07:43:03Z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eyJoZGlkIjoiZjg5YWQ1MGExZjRjODE3OWJlZmQwYTM4ZmIxNTRmY2IiLCJ1c2VySWQiOiIxMjA2MDA0MzQ0In0=</vt:lpwstr>
  </property>
  <property fmtid="{D5CDD505-2E9C-101B-9397-08002B2CF9AE}" pid="4" name="ICV">
    <vt:lpwstr>14B3A1563BE4484CB3A430355C990591_13</vt:lpwstr>
  </property>
</Properties>
</file>