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C18F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重庆市九龙坡区科学城人民医院</w:t>
      </w:r>
    </w:p>
    <w:p w14:paraId="00C62050">
      <w:pPr>
        <w:keepNext w:val="0"/>
        <w:keepLines w:val="0"/>
        <w:pageBreakBefore w:val="0"/>
        <w:widowControl w:val="0"/>
        <w:kinsoku/>
        <w:wordWrap/>
        <w:overflowPunct/>
        <w:topLinePunct w:val="0"/>
        <w:autoSpaceDE/>
        <w:autoSpaceDN/>
        <w:bidi w:val="0"/>
        <w:adjustRightInd/>
        <w:snapToGrid/>
        <w:spacing w:line="600" w:lineRule="exact"/>
        <w:jc w:val="center"/>
        <w:textAlignment w:val="auto"/>
      </w:pPr>
      <w:r>
        <w:rPr>
          <w:rFonts w:hint="eastAsia" w:ascii="方正小标宋_GBK" w:hAnsi="方正小标宋_GBK" w:eastAsia="方正小标宋_GBK" w:cs="方正小标宋_GBK"/>
          <w:sz w:val="44"/>
          <w:szCs w:val="44"/>
        </w:rPr>
        <w:t>关于征集医疗责任险询价信息公告</w:t>
      </w:r>
    </w:p>
    <w:p w14:paraId="24AFEAF6">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方正仿宋_GBK" w:hAnsi="方正仿宋_GBK" w:eastAsia="方正仿宋_GBK" w:cs="方正仿宋_GBK"/>
          <w:sz w:val="32"/>
          <w:szCs w:val="32"/>
        </w:rPr>
      </w:pPr>
    </w:p>
    <w:p w14:paraId="5BA56F9E">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各潜在供应商：</w:t>
      </w:r>
    </w:p>
    <w:p w14:paraId="74B7F59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按照《民法典》《医疗纠纷预防和处理条例》《医疗事故处理条例》等法律法规有关要求，为做好我院医疗责任险参保工作，现公开征集医疗责任险</w:t>
      </w:r>
      <w:r>
        <w:rPr>
          <w:rFonts w:hint="eastAsia" w:ascii="方正仿宋_GBK" w:hAnsi="方正仿宋_GBK" w:eastAsia="方正仿宋_GBK" w:cs="方正仿宋_GBK"/>
          <w:kern w:val="0"/>
          <w:sz w:val="32"/>
          <w:szCs w:val="32"/>
        </w:rPr>
        <w:t>询价信息，欢迎有资质的保险公司前来提供医疗责任险方案及价格，</w:t>
      </w:r>
      <w:r>
        <w:rPr>
          <w:rFonts w:hint="eastAsia" w:ascii="方正仿宋_GBK" w:hAnsi="方正仿宋_GBK" w:eastAsia="方正仿宋_GBK" w:cs="方正仿宋_GBK"/>
          <w:sz w:val="32"/>
          <w:szCs w:val="32"/>
        </w:rPr>
        <w:t>具体公告如下：</w:t>
      </w:r>
    </w:p>
    <w:p w14:paraId="505558A1">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一、征集范围</w:t>
      </w:r>
    </w:p>
    <w:p w14:paraId="7535E9E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要求满足医疗责任风险化解、纠纷处置及事故理赔需要，保障临床医疗质量安全的医疗责任险服务。</w:t>
      </w:r>
      <w:r>
        <w:rPr>
          <w:rFonts w:hint="eastAsia" w:ascii="方正仿宋_GBK" w:hAnsi="方正仿宋_GBK" w:eastAsia="方正仿宋_GBK" w:cs="方正仿宋_GBK"/>
          <w:kern w:val="0"/>
          <w:sz w:val="32"/>
          <w:szCs w:val="32"/>
        </w:rPr>
        <w:t>报价前可向医院了解基本情况（医务科023-65769268）。</w:t>
      </w:r>
    </w:p>
    <w:p w14:paraId="305C60AC">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二、报送方式及要求</w:t>
      </w:r>
    </w:p>
    <w:p w14:paraId="62F58139">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color w:val="FF0000"/>
          <w:sz w:val="32"/>
          <w:szCs w:val="32"/>
        </w:rPr>
      </w:pPr>
      <w:r>
        <w:rPr>
          <w:rFonts w:hint="eastAsia" w:ascii="方正仿宋_GBK" w:hAnsi="方正仿宋_GBK" w:eastAsia="方正仿宋_GBK" w:cs="方正仿宋_GBK"/>
          <w:sz w:val="32"/>
          <w:szCs w:val="32"/>
        </w:rPr>
        <w:t>（一）收集时间：即日起至</w:t>
      </w:r>
      <w:r>
        <w:rPr>
          <w:rFonts w:hint="eastAsia" w:ascii="方正仿宋_GBK" w:hAnsi="方正仿宋_GBK" w:eastAsia="方正仿宋_GBK" w:cs="方正仿宋_GBK"/>
          <w:color w:val="FF0000"/>
          <w:sz w:val="32"/>
          <w:szCs w:val="32"/>
        </w:rPr>
        <w:t>202</w:t>
      </w:r>
      <w:r>
        <w:rPr>
          <w:rFonts w:hint="eastAsia" w:ascii="方正仿宋_GBK" w:hAnsi="方正仿宋_GBK" w:eastAsia="方正仿宋_GBK" w:cs="方正仿宋_GBK"/>
          <w:color w:val="FF0000"/>
          <w:sz w:val="32"/>
          <w:szCs w:val="32"/>
          <w:lang w:val="en-US" w:eastAsia="zh-CN"/>
        </w:rPr>
        <w:t>5</w:t>
      </w:r>
      <w:r>
        <w:rPr>
          <w:rFonts w:hint="eastAsia" w:ascii="方正仿宋_GBK" w:hAnsi="方正仿宋_GBK" w:eastAsia="方正仿宋_GBK" w:cs="方正仿宋_GBK"/>
          <w:color w:val="FF0000"/>
          <w:sz w:val="32"/>
          <w:szCs w:val="32"/>
        </w:rPr>
        <w:t>年1</w:t>
      </w:r>
      <w:r>
        <w:rPr>
          <w:rFonts w:hint="eastAsia" w:ascii="方正仿宋_GBK" w:hAnsi="方正仿宋_GBK" w:eastAsia="方正仿宋_GBK" w:cs="方正仿宋_GBK"/>
          <w:color w:val="FF0000"/>
          <w:sz w:val="32"/>
          <w:szCs w:val="32"/>
          <w:lang w:val="en-US" w:eastAsia="zh-CN"/>
        </w:rPr>
        <w:t>1</w:t>
      </w:r>
      <w:r>
        <w:rPr>
          <w:rFonts w:hint="eastAsia" w:ascii="方正仿宋_GBK" w:hAnsi="方正仿宋_GBK" w:eastAsia="方正仿宋_GBK" w:cs="方正仿宋_GBK"/>
          <w:color w:val="FF0000"/>
          <w:sz w:val="32"/>
          <w:szCs w:val="32"/>
        </w:rPr>
        <w:t>月</w:t>
      </w:r>
      <w:r>
        <w:rPr>
          <w:rFonts w:hint="eastAsia" w:ascii="方正仿宋_GBK" w:hAnsi="方正仿宋_GBK" w:eastAsia="方正仿宋_GBK" w:cs="方正仿宋_GBK"/>
          <w:color w:val="FF0000"/>
          <w:sz w:val="32"/>
          <w:szCs w:val="32"/>
          <w:lang w:val="en-US" w:eastAsia="zh-CN"/>
        </w:rPr>
        <w:t>3</w:t>
      </w:r>
      <w:r>
        <w:rPr>
          <w:rFonts w:hint="eastAsia" w:ascii="方正仿宋_GBK" w:hAnsi="方正仿宋_GBK" w:eastAsia="方正仿宋_GBK" w:cs="方正仿宋_GBK"/>
          <w:color w:val="FF0000"/>
          <w:sz w:val="32"/>
          <w:szCs w:val="32"/>
        </w:rPr>
        <w:t>日17:00止。</w:t>
      </w:r>
    </w:p>
    <w:p w14:paraId="7F6B4045">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（二）报价单位请提供单位资质（营业执照、税务登记证、组织机构代码证）、询价表（参照我院需求报价）、具体实施方案等（格式详见附件）。</w:t>
      </w:r>
    </w:p>
    <w:p w14:paraId="508D8BBB">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（三）请有意向的各潜在供应商积极推荐和提供医责险承保的最优方案及报价信息，在规定时限内将电子件报送至</w:t>
      </w:r>
      <w:r>
        <w:rPr>
          <w:rFonts w:hint="eastAsia" w:ascii="方正仿宋_GBK" w:hAnsi="方正仿宋_GBK" w:eastAsia="方正仿宋_GBK" w:cs="方正仿宋_GBK"/>
          <w:b w:val="0"/>
          <w:bCs w:val="0"/>
          <w:sz w:val="32"/>
          <w:szCs w:val="32"/>
        </w:rPr>
        <w:t>邮箱</w:t>
      </w:r>
      <w:r>
        <w:rPr>
          <w:rFonts w:ascii="方正仿宋_GBK" w:hAnsi="方正仿宋_GBK" w:eastAsia="方正仿宋_GBK" w:cs="方正仿宋_GBK"/>
          <w:b w:val="0"/>
          <w:bCs w:val="0"/>
          <w:sz w:val="32"/>
          <w:szCs w:val="32"/>
          <w:u w:val="single"/>
        </w:rPr>
        <w:t>kxcrmyyywk@163.com</w:t>
      </w:r>
      <w:r>
        <w:rPr>
          <w:rFonts w:hint="eastAsia" w:ascii="方正仿宋_GBK" w:hAnsi="方正仿宋_GBK" w:eastAsia="方正仿宋_GBK" w:cs="方正仿宋_GBK"/>
          <w:b w:val="0"/>
          <w:bCs w:val="0"/>
          <w:sz w:val="32"/>
          <w:szCs w:val="32"/>
        </w:rPr>
        <w:t>。</w:t>
      </w:r>
    </w:p>
    <w:p w14:paraId="613657BA">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（四）请各潜在供应商对所提供的技术支持服务项目参数以及提供的售后服务的真实性作出承诺，谢绝虚假信息。</w:t>
      </w:r>
      <w:bookmarkStart w:id="3" w:name="_GoBack"/>
      <w:bookmarkEnd w:id="3"/>
    </w:p>
    <w:p w14:paraId="1FB38900">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ascii="方正仿宋_GBK" w:hAnsi="方正仿宋_GBK" w:eastAsia="方正仿宋_GBK" w:cs="方正仿宋_GBK"/>
          <w:sz w:val="32"/>
          <w:szCs w:val="32"/>
        </w:rPr>
      </w:pPr>
    </w:p>
    <w:p w14:paraId="6574527B">
      <w:pPr>
        <w:keepNext w:val="0"/>
        <w:keepLines w:val="0"/>
        <w:pageBreakBefore w:val="0"/>
        <w:widowControl w:val="0"/>
        <w:kinsoku/>
        <w:wordWrap/>
        <w:overflowPunct/>
        <w:topLinePunct w:val="0"/>
        <w:autoSpaceDE/>
        <w:autoSpaceDN/>
        <w:bidi w:val="0"/>
        <w:adjustRightInd/>
        <w:snapToGrid/>
        <w:spacing w:line="500" w:lineRule="exact"/>
        <w:jc w:val="right"/>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重庆市九龙坡区科学城人民医院</w:t>
      </w:r>
    </w:p>
    <w:p w14:paraId="3A8D2388">
      <w:pPr>
        <w:keepNext w:val="0"/>
        <w:keepLines w:val="0"/>
        <w:pageBreakBefore w:val="0"/>
        <w:widowControl w:val="0"/>
        <w:kinsoku/>
        <w:wordWrap/>
        <w:overflowPunct/>
        <w:topLinePunct w:val="0"/>
        <w:autoSpaceDE/>
        <w:autoSpaceDN/>
        <w:bidi w:val="0"/>
        <w:adjustRightInd/>
        <w:snapToGrid/>
        <w:spacing w:line="500" w:lineRule="exact"/>
        <w:ind w:firstLine="5440" w:firstLineChars="17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color w:val="auto"/>
          <w:sz w:val="32"/>
          <w:szCs w:val="32"/>
        </w:rPr>
        <w:t>02</w:t>
      </w:r>
      <w:r>
        <w:rPr>
          <w:rFonts w:hint="eastAsia" w:ascii="方正仿宋_GBK" w:hAnsi="方正仿宋_GBK" w:eastAsia="方正仿宋_GBK" w:cs="方正仿宋_GBK"/>
          <w:color w:val="auto"/>
          <w:sz w:val="32"/>
          <w:szCs w:val="32"/>
          <w:lang w:val="en-US" w:eastAsia="zh-CN"/>
        </w:rPr>
        <w:t>5</w:t>
      </w:r>
      <w:r>
        <w:rPr>
          <w:rFonts w:hint="eastAsia" w:ascii="方正仿宋_GBK" w:hAnsi="方正仿宋_GBK" w:eastAsia="方正仿宋_GBK" w:cs="方正仿宋_GBK"/>
          <w:color w:val="auto"/>
          <w:sz w:val="32"/>
          <w:szCs w:val="32"/>
        </w:rPr>
        <w:t>年</w:t>
      </w:r>
      <w:r>
        <w:rPr>
          <w:rFonts w:hint="eastAsia" w:ascii="方正仿宋_GBK" w:hAnsi="方正仿宋_GBK" w:eastAsia="方正仿宋_GBK" w:cs="方正仿宋_GBK"/>
          <w:color w:val="auto"/>
          <w:sz w:val="32"/>
          <w:szCs w:val="32"/>
          <w:lang w:val="en-US" w:eastAsia="zh-CN"/>
        </w:rPr>
        <w:t>10</w:t>
      </w:r>
      <w:r>
        <w:rPr>
          <w:rFonts w:hint="eastAsia" w:ascii="方正仿宋_GBK" w:hAnsi="方正仿宋_GBK" w:eastAsia="方正仿宋_GBK" w:cs="方正仿宋_GBK"/>
          <w:color w:val="auto"/>
          <w:sz w:val="32"/>
          <w:szCs w:val="32"/>
        </w:rPr>
        <w:t>月</w:t>
      </w:r>
      <w:r>
        <w:rPr>
          <w:rFonts w:hint="eastAsia" w:ascii="方正仿宋_GBK" w:hAnsi="方正仿宋_GBK" w:eastAsia="方正仿宋_GBK" w:cs="方正仿宋_GBK"/>
          <w:color w:val="auto"/>
          <w:sz w:val="32"/>
          <w:szCs w:val="32"/>
          <w:lang w:val="en-US" w:eastAsia="zh-CN"/>
        </w:rPr>
        <w:t>27</w:t>
      </w:r>
      <w:r>
        <w:rPr>
          <w:rFonts w:hint="eastAsia" w:ascii="方正仿宋_GBK" w:hAnsi="方正仿宋_GBK" w:eastAsia="方正仿宋_GBK" w:cs="方正仿宋_GBK"/>
          <w:color w:val="auto"/>
          <w:sz w:val="32"/>
          <w:szCs w:val="32"/>
        </w:rPr>
        <w:t>日</w:t>
      </w:r>
    </w:p>
    <w:p w14:paraId="4D4BEC45">
      <w:pPr>
        <w:pStyle w:val="5"/>
        <w:rPr>
          <w:rFonts w:hint="eastAsia" w:ascii="方正黑体_GBK" w:hAnsi="方正黑体_GBK" w:eastAsia="方正黑体_GBK" w:cs="方正黑体_GBK"/>
        </w:rPr>
      </w:pPr>
      <w:r>
        <w:rPr>
          <w:rFonts w:hint="eastAsia" w:ascii="方正黑体_GBK" w:hAnsi="方正黑体_GBK" w:eastAsia="方正黑体_GBK" w:cs="方正黑体_GBK"/>
        </w:rPr>
        <w:t>附件1</w:t>
      </w:r>
    </w:p>
    <w:p w14:paraId="7C5E2AEA">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重庆市九龙坡区科学城人民医院</w:t>
      </w:r>
    </w:p>
    <w:p w14:paraId="43A143B3">
      <w:pPr>
        <w:spacing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医疗责任险询价表</w:t>
      </w:r>
    </w:p>
    <w:p w14:paraId="024820E9">
      <w:pPr>
        <w:pStyle w:val="13"/>
        <w:rPr>
          <w:rFonts w:hint="eastAsia" w:ascii="方正仿宋_GBK" w:hAnsi="方正仿宋_GBK" w:eastAsia="方正仿宋_GBK" w:cs="方正仿宋_GBK"/>
          <w:sz w:val="30"/>
          <w:szCs w:val="30"/>
        </w:rPr>
      </w:pPr>
    </w:p>
    <w:p w14:paraId="242331AF">
      <w:pPr>
        <w:pStyle w:val="13"/>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报价单位</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盖章</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w:t>
      </w:r>
    </w:p>
    <w:p w14:paraId="7535D267">
      <w:pPr>
        <w:pStyle w:val="13"/>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联系人及联系电话：</w:t>
      </w:r>
    </w:p>
    <w:tbl>
      <w:tblPr>
        <w:tblStyle w:val="8"/>
        <w:tblW w:w="86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9"/>
        <w:gridCol w:w="2896"/>
        <w:gridCol w:w="1550"/>
        <w:gridCol w:w="2239"/>
      </w:tblGrid>
      <w:tr w14:paraId="6B3C8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1919" w:type="dxa"/>
            <w:vAlign w:val="center"/>
          </w:tcPr>
          <w:p w14:paraId="2CD5A35E">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采购项目</w:t>
            </w:r>
          </w:p>
        </w:tc>
        <w:tc>
          <w:tcPr>
            <w:tcW w:w="2896" w:type="dxa"/>
            <w:vAlign w:val="center"/>
          </w:tcPr>
          <w:p w14:paraId="1AE920FF">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需求</w:t>
            </w:r>
          </w:p>
        </w:tc>
        <w:tc>
          <w:tcPr>
            <w:tcW w:w="1550" w:type="dxa"/>
            <w:vAlign w:val="center"/>
          </w:tcPr>
          <w:p w14:paraId="7CA393ED">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w:t>
            </w:r>
          </w:p>
          <w:p w14:paraId="2A6EDB44">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（万元）</w:t>
            </w:r>
          </w:p>
        </w:tc>
        <w:tc>
          <w:tcPr>
            <w:tcW w:w="2239" w:type="dxa"/>
            <w:vAlign w:val="center"/>
          </w:tcPr>
          <w:p w14:paraId="79DE9664">
            <w:pPr>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服务期</w:t>
            </w:r>
          </w:p>
        </w:tc>
      </w:tr>
      <w:tr w14:paraId="49232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1919" w:type="dxa"/>
            <w:vAlign w:val="center"/>
          </w:tcPr>
          <w:p w14:paraId="0B1E5A9B">
            <w:pPr>
              <w:jc w:val="center"/>
              <w:rPr>
                <w:rFonts w:hint="eastAsia" w:asciiTheme="minorEastAsia" w:hAnsiTheme="minorEastAsia"/>
              </w:rPr>
            </w:pPr>
            <w:r>
              <w:rPr>
                <w:rFonts w:hint="eastAsia" w:ascii="方正仿宋_GBK" w:hAnsi="方正仿宋_GBK" w:eastAsia="方正仿宋_GBK" w:cs="方正仿宋_GBK"/>
                <w:sz w:val="32"/>
                <w:szCs w:val="32"/>
              </w:rPr>
              <w:t>医疗责任险</w:t>
            </w:r>
          </w:p>
        </w:tc>
        <w:tc>
          <w:tcPr>
            <w:tcW w:w="2896" w:type="dxa"/>
            <w:vAlign w:val="center"/>
          </w:tcPr>
          <w:p w14:paraId="2686AAE0">
            <w:pPr>
              <w:jc w:val="center"/>
              <w:rPr>
                <w:rFonts w:hint="eastAsia" w:asciiTheme="minorEastAsia" w:hAnsiTheme="minorEastAsia"/>
              </w:rPr>
            </w:pPr>
            <w:r>
              <w:rPr>
                <w:rFonts w:hint="eastAsia" w:ascii="方正仿宋_GBK" w:hAnsi="方正仿宋_GBK" w:eastAsia="方正仿宋_GBK" w:cs="方正仿宋_GBK"/>
                <w:sz w:val="32"/>
                <w:szCs w:val="32"/>
              </w:rPr>
              <w:t>详见附件4、附件5</w:t>
            </w:r>
          </w:p>
        </w:tc>
        <w:tc>
          <w:tcPr>
            <w:tcW w:w="1550" w:type="dxa"/>
            <w:vAlign w:val="center"/>
          </w:tcPr>
          <w:p w14:paraId="1756208E">
            <w:pPr>
              <w:pStyle w:val="14"/>
              <w:snapToGrid w:val="0"/>
              <w:ind w:firstLine="0" w:firstLineChars="0"/>
              <w:jc w:val="center"/>
              <w:rPr>
                <w:rFonts w:hint="eastAsia" w:ascii="方正仿宋_GBK" w:hAnsi="方正仿宋_GBK" w:eastAsia="方正仿宋_GBK" w:cs="方正仿宋_GBK"/>
                <w:sz w:val="24"/>
              </w:rPr>
            </w:pPr>
          </w:p>
          <w:p w14:paraId="5E2B9E82">
            <w:pPr>
              <w:pStyle w:val="14"/>
              <w:snapToGrid w:val="0"/>
              <w:ind w:firstLine="0" w:firstLineChars="0"/>
              <w:jc w:val="center"/>
              <w:rPr>
                <w:rFonts w:hint="eastAsia" w:ascii="方正仿宋_GBK" w:hAnsi="方正仿宋_GBK" w:eastAsia="方正仿宋_GBK" w:cs="方正仿宋_GBK"/>
                <w:sz w:val="24"/>
              </w:rPr>
            </w:pPr>
          </w:p>
        </w:tc>
        <w:tc>
          <w:tcPr>
            <w:tcW w:w="2239" w:type="dxa"/>
            <w:vAlign w:val="center"/>
          </w:tcPr>
          <w:p w14:paraId="4A6CC089">
            <w:pPr>
              <w:pStyle w:val="14"/>
              <w:snapToGrid w:val="0"/>
              <w:ind w:firstLine="0" w:firstLineChars="0"/>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32"/>
                <w:szCs w:val="32"/>
              </w:rPr>
              <w:t>1年</w:t>
            </w:r>
          </w:p>
        </w:tc>
      </w:tr>
    </w:tbl>
    <w:p w14:paraId="2E5A02D4">
      <w:pPr>
        <w:spacing w:line="560" w:lineRule="exact"/>
        <w:rPr>
          <w:rFonts w:hint="eastAsia" w:ascii="方正仿宋_GBK" w:hAnsi="方正仿宋_GBK" w:eastAsia="方正仿宋_GBK" w:cs="方正仿宋_GBK"/>
          <w:sz w:val="32"/>
          <w:szCs w:val="32"/>
        </w:rPr>
        <w:sectPr>
          <w:pgSz w:w="11906" w:h="16838"/>
          <w:pgMar w:top="2098" w:right="1531" w:bottom="1984" w:left="1531" w:header="851" w:footer="992" w:gutter="0"/>
          <w:cols w:space="425" w:num="1"/>
          <w:docGrid w:type="lines" w:linePitch="312" w:charSpace="0"/>
        </w:sectPr>
      </w:pPr>
    </w:p>
    <w:p w14:paraId="67460BCB">
      <w:pPr>
        <w:spacing w:line="560" w:lineRule="exac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附件2</w:t>
      </w:r>
    </w:p>
    <w:p w14:paraId="77F2A20B">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具体实施方案，格式自拟。</w:t>
      </w:r>
    </w:p>
    <w:p w14:paraId="4A4C270D">
      <w:pPr>
        <w:pStyle w:val="5"/>
        <w:sectPr>
          <w:pgSz w:w="11906" w:h="16838"/>
          <w:pgMar w:top="1440" w:right="1800" w:bottom="1440" w:left="1800" w:header="851" w:footer="992" w:gutter="0"/>
          <w:cols w:space="425" w:num="1"/>
          <w:docGrid w:type="lines" w:linePitch="312" w:charSpace="0"/>
        </w:sectPr>
      </w:pPr>
    </w:p>
    <w:p w14:paraId="68E8C9D9">
      <w:pPr>
        <w:pStyle w:val="5"/>
        <w:rPr>
          <w:rFonts w:hint="eastAsia" w:ascii="方正黑体_GBK" w:hAnsi="方正黑体_GBK" w:eastAsia="方正黑体_GBK" w:cs="方正黑体_GBK"/>
        </w:rPr>
      </w:pPr>
      <w:r>
        <w:rPr>
          <w:rFonts w:hint="eastAsia" w:ascii="方正黑体_GBK" w:hAnsi="方正黑体_GBK" w:eastAsia="方正黑体_GBK" w:cs="方正黑体_GBK"/>
        </w:rPr>
        <w:t>附件3</w:t>
      </w:r>
    </w:p>
    <w:p w14:paraId="0A211DDD">
      <w:pPr>
        <w:pStyle w:val="5"/>
        <w:ind w:firstLine="640" w:firstLineChars="200"/>
        <w:rPr>
          <w:rFonts w:hint="eastAsia"/>
        </w:rPr>
      </w:pPr>
      <w:r>
        <w:rPr>
          <w:rFonts w:hint="eastAsia"/>
        </w:rPr>
        <w:t>单位资质等其他资料。</w:t>
      </w:r>
    </w:p>
    <w:p w14:paraId="6340124E">
      <w:pPr>
        <w:spacing w:line="560" w:lineRule="exact"/>
        <w:rPr>
          <w:rFonts w:hint="eastAsia" w:ascii="方正仿宋_GBK" w:hAnsi="方正仿宋_GBK" w:eastAsia="方正仿宋_GBK" w:cs="方正仿宋_GBK"/>
          <w:sz w:val="32"/>
          <w:szCs w:val="32"/>
        </w:rPr>
        <w:sectPr>
          <w:pgSz w:w="11906" w:h="16838"/>
          <w:pgMar w:top="1440" w:right="1800" w:bottom="1440" w:left="1800" w:header="851" w:footer="992" w:gutter="0"/>
          <w:cols w:space="425" w:num="1"/>
          <w:docGrid w:type="lines" w:linePitch="312" w:charSpace="0"/>
        </w:sectPr>
      </w:pPr>
    </w:p>
    <w:p w14:paraId="3823EDD9">
      <w:pPr>
        <w:spacing w:line="560" w:lineRule="exact"/>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附件4</w:t>
      </w:r>
    </w:p>
    <w:p w14:paraId="56781517">
      <w:pPr>
        <w:spacing w:line="520" w:lineRule="exact"/>
        <w:jc w:val="center"/>
        <w:rPr>
          <w:rFonts w:hint="eastAsia" w:ascii="方正小标宋_GBK" w:hAnsi="宋体" w:eastAsia="方正小标宋_GBK"/>
          <w:b w:val="0"/>
          <w:bCs/>
          <w:color w:val="auto"/>
          <w:sz w:val="44"/>
          <w:szCs w:val="44"/>
          <w:highlight w:val="none"/>
        </w:rPr>
      </w:pPr>
    </w:p>
    <w:p w14:paraId="2284D2C0">
      <w:pPr>
        <w:spacing w:line="520" w:lineRule="exact"/>
        <w:jc w:val="center"/>
        <w:rPr>
          <w:rFonts w:hint="eastAsia"/>
          <w:spacing w:val="-20"/>
        </w:rPr>
      </w:pPr>
      <w:r>
        <w:rPr>
          <w:rFonts w:hint="eastAsia" w:ascii="方正小标宋_GBK" w:hAnsi="宋体" w:eastAsia="方正小标宋_GBK"/>
          <w:b w:val="0"/>
          <w:bCs/>
          <w:color w:val="auto"/>
          <w:spacing w:val="-20"/>
          <w:sz w:val="44"/>
          <w:szCs w:val="44"/>
          <w:highlight w:val="none"/>
        </w:rPr>
        <w:t>医疗责任保险服务项目</w:t>
      </w:r>
      <w:r>
        <w:rPr>
          <w:rFonts w:hint="eastAsia" w:ascii="方正小标宋_GBK" w:eastAsia="方正小标宋_GBK"/>
          <w:b w:val="0"/>
          <w:bCs/>
          <w:color w:val="auto"/>
          <w:spacing w:val="-20"/>
          <w:sz w:val="44"/>
          <w:szCs w:val="44"/>
          <w:highlight w:val="none"/>
        </w:rPr>
        <w:t>技术方案和商务要求</w:t>
      </w:r>
    </w:p>
    <w:p w14:paraId="20823485">
      <w:pPr>
        <w:spacing w:line="560" w:lineRule="exact"/>
        <w:ind w:firstLine="640" w:firstLineChars="200"/>
        <w:jc w:val="both"/>
        <w:rPr>
          <w:rFonts w:hint="eastAsia" w:ascii="方正小标宋_GBK" w:hAnsi="Times New Roman" w:eastAsia="方正小标宋_GBK" w:cs="Times New Roman"/>
          <w:sz w:val="32"/>
          <w:szCs w:val="32"/>
          <w:lang w:val="en-US" w:eastAsia="zh-CN"/>
        </w:rPr>
      </w:pPr>
    </w:p>
    <w:p w14:paraId="61F7DFF2">
      <w:pPr>
        <w:spacing w:line="560" w:lineRule="exact"/>
        <w:ind w:firstLine="640" w:firstLineChars="200"/>
        <w:jc w:val="both"/>
        <w:rPr>
          <w:rFonts w:hint="default" w:ascii="方正小标宋_GBK" w:hAnsi="Times New Roman" w:eastAsia="方正小标宋_GBK" w:cs="Times New Roman"/>
          <w:sz w:val="32"/>
          <w:szCs w:val="32"/>
          <w:lang w:val="en-US" w:eastAsia="zh-CN"/>
        </w:rPr>
      </w:pPr>
      <w:r>
        <w:rPr>
          <w:rFonts w:hint="eastAsia" w:ascii="方正小标宋_GBK" w:hAnsi="Times New Roman" w:eastAsia="方正小标宋_GBK" w:cs="Times New Roman"/>
          <w:sz w:val="32"/>
          <w:szCs w:val="32"/>
          <w:lang w:val="en-US" w:eastAsia="zh-CN"/>
        </w:rPr>
        <w:t>一、项目技术方案</w:t>
      </w:r>
    </w:p>
    <w:p w14:paraId="1E04096A">
      <w:pPr>
        <w:spacing w:line="560" w:lineRule="exact"/>
        <w:ind w:firstLine="640" w:firstLineChars="200"/>
        <w:jc w:val="both"/>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lang w:eastAsia="zh-CN"/>
        </w:rPr>
        <w:t>）</w:t>
      </w:r>
      <w:r>
        <w:rPr>
          <w:rFonts w:hint="eastAsia" w:ascii="方正楷体_GBK" w:hAnsi="方正楷体_GBK" w:eastAsia="方正楷体_GBK" w:cs="方正楷体_GBK"/>
          <w:sz w:val="32"/>
          <w:szCs w:val="32"/>
        </w:rPr>
        <w:t>医疗责任险及附加险内容及标准</w:t>
      </w:r>
    </w:p>
    <w:p w14:paraId="78AD62BF">
      <w:pPr>
        <w:snapToGrid w:val="0"/>
        <w:spacing w:line="600" w:lineRule="exact"/>
        <w:ind w:firstLine="643" w:firstLineChars="200"/>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1.保险责任范围</w:t>
      </w:r>
    </w:p>
    <w:tbl>
      <w:tblPr>
        <w:tblStyle w:val="8"/>
        <w:tblW w:w="93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3"/>
        <w:gridCol w:w="2077"/>
        <w:gridCol w:w="6034"/>
      </w:tblGrid>
      <w:tr w14:paraId="4C0B98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3270" w:type="dxa"/>
            <w:gridSpan w:val="2"/>
            <w:vAlign w:val="center"/>
          </w:tcPr>
          <w:p w14:paraId="2EB22DE7">
            <w:pPr>
              <w:snapToGrid w:val="0"/>
              <w:spacing w:line="360" w:lineRule="exact"/>
              <w:jc w:val="center"/>
              <w:rPr>
                <w:rFonts w:ascii="Times New Roman" w:hAnsi="Times New Roman" w:eastAsia="方正仿宋_GBK" w:cs="Times New Roman"/>
                <w:sz w:val="28"/>
                <w:szCs w:val="28"/>
              </w:rPr>
            </w:pPr>
            <w:r>
              <w:rPr>
                <w:rFonts w:ascii="Times New Roman" w:hAnsi="Times New Roman" w:eastAsia="方正仿宋_GBK" w:cs="Times New Roman"/>
                <w:sz w:val="28"/>
                <w:szCs w:val="28"/>
              </w:rPr>
              <w:t>险种</w:t>
            </w:r>
          </w:p>
        </w:tc>
        <w:tc>
          <w:tcPr>
            <w:tcW w:w="6034" w:type="dxa"/>
            <w:vAlign w:val="center"/>
          </w:tcPr>
          <w:p w14:paraId="0497BBC8">
            <w:pPr>
              <w:snapToGrid w:val="0"/>
              <w:spacing w:line="360" w:lineRule="exact"/>
              <w:jc w:val="center"/>
              <w:rPr>
                <w:rFonts w:ascii="Times New Roman" w:hAnsi="Times New Roman" w:eastAsia="方正仿宋_GBK" w:cs="Times New Roman"/>
                <w:sz w:val="28"/>
                <w:szCs w:val="28"/>
              </w:rPr>
            </w:pPr>
            <w:r>
              <w:rPr>
                <w:rFonts w:ascii="Times New Roman" w:hAnsi="Times New Roman" w:eastAsia="方正仿宋_GBK" w:cs="Times New Roman"/>
                <w:sz w:val="28"/>
                <w:szCs w:val="28"/>
              </w:rPr>
              <w:t>责任范围</w:t>
            </w:r>
          </w:p>
        </w:tc>
      </w:tr>
      <w:tr w14:paraId="113982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1193" w:type="dxa"/>
            <w:vAlign w:val="center"/>
          </w:tcPr>
          <w:p w14:paraId="73E0DDCE">
            <w:pPr>
              <w:snapToGrid w:val="0"/>
              <w:spacing w:line="360" w:lineRule="exact"/>
              <w:jc w:val="center"/>
              <w:rPr>
                <w:rFonts w:ascii="Times New Roman" w:hAnsi="Times New Roman" w:eastAsia="方正仿宋_GBK" w:cs="Times New Roman"/>
                <w:sz w:val="28"/>
                <w:szCs w:val="28"/>
              </w:rPr>
            </w:pPr>
            <w:r>
              <w:rPr>
                <w:rFonts w:ascii="Times New Roman" w:hAnsi="Times New Roman" w:eastAsia="方正仿宋_GBK" w:cs="Times New Roman"/>
                <w:sz w:val="28"/>
                <w:szCs w:val="28"/>
              </w:rPr>
              <w:t>主险</w:t>
            </w:r>
          </w:p>
        </w:tc>
        <w:tc>
          <w:tcPr>
            <w:tcW w:w="2077" w:type="dxa"/>
            <w:vAlign w:val="center"/>
          </w:tcPr>
          <w:p w14:paraId="14AA269E">
            <w:pPr>
              <w:snapToGrid w:val="0"/>
              <w:spacing w:line="360" w:lineRule="exact"/>
              <w:jc w:val="center"/>
              <w:rPr>
                <w:rFonts w:ascii="Times New Roman" w:hAnsi="Times New Roman" w:eastAsia="方正仿宋_GBK" w:cs="Times New Roman"/>
                <w:sz w:val="28"/>
                <w:szCs w:val="28"/>
              </w:rPr>
            </w:pPr>
            <w:r>
              <w:rPr>
                <w:rFonts w:ascii="Times New Roman" w:hAnsi="Times New Roman" w:eastAsia="方正仿宋_GBK" w:cs="Times New Roman"/>
                <w:sz w:val="28"/>
                <w:szCs w:val="28"/>
              </w:rPr>
              <w:t>医疗责任险</w:t>
            </w:r>
          </w:p>
        </w:tc>
        <w:tc>
          <w:tcPr>
            <w:tcW w:w="6034" w:type="dxa"/>
            <w:vAlign w:val="center"/>
          </w:tcPr>
          <w:p w14:paraId="5E983BC3">
            <w:pPr>
              <w:snapToGrid w:val="0"/>
              <w:spacing w:line="360" w:lineRule="exact"/>
              <w:ind w:firstLine="560" w:firstLineChars="200"/>
              <w:rPr>
                <w:rFonts w:ascii="Times New Roman" w:hAnsi="Times New Roman" w:eastAsia="方正仿宋_GBK" w:cs="Times New Roman"/>
                <w:sz w:val="28"/>
                <w:szCs w:val="28"/>
              </w:rPr>
            </w:pPr>
            <w:r>
              <w:rPr>
                <w:rFonts w:ascii="方正仿宋_GBK" w:hAnsi="宋体" w:eastAsia="方正仿宋_GBK" w:cs="Times New Roman"/>
                <w:sz w:val="28"/>
                <w:szCs w:val="28"/>
              </w:rPr>
              <w:t>在诊疗活动中因执业过失导致患者人身损害而负担的赔偿责任以及精神损害费用、法律费用等。</w:t>
            </w:r>
          </w:p>
        </w:tc>
      </w:tr>
      <w:tr w14:paraId="31733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0" w:hRule="atLeast"/>
          <w:jc w:val="center"/>
        </w:trPr>
        <w:tc>
          <w:tcPr>
            <w:tcW w:w="1193" w:type="dxa"/>
            <w:vAlign w:val="center"/>
          </w:tcPr>
          <w:p w14:paraId="665BDFF1">
            <w:pPr>
              <w:snapToGrid w:val="0"/>
              <w:spacing w:line="360" w:lineRule="exact"/>
              <w:jc w:val="center"/>
              <w:rPr>
                <w:rFonts w:hint="eastAsia" w:ascii="方正仿宋_GBK" w:hAnsi="宋体" w:eastAsia="方正仿宋_GBK"/>
                <w:sz w:val="28"/>
                <w:szCs w:val="28"/>
              </w:rPr>
            </w:pPr>
            <w:r>
              <w:rPr>
                <w:rFonts w:hint="eastAsia" w:ascii="方正仿宋_GBK" w:hAnsi="宋体" w:eastAsia="方正仿宋_GBK"/>
                <w:sz w:val="28"/>
                <w:szCs w:val="28"/>
              </w:rPr>
              <w:t>附加险</w:t>
            </w:r>
          </w:p>
        </w:tc>
        <w:tc>
          <w:tcPr>
            <w:tcW w:w="2077" w:type="dxa"/>
            <w:vAlign w:val="center"/>
          </w:tcPr>
          <w:p w14:paraId="6DAB08D9">
            <w:pPr>
              <w:snapToGrid w:val="0"/>
              <w:spacing w:line="360" w:lineRule="exact"/>
              <w:jc w:val="center"/>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医疗意外</w:t>
            </w:r>
          </w:p>
          <w:p w14:paraId="557F670A">
            <w:pPr>
              <w:snapToGrid w:val="0"/>
              <w:spacing w:line="360" w:lineRule="exact"/>
              <w:jc w:val="center"/>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责任保险</w:t>
            </w:r>
          </w:p>
        </w:tc>
        <w:tc>
          <w:tcPr>
            <w:tcW w:w="6034" w:type="dxa"/>
            <w:vAlign w:val="center"/>
          </w:tcPr>
          <w:p w14:paraId="13A0CE5E">
            <w:pPr>
              <w:snapToGrid w:val="0"/>
              <w:spacing w:line="360" w:lineRule="exact"/>
              <w:ind w:firstLine="560" w:firstLineChars="200"/>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在保险单明细表中列明的保险期间或追溯期及承保区域范围内，被保险人的投保医务人员在诊疗护理活动中，因下列情形造成患者人身损害，在附加险保险期内承担的民事赔偿责任，保险人根据附加险合同的约定负责赔偿。</w:t>
            </w:r>
          </w:p>
          <w:p w14:paraId="1B19968F">
            <w:pPr>
              <w:snapToGrid w:val="0"/>
              <w:spacing w:line="360" w:lineRule="exact"/>
              <w:ind w:firstLine="560" w:firstLineChars="200"/>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 xml:space="preserve">（1）在诊疗护理过程中由于病情或患者体质特殊而发生的难以预料或在预料之中但难以防范的不良后果； </w:t>
            </w:r>
          </w:p>
          <w:p w14:paraId="3FB1BE72">
            <w:pPr>
              <w:snapToGrid w:val="0"/>
              <w:spacing w:line="360" w:lineRule="exact"/>
              <w:ind w:firstLine="560" w:firstLineChars="200"/>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 xml:space="preserve">（2）按照正常的技术规范操作，仍然发生难以避免的并发症或者治疗意外； </w:t>
            </w:r>
          </w:p>
          <w:p w14:paraId="20E3F4BB">
            <w:pPr>
              <w:snapToGrid w:val="0"/>
              <w:spacing w:line="360" w:lineRule="exact"/>
              <w:ind w:firstLine="560" w:firstLineChars="200"/>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 xml:space="preserve">（3）应用现有医学科学技术，仍然发生无法预料或难以防范的不良后果； </w:t>
            </w:r>
          </w:p>
          <w:p w14:paraId="64307130">
            <w:pPr>
              <w:snapToGrid w:val="0"/>
              <w:spacing w:line="360" w:lineRule="exact"/>
              <w:ind w:firstLine="560" w:firstLineChars="200"/>
              <w:rPr>
                <w:rFonts w:hint="eastAsia"/>
                <w:sz w:val="28"/>
                <w:szCs w:val="28"/>
              </w:rPr>
            </w:pPr>
            <w:r>
              <w:rPr>
                <w:rFonts w:hint="eastAsia" w:ascii="方正仿宋_GBK" w:hAnsi="宋体" w:eastAsia="方正仿宋_GBK" w:cs="Times New Roman"/>
                <w:sz w:val="28"/>
                <w:szCs w:val="28"/>
              </w:rPr>
              <w:t>（4）在危急情况下为抢救危重患者生命而采取的紧急措施所造成的不良后果。</w:t>
            </w:r>
          </w:p>
        </w:tc>
      </w:tr>
      <w:tr w14:paraId="6C23C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193" w:type="dxa"/>
            <w:vAlign w:val="center"/>
          </w:tcPr>
          <w:p w14:paraId="2BB89C74">
            <w:pPr>
              <w:snapToGrid w:val="0"/>
              <w:spacing w:line="360" w:lineRule="exact"/>
              <w:jc w:val="center"/>
              <w:rPr>
                <w:rFonts w:hint="eastAsia" w:ascii="方正仿宋_GBK" w:hAnsi="宋体" w:eastAsia="方正仿宋_GBK"/>
                <w:sz w:val="28"/>
                <w:szCs w:val="28"/>
              </w:rPr>
            </w:pPr>
            <w:r>
              <w:rPr>
                <w:rFonts w:hint="eastAsia" w:ascii="方正仿宋_GBK" w:hAnsi="宋体" w:eastAsia="方正仿宋_GBK"/>
                <w:sz w:val="28"/>
                <w:szCs w:val="28"/>
              </w:rPr>
              <w:t>附加险</w:t>
            </w:r>
          </w:p>
        </w:tc>
        <w:tc>
          <w:tcPr>
            <w:tcW w:w="2077" w:type="dxa"/>
            <w:vAlign w:val="center"/>
          </w:tcPr>
          <w:p w14:paraId="6456CC2E">
            <w:pPr>
              <w:snapToGrid w:val="0"/>
              <w:spacing w:line="360" w:lineRule="exact"/>
              <w:jc w:val="center"/>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医疗机构</w:t>
            </w:r>
          </w:p>
          <w:p w14:paraId="70E3E9D5">
            <w:pPr>
              <w:snapToGrid w:val="0"/>
              <w:spacing w:line="360" w:lineRule="exact"/>
              <w:jc w:val="center"/>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场所责任保险</w:t>
            </w:r>
          </w:p>
        </w:tc>
        <w:tc>
          <w:tcPr>
            <w:tcW w:w="6034" w:type="dxa"/>
            <w:vAlign w:val="center"/>
          </w:tcPr>
          <w:p w14:paraId="728E8A82">
            <w:pPr>
              <w:snapToGrid w:val="0"/>
              <w:spacing w:line="360" w:lineRule="exact"/>
              <w:ind w:firstLine="560" w:firstLineChars="200"/>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在保险单明细表中列明的追溯期开始至保险期间终止的期限及承保区域范围内，发生下列依法应由被保险人承担的经济赔偿责任，在本保险期间内由患者或其亲属首次向被保险人提出索赔的，保险人在保险合同约定的赔偿限额内负责赔偿：被保险人营业处所的建筑物、电梯、升降机、自动梯，通道或其他设施，因设置、保管、管理有缺陷或使用不当而造成患者人身伤害；医疗机构的雇员在执行非诊疗护理活动的职务行为时因疏忽或过失造成的患者人身伤害；医疗机构提供的食品存在缺陷造成患者人身伤害。</w:t>
            </w:r>
          </w:p>
          <w:p w14:paraId="6164A06D">
            <w:pPr>
              <w:snapToGrid w:val="0"/>
              <w:spacing w:line="360" w:lineRule="exact"/>
              <w:ind w:firstLine="560" w:firstLineChars="200"/>
              <w:rPr>
                <w:rFonts w:hint="eastAsia" w:ascii="方正仿宋_GBK" w:hAnsi="宋体" w:eastAsia="方正仿宋_GBK" w:cs="Times New Roman"/>
                <w:sz w:val="28"/>
                <w:szCs w:val="28"/>
              </w:rPr>
            </w:pPr>
            <w:r>
              <w:rPr>
                <w:rFonts w:hint="eastAsia" w:ascii="方正仿宋_GBK" w:hAnsi="宋体" w:eastAsia="方正仿宋_GBK" w:cs="Times New Roman"/>
                <w:sz w:val="28"/>
                <w:szCs w:val="28"/>
              </w:rPr>
              <w:t>保险事故发生后被保险人根据情况及时采取有效的措施，防止或减轻对患者身体健康的损害所支付的费用以及其他必要的、合理的费用（包括勘验费、鉴定费等），保险人根据本条款的规定在约定的限额内负赔偿责任。</w:t>
            </w:r>
          </w:p>
          <w:p w14:paraId="6C6B5188">
            <w:pPr>
              <w:snapToGrid w:val="0"/>
              <w:spacing w:line="360" w:lineRule="exact"/>
              <w:ind w:firstLine="560" w:firstLineChars="200"/>
              <w:rPr>
                <w:rFonts w:hint="eastAsia"/>
                <w:sz w:val="28"/>
                <w:szCs w:val="28"/>
              </w:rPr>
            </w:pPr>
            <w:r>
              <w:rPr>
                <w:rFonts w:hint="eastAsia" w:ascii="方正仿宋_GBK" w:hAnsi="宋体" w:eastAsia="方正仿宋_GBK" w:cs="Times New Roman"/>
                <w:sz w:val="28"/>
                <w:szCs w:val="28"/>
              </w:rPr>
              <w:t>保险事故发生后并在仲裁或诉讼前经保险人书面同意的仲裁或诉讼等法律费用（包括案件受理费、律师费等），保险人根据本条款的规定在约定的限额内负赔偿责任。</w:t>
            </w:r>
          </w:p>
        </w:tc>
      </w:tr>
    </w:tbl>
    <w:p w14:paraId="33FF30E7">
      <w:pPr>
        <w:snapToGrid w:val="0"/>
        <w:spacing w:line="600" w:lineRule="exact"/>
        <w:ind w:firstLine="643" w:firstLineChars="200"/>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2.保险责任认定方式</w:t>
      </w:r>
    </w:p>
    <w:p w14:paraId="6003CE48">
      <w:p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一是经医、患双方协商，二是经医疗纠纷调解委员会或卫生行政主管部门调解，三是经仲裁机构仲裁，四是经人民法院裁决</w:t>
      </w:r>
      <w:r>
        <w:rPr>
          <w:rFonts w:hint="eastAsia" w:ascii="Times New Roman" w:hAnsi="Times New Roman" w:eastAsia="方正仿宋_GBK" w:cs="Times New Roman"/>
          <w:sz w:val="32"/>
          <w:szCs w:val="32"/>
        </w:rPr>
        <w:t>，五在投保人确认的保险人认可的其他方式认定</w:t>
      </w:r>
      <w:r>
        <w:rPr>
          <w:rFonts w:ascii="Times New Roman" w:hAnsi="Times New Roman" w:eastAsia="方正仿宋_GBK" w:cs="Times New Roman"/>
          <w:sz w:val="32"/>
          <w:szCs w:val="32"/>
        </w:rPr>
        <w:t>。前述任何一种方式的处理结论，均作为保险人的理赔依据。</w:t>
      </w:r>
    </w:p>
    <w:p w14:paraId="0D0D7B1F">
      <w:pPr>
        <w:snapToGrid w:val="0"/>
        <w:spacing w:line="600" w:lineRule="exact"/>
        <w:ind w:firstLine="643" w:firstLineChars="200"/>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3.保险责任</w:t>
      </w:r>
      <w:r>
        <w:rPr>
          <w:rFonts w:hint="eastAsia" w:ascii="Times New Roman" w:hAnsi="Times New Roman" w:eastAsia="方正仿宋_GBK" w:cs="Times New Roman"/>
          <w:b/>
          <w:bCs/>
          <w:sz w:val="32"/>
          <w:szCs w:val="32"/>
        </w:rPr>
        <w:t>赔偿限额</w:t>
      </w:r>
    </w:p>
    <w:p w14:paraId="7EDBCD72">
      <w:pPr>
        <w:snapToGrid w:val="0"/>
        <w:spacing w:line="600" w:lineRule="exact"/>
        <w:ind w:firstLine="640" w:firstLineChars="200"/>
      </w:pPr>
      <w:r>
        <w:rPr>
          <w:rFonts w:ascii="Times New Roman" w:hAnsi="Times New Roman" w:eastAsia="方正仿宋_GBK" w:cs="Times New Roman"/>
          <w:sz w:val="32"/>
          <w:szCs w:val="32"/>
        </w:rPr>
        <w:t>责任限额包括医疗责任每人责任限额、医疗责任累计责任限额。</w:t>
      </w:r>
    </w:p>
    <w:tbl>
      <w:tblPr>
        <w:tblStyle w:val="8"/>
        <w:tblpPr w:leftFromText="180" w:rightFromText="180" w:vertAnchor="text" w:horzAnchor="margin" w:tblpXSpec="center" w:tblpY="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2102"/>
        <w:gridCol w:w="2452"/>
        <w:gridCol w:w="2686"/>
      </w:tblGrid>
      <w:tr w14:paraId="749E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atLeast"/>
        </w:trPr>
        <w:tc>
          <w:tcPr>
            <w:tcW w:w="1400" w:type="dxa"/>
            <w:vMerge w:val="restart"/>
            <w:vAlign w:val="center"/>
          </w:tcPr>
          <w:p w14:paraId="5165889F">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主险</w:t>
            </w:r>
          </w:p>
        </w:tc>
        <w:tc>
          <w:tcPr>
            <w:tcW w:w="2102" w:type="dxa"/>
            <w:vMerge w:val="restart"/>
            <w:vAlign w:val="center"/>
          </w:tcPr>
          <w:p w14:paraId="3F371F7E">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医疗责任险</w:t>
            </w:r>
          </w:p>
        </w:tc>
        <w:tc>
          <w:tcPr>
            <w:tcW w:w="2452" w:type="dxa"/>
            <w:vAlign w:val="center"/>
          </w:tcPr>
          <w:p w14:paraId="40BFF58C">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累计赔偿限额</w:t>
            </w:r>
          </w:p>
          <w:p w14:paraId="1F3BCE5C">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（每年）</w:t>
            </w:r>
          </w:p>
        </w:tc>
        <w:tc>
          <w:tcPr>
            <w:tcW w:w="2686" w:type="dxa"/>
            <w:vAlign w:val="center"/>
          </w:tcPr>
          <w:p w14:paraId="5468525F">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每人每次限额</w:t>
            </w:r>
          </w:p>
          <w:p w14:paraId="412CF422">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（不分项）</w:t>
            </w:r>
          </w:p>
        </w:tc>
      </w:tr>
      <w:tr w14:paraId="38ABC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trPr>
        <w:tc>
          <w:tcPr>
            <w:tcW w:w="1400" w:type="dxa"/>
            <w:vMerge w:val="continue"/>
            <w:vAlign w:val="center"/>
          </w:tcPr>
          <w:p w14:paraId="017658AD">
            <w:pPr>
              <w:snapToGrid w:val="0"/>
              <w:spacing w:line="520" w:lineRule="exact"/>
              <w:ind w:firstLine="640" w:firstLineChars="200"/>
              <w:jc w:val="center"/>
              <w:rPr>
                <w:rFonts w:ascii="Times New Roman" w:hAnsi="Times New Roman" w:eastAsia="方正仿宋_GBK" w:cs="Times New Roman"/>
                <w:sz w:val="32"/>
                <w:szCs w:val="32"/>
              </w:rPr>
            </w:pPr>
          </w:p>
        </w:tc>
        <w:tc>
          <w:tcPr>
            <w:tcW w:w="2102" w:type="dxa"/>
            <w:vMerge w:val="continue"/>
            <w:vAlign w:val="center"/>
          </w:tcPr>
          <w:p w14:paraId="3434A2F7">
            <w:pPr>
              <w:snapToGrid w:val="0"/>
              <w:spacing w:line="520" w:lineRule="exact"/>
              <w:ind w:firstLine="640" w:firstLineChars="200"/>
              <w:jc w:val="center"/>
              <w:rPr>
                <w:rFonts w:ascii="Times New Roman" w:hAnsi="Times New Roman" w:eastAsia="方正仿宋_GBK" w:cs="Times New Roman"/>
                <w:sz w:val="32"/>
                <w:szCs w:val="32"/>
              </w:rPr>
            </w:pPr>
          </w:p>
        </w:tc>
        <w:tc>
          <w:tcPr>
            <w:tcW w:w="2452" w:type="dxa"/>
            <w:vAlign w:val="center"/>
          </w:tcPr>
          <w:p w14:paraId="625CA776">
            <w:pPr>
              <w:snapToGrid w:val="0"/>
              <w:spacing w:line="520" w:lineRule="exact"/>
              <w:jc w:val="cente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100</w:t>
            </w:r>
            <w:r>
              <w:rPr>
                <w:rFonts w:ascii="Times New Roman" w:hAnsi="Times New Roman" w:eastAsia="方正仿宋_GBK" w:cs="Times New Roman"/>
                <w:sz w:val="32"/>
                <w:szCs w:val="32"/>
              </w:rPr>
              <w:t>万元</w:t>
            </w:r>
          </w:p>
        </w:tc>
        <w:tc>
          <w:tcPr>
            <w:tcW w:w="2686" w:type="dxa"/>
            <w:vAlign w:val="center"/>
          </w:tcPr>
          <w:p w14:paraId="17913505">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50万元</w:t>
            </w:r>
          </w:p>
        </w:tc>
      </w:tr>
      <w:tr w14:paraId="38CB8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00" w:type="dxa"/>
            <w:vMerge w:val="restart"/>
            <w:vAlign w:val="center"/>
          </w:tcPr>
          <w:p w14:paraId="30DF7403">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附加险</w:t>
            </w:r>
          </w:p>
        </w:tc>
        <w:tc>
          <w:tcPr>
            <w:tcW w:w="2102" w:type="dxa"/>
            <w:vMerge w:val="restart"/>
            <w:vAlign w:val="center"/>
          </w:tcPr>
          <w:p w14:paraId="077256A2">
            <w:pPr>
              <w:snapToGrid w:val="0"/>
              <w:spacing w:line="52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医疗机构场所责任保险</w:t>
            </w:r>
          </w:p>
        </w:tc>
        <w:tc>
          <w:tcPr>
            <w:tcW w:w="2452" w:type="dxa"/>
            <w:vAlign w:val="center"/>
          </w:tcPr>
          <w:p w14:paraId="48723987">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累计赔偿限额</w:t>
            </w:r>
          </w:p>
          <w:p w14:paraId="6115BE1E">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（每年）</w:t>
            </w:r>
          </w:p>
        </w:tc>
        <w:tc>
          <w:tcPr>
            <w:tcW w:w="2686" w:type="dxa"/>
            <w:vAlign w:val="center"/>
          </w:tcPr>
          <w:p w14:paraId="1A2B6915">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每人每次限额</w:t>
            </w:r>
          </w:p>
          <w:p w14:paraId="0E6AF87D">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（不分项）</w:t>
            </w:r>
          </w:p>
        </w:tc>
      </w:tr>
      <w:tr w14:paraId="69F7C7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00" w:type="dxa"/>
            <w:vMerge w:val="continue"/>
            <w:vAlign w:val="center"/>
          </w:tcPr>
          <w:p w14:paraId="73F3F945">
            <w:pPr>
              <w:snapToGrid w:val="0"/>
              <w:spacing w:line="520" w:lineRule="exact"/>
              <w:jc w:val="center"/>
              <w:rPr>
                <w:rFonts w:ascii="Times New Roman" w:hAnsi="Times New Roman" w:eastAsia="方正仿宋_GBK" w:cs="Times New Roman"/>
                <w:sz w:val="32"/>
                <w:szCs w:val="32"/>
              </w:rPr>
            </w:pPr>
          </w:p>
        </w:tc>
        <w:tc>
          <w:tcPr>
            <w:tcW w:w="2102" w:type="dxa"/>
            <w:vMerge w:val="continue"/>
            <w:vAlign w:val="center"/>
          </w:tcPr>
          <w:p w14:paraId="71AECAEB">
            <w:pPr>
              <w:snapToGrid w:val="0"/>
              <w:spacing w:line="520" w:lineRule="exact"/>
              <w:ind w:firstLine="640" w:firstLineChars="200"/>
              <w:rPr>
                <w:rFonts w:ascii="Times New Roman" w:hAnsi="Times New Roman" w:eastAsia="方正仿宋_GBK" w:cs="Times New Roman"/>
                <w:sz w:val="32"/>
                <w:szCs w:val="32"/>
              </w:rPr>
            </w:pPr>
          </w:p>
        </w:tc>
        <w:tc>
          <w:tcPr>
            <w:tcW w:w="2452" w:type="dxa"/>
            <w:vAlign w:val="center"/>
          </w:tcPr>
          <w:p w14:paraId="59AB8724">
            <w:pPr>
              <w:snapToGrid w:val="0"/>
              <w:spacing w:line="520" w:lineRule="exact"/>
              <w:jc w:val="cente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100</w:t>
            </w:r>
            <w:r>
              <w:rPr>
                <w:rFonts w:ascii="Times New Roman" w:hAnsi="Times New Roman" w:eastAsia="方正仿宋_GBK" w:cs="Times New Roman"/>
                <w:sz w:val="32"/>
                <w:szCs w:val="32"/>
              </w:rPr>
              <w:t>万元</w:t>
            </w:r>
          </w:p>
        </w:tc>
        <w:tc>
          <w:tcPr>
            <w:tcW w:w="2686" w:type="dxa"/>
            <w:vAlign w:val="center"/>
          </w:tcPr>
          <w:p w14:paraId="246C4DF7">
            <w:pPr>
              <w:snapToGrid w:val="0"/>
              <w:spacing w:line="520" w:lineRule="exact"/>
              <w:jc w:val="cente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50</w:t>
            </w:r>
            <w:r>
              <w:rPr>
                <w:rFonts w:ascii="Times New Roman" w:hAnsi="Times New Roman" w:eastAsia="方正仿宋_GBK" w:cs="Times New Roman"/>
                <w:sz w:val="32"/>
                <w:szCs w:val="32"/>
              </w:rPr>
              <w:t>万元</w:t>
            </w:r>
          </w:p>
        </w:tc>
      </w:tr>
      <w:tr w14:paraId="7FCF0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1400" w:type="dxa"/>
            <w:vMerge w:val="restart"/>
            <w:vAlign w:val="center"/>
          </w:tcPr>
          <w:p w14:paraId="619C6B7B">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附加险</w:t>
            </w:r>
          </w:p>
        </w:tc>
        <w:tc>
          <w:tcPr>
            <w:tcW w:w="2102" w:type="dxa"/>
            <w:vMerge w:val="restart"/>
            <w:vAlign w:val="center"/>
          </w:tcPr>
          <w:p w14:paraId="48D43024">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医疗</w:t>
            </w:r>
            <w:r>
              <w:rPr>
                <w:rFonts w:hint="eastAsia" w:ascii="Times New Roman" w:hAnsi="Times New Roman" w:eastAsia="方正仿宋_GBK" w:cs="Times New Roman"/>
                <w:sz w:val="32"/>
                <w:szCs w:val="32"/>
              </w:rPr>
              <w:t>意外责任保险</w:t>
            </w:r>
          </w:p>
        </w:tc>
        <w:tc>
          <w:tcPr>
            <w:tcW w:w="2452" w:type="dxa"/>
            <w:vAlign w:val="center"/>
          </w:tcPr>
          <w:p w14:paraId="0F47A27B">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累计赔偿限额</w:t>
            </w:r>
          </w:p>
          <w:p w14:paraId="4A311483">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（每年）</w:t>
            </w:r>
          </w:p>
        </w:tc>
        <w:tc>
          <w:tcPr>
            <w:tcW w:w="2686" w:type="dxa"/>
            <w:vAlign w:val="center"/>
          </w:tcPr>
          <w:p w14:paraId="57ECB889">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每人每次限额</w:t>
            </w:r>
          </w:p>
          <w:p w14:paraId="2F703C88">
            <w:pPr>
              <w:snapToGrid w:val="0"/>
              <w:spacing w:line="520" w:lineRule="exact"/>
              <w:jc w:val="center"/>
              <w:rPr>
                <w:rFonts w:ascii="Times New Roman" w:hAnsi="Times New Roman" w:eastAsia="方正仿宋_GBK" w:cs="Times New Roman"/>
                <w:sz w:val="32"/>
                <w:szCs w:val="32"/>
              </w:rPr>
            </w:pPr>
            <w:r>
              <w:rPr>
                <w:rFonts w:ascii="Times New Roman" w:hAnsi="Times New Roman" w:eastAsia="方正仿宋_GBK" w:cs="Times New Roman"/>
                <w:sz w:val="32"/>
                <w:szCs w:val="32"/>
              </w:rPr>
              <w:t>（不分项）</w:t>
            </w:r>
          </w:p>
        </w:tc>
      </w:tr>
      <w:tr w14:paraId="7ACCA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00" w:type="dxa"/>
            <w:vMerge w:val="continue"/>
            <w:vAlign w:val="center"/>
          </w:tcPr>
          <w:p w14:paraId="43981618">
            <w:pPr>
              <w:snapToGrid w:val="0"/>
              <w:spacing w:line="520" w:lineRule="exact"/>
              <w:jc w:val="center"/>
              <w:rPr>
                <w:rFonts w:ascii="Times New Roman" w:hAnsi="Times New Roman" w:eastAsia="方正仿宋_GBK" w:cs="Times New Roman"/>
                <w:sz w:val="32"/>
                <w:szCs w:val="32"/>
              </w:rPr>
            </w:pPr>
          </w:p>
        </w:tc>
        <w:tc>
          <w:tcPr>
            <w:tcW w:w="2102" w:type="dxa"/>
            <w:vMerge w:val="continue"/>
            <w:vAlign w:val="center"/>
          </w:tcPr>
          <w:p w14:paraId="3C94738E">
            <w:pPr>
              <w:snapToGrid w:val="0"/>
              <w:spacing w:line="520" w:lineRule="exact"/>
              <w:jc w:val="center"/>
              <w:rPr>
                <w:rFonts w:ascii="Times New Roman" w:hAnsi="Times New Roman" w:eastAsia="方正仿宋_GBK" w:cs="Times New Roman"/>
                <w:sz w:val="32"/>
                <w:szCs w:val="32"/>
              </w:rPr>
            </w:pPr>
          </w:p>
        </w:tc>
        <w:tc>
          <w:tcPr>
            <w:tcW w:w="2452" w:type="dxa"/>
            <w:vAlign w:val="center"/>
          </w:tcPr>
          <w:p w14:paraId="2621EA73">
            <w:pPr>
              <w:snapToGrid w:val="0"/>
              <w:spacing w:line="520" w:lineRule="exact"/>
              <w:jc w:val="cente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20万元</w:t>
            </w:r>
          </w:p>
        </w:tc>
        <w:tc>
          <w:tcPr>
            <w:tcW w:w="2686" w:type="dxa"/>
            <w:vAlign w:val="center"/>
          </w:tcPr>
          <w:p w14:paraId="7E2C0BC6">
            <w:pPr>
              <w:snapToGrid w:val="0"/>
              <w:spacing w:line="520" w:lineRule="exact"/>
              <w:jc w:val="center"/>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10万元</w:t>
            </w:r>
          </w:p>
        </w:tc>
      </w:tr>
    </w:tbl>
    <w:p w14:paraId="194F6335">
      <w:pPr>
        <w:snapToGrid w:val="0"/>
        <w:spacing w:line="60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二</w:t>
      </w:r>
      <w:r>
        <w:rPr>
          <w:rFonts w:hint="eastAsia" w:ascii="方正楷体_GBK" w:hAnsi="方正楷体_GBK" w:eastAsia="方正楷体_GBK" w:cs="方正楷体_GBK"/>
          <w:sz w:val="32"/>
          <w:szCs w:val="32"/>
        </w:rPr>
        <w:t>）争议处理及管辖</w:t>
      </w:r>
    </w:p>
    <w:p w14:paraId="159DA1BA">
      <w:p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kern w:val="0"/>
          <w:sz w:val="32"/>
          <w:szCs w:val="32"/>
        </w:rPr>
        <w:t>根据中标保险公司的履约情况，若中标保险公司出现违约，甲乙双方协商未果，致使合同无法履行，或有违反保险行业相关法律法规内容，投保人有权单方面终止保险合同，中标保险公司应全额退还已付投保费用，并赔偿招标人的损失。</w:t>
      </w:r>
    </w:p>
    <w:p w14:paraId="5B521C42">
      <w:pPr>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因保险合同发生的纠纷，由重庆市九龙坡区人民法院管辖。</w:t>
      </w:r>
    </w:p>
    <w:p w14:paraId="7812F8F3">
      <w:pPr>
        <w:snapToGrid w:val="0"/>
        <w:spacing w:line="60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val="en-US" w:eastAsia="zh-CN"/>
        </w:rPr>
        <w:t>三</w:t>
      </w:r>
      <w:r>
        <w:rPr>
          <w:rFonts w:hint="eastAsia" w:ascii="方正楷体_GBK" w:hAnsi="方正楷体_GBK" w:eastAsia="方正楷体_GBK" w:cs="方正楷体_GBK"/>
          <w:sz w:val="32"/>
          <w:szCs w:val="32"/>
        </w:rPr>
        <w:t>）特别约定</w:t>
      </w:r>
    </w:p>
    <w:p w14:paraId="0AE56E7A">
      <w:pPr>
        <w:snapToGrid w:val="0"/>
        <w:spacing w:line="600" w:lineRule="exact"/>
        <w:ind w:firstLine="643" w:firstLineChars="200"/>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1.医务人员特别约定</w:t>
      </w:r>
    </w:p>
    <w:p w14:paraId="1ECBFCE3">
      <w:p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本保险所称医务人员，包括执业（助理）医师、注册护士、药师（士）、检验技师、影像技师（士）等卫生专业人员，以及医疗管理人员、进修医务人员、外聘医务人员、外请会诊医务人员、符合多点执业条件的医务人员等。无论其处于何岗位，只要实际从事具体诊疗活动，便属于医务人员。保险人同意投保医疗机构投保时可不提供外请医务人员名单。</w:t>
      </w:r>
    </w:p>
    <w:p w14:paraId="12B15DA5">
      <w:pPr>
        <w:snapToGrid w:val="0"/>
        <w:spacing w:line="600" w:lineRule="exact"/>
        <w:ind w:firstLine="643" w:firstLineChars="200"/>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2.承保基础特别约定</w:t>
      </w:r>
    </w:p>
    <w:p w14:paraId="396239DD">
      <w:p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本保险的承保基础为期内索赔制，即以索赔发生日期为依据确定保单是否负责赔偿。受害人向被保险人提出索赔的时间须发生在保险期间内，而受害人遭受损害的事故可以发生在保险期间内，也可以发生在保险期间之前（追溯期内）。</w:t>
      </w:r>
    </w:p>
    <w:p w14:paraId="0852B299">
      <w:pPr>
        <w:snapToGrid w:val="0"/>
        <w:spacing w:line="600" w:lineRule="exact"/>
        <w:ind w:firstLine="643" w:firstLineChars="200"/>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3.追溯期特别约定</w:t>
      </w:r>
    </w:p>
    <w:p w14:paraId="679A4CDB">
      <w:p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追溯期是自保单生效日向前追溯的期间，是在以期内索赔为承保基础条件下，保险人给予被保险人承保责任期限上的优惠，即如设定有追溯期，则承保责任期限不仅仅是保险期限，对于在保险期限之前（追溯期内）发生的保险事故，保险人也予以赔偿。</w:t>
      </w:r>
    </w:p>
    <w:p w14:paraId="25834D05">
      <w:p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本保险设定追溯期，</w:t>
      </w:r>
      <w:r>
        <w:rPr>
          <w:rFonts w:hint="eastAsia" w:ascii="Times New Roman" w:hAnsi="Times New Roman" w:eastAsia="方正仿宋_GBK" w:cs="Times New Roman"/>
          <w:sz w:val="32"/>
          <w:szCs w:val="32"/>
        </w:rPr>
        <w:t>并规定如下：追溯期自合同签订日起，保险责任追溯期为</w:t>
      </w:r>
      <w:r>
        <w:rPr>
          <w:rFonts w:hint="eastAsia"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rPr>
        <w:t>年</w:t>
      </w:r>
      <w:r>
        <w:rPr>
          <w:rFonts w:ascii="Times New Roman" w:hAnsi="Times New Roman" w:eastAsia="方正仿宋_GBK" w:cs="Times New Roman"/>
          <w:sz w:val="32"/>
          <w:szCs w:val="32"/>
        </w:rPr>
        <w:t>。</w:t>
      </w:r>
    </w:p>
    <w:p w14:paraId="392E7C07">
      <w:p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在追溯期内，被保险人的医务人员在诊疗活动中，因执业中非故意行为造成患者人身损害，在本保险期间内，由患者、其近亲属或合法继承人首次向被保险人提出索赔申请，依法应由被保险人承担民事赔偿责任时，保险人按照本保险合同的约定负责赔偿。</w:t>
      </w:r>
    </w:p>
    <w:p w14:paraId="4758EFC2">
      <w:pPr>
        <w:snapToGrid w:val="0"/>
        <w:spacing w:line="600" w:lineRule="exact"/>
        <w:ind w:firstLine="643" w:firstLineChars="200"/>
        <w:rPr>
          <w:rFonts w:ascii="Times New Roman" w:hAnsi="Times New Roman" w:eastAsia="方正仿宋_GBK" w:cs="Times New Roman"/>
          <w:b/>
          <w:bCs/>
          <w:sz w:val="32"/>
          <w:szCs w:val="32"/>
        </w:rPr>
      </w:pPr>
      <w:r>
        <w:rPr>
          <w:rFonts w:ascii="Times New Roman" w:hAnsi="Times New Roman" w:eastAsia="方正仿宋_GBK" w:cs="Times New Roman"/>
          <w:b/>
          <w:bCs/>
          <w:sz w:val="32"/>
          <w:szCs w:val="32"/>
        </w:rPr>
        <w:t>4.足额投保特别约定</w:t>
      </w:r>
    </w:p>
    <w:p w14:paraId="39F2CFCD">
      <w:pPr>
        <w:snapToGrid w:val="0"/>
        <w:spacing w:line="60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医疗机构如实提供全部医务人员数量，在保险期内发生医务人员变动，应及时向保险人告知，如存在不足额投保情况，将按事故发生时的比例进行分摊赔付。保险期内，医务人员变动不超过投保医务人员数量的+10%视为足额投保，且在此区间保险人不增加保费或退还保费，若发生保险事故，保险人不得按比例分摊赔款。</w:t>
      </w:r>
    </w:p>
    <w:p w14:paraId="331ABBA6">
      <w:pPr>
        <w:spacing w:line="600" w:lineRule="exact"/>
        <w:ind w:firstLine="643" w:firstLineChars="200"/>
        <w:rPr>
          <w:rFonts w:ascii="Times New Roman" w:hAnsi="Times New Roman" w:eastAsia="方正仿宋_GBK" w:cs="Times New Roman"/>
          <w:b/>
          <w:bCs/>
          <w:sz w:val="32"/>
          <w:szCs w:val="32"/>
        </w:rPr>
      </w:pPr>
      <w:r>
        <w:rPr>
          <w:rFonts w:hint="eastAsia" w:ascii="Times New Roman" w:hAnsi="Times New Roman" w:eastAsia="方正仿宋_GBK" w:cs="Times New Roman"/>
          <w:b/>
          <w:bCs/>
          <w:sz w:val="32"/>
          <w:szCs w:val="32"/>
        </w:rPr>
        <w:t>5</w:t>
      </w:r>
      <w:r>
        <w:rPr>
          <w:rFonts w:ascii="Times New Roman" w:hAnsi="Times New Roman" w:eastAsia="方正仿宋_GBK" w:cs="Times New Roman"/>
          <w:b/>
          <w:bCs/>
          <w:sz w:val="32"/>
          <w:szCs w:val="32"/>
        </w:rPr>
        <w:t>.</w:t>
      </w:r>
      <w:r>
        <w:rPr>
          <w:rFonts w:hint="eastAsia" w:ascii="Times New Roman" w:hAnsi="Times New Roman" w:eastAsia="方正仿宋_GBK" w:cs="Times New Roman"/>
          <w:b/>
          <w:bCs/>
          <w:sz w:val="32"/>
          <w:szCs w:val="32"/>
        </w:rPr>
        <w:t>索赔单证特别约定</w:t>
      </w:r>
    </w:p>
    <w:p w14:paraId="320EA9D1">
      <w:pPr>
        <w:pStyle w:val="3"/>
        <w:spacing w:before="0" w:beforeLines="0" w:after="0" w:afterLines="0" w:line="600" w:lineRule="exact"/>
        <w:ind w:firstLine="640" w:firstLineChars="200"/>
        <w:jc w:val="both"/>
        <w:rPr>
          <w:rFonts w:ascii="Times New Roman" w:hAnsi="Times New Roman" w:eastAsia="方正仿宋_GBK" w:cs="Times New Roman"/>
          <w:bCs/>
          <w:sz w:val="32"/>
          <w:szCs w:val="32"/>
        </w:rPr>
      </w:pPr>
      <w:bookmarkStart w:id="0" w:name="_Toc75793508"/>
      <w:r>
        <w:rPr>
          <w:rFonts w:hint="eastAsia" w:ascii="Times New Roman" w:hAnsi="Times New Roman" w:eastAsia="方正仿宋_GBK" w:cs="Times New Roman"/>
          <w:bCs/>
          <w:sz w:val="32"/>
          <w:szCs w:val="32"/>
        </w:rPr>
        <w:t>被保险人向保险人请求赔偿时，应提交下列单证材料：有关责任人的资格或执业证明；患者或其近亲属的书面索赔申请；保险事故情况说明、赔偿项目清单；经国家批准或认可的医疗事故技术鉴定或医疗过错司法鉴定机构进行鉴定的，应提供医疗事故技术鉴定或医疗过错司法鉴定书；经重庆市医疗纠纷第三方调解机构或相关行政部门或法院、仲裁机构依法调解、判决、裁决、裁定的，应当提供调解书或判决书、裁定书或具有同等法律效力的其他文件；如将赔款支付给被保险人的，需提供被保险人已经向第三者支付赔偿金的书面证明材料；投保人、被保险人所能提供的其他与确认保险事故的性质、原因、损失程度等有关的证明和资料。</w:t>
      </w:r>
    </w:p>
    <w:p w14:paraId="6EBA2CCA">
      <w:pPr>
        <w:pStyle w:val="3"/>
        <w:spacing w:before="0" w:beforeLines="0" w:after="0" w:afterLines="0" w:line="600" w:lineRule="exact"/>
        <w:ind w:firstLine="640" w:firstLineChars="200"/>
        <w:jc w:val="both"/>
        <w:rPr>
          <w:rFonts w:hint="eastAsia" w:ascii="Times New Roman" w:hAnsi="Times New Roman" w:eastAsia="方正仿宋_GBK" w:cs="Times New Roman"/>
          <w:bCs/>
          <w:sz w:val="32"/>
          <w:szCs w:val="32"/>
        </w:rPr>
      </w:pPr>
      <w:r>
        <w:rPr>
          <w:rFonts w:hint="eastAsia" w:ascii="方正黑体_GBK" w:hAnsi="方正黑体_GBK" w:eastAsia="方正黑体_GBK" w:cs="方正黑体_GBK"/>
          <w:bCs/>
          <w:sz w:val="32"/>
          <w:szCs w:val="32"/>
        </w:rPr>
        <w:t>二、项目商务要求</w:t>
      </w:r>
      <w:bookmarkEnd w:id="0"/>
    </w:p>
    <w:p w14:paraId="19860E7D">
      <w:pPr>
        <w:spacing w:line="600" w:lineRule="exact"/>
        <w:ind w:firstLine="640" w:firstLineChars="200"/>
        <w:rPr>
          <w:rFonts w:ascii="Times New Roman" w:hAnsi="Times New Roman" w:eastAsia="方正仿宋_GBK" w:cs="Times New Roman"/>
          <w:sz w:val="32"/>
          <w:szCs w:val="32"/>
        </w:rPr>
      </w:pPr>
      <w:r>
        <w:rPr>
          <w:rFonts w:hint="eastAsia" w:ascii="方正楷体_GBK" w:hAnsi="方正楷体_GBK" w:eastAsia="方正楷体_GBK" w:cs="方正楷体_GBK"/>
          <w:sz w:val="32"/>
          <w:szCs w:val="32"/>
        </w:rPr>
        <w:t>（一）服务期、服务地点</w:t>
      </w:r>
    </w:p>
    <w:p w14:paraId="46E68915">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服务期：自合同签订之日起一年。</w:t>
      </w:r>
    </w:p>
    <w:p w14:paraId="1525C2E6">
      <w:pPr>
        <w:spacing w:line="600" w:lineRule="exact"/>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服务地点：采购人指定地点。</w:t>
      </w:r>
    </w:p>
    <w:p w14:paraId="64B2A3FB">
      <w:pPr>
        <w:pStyle w:val="4"/>
        <w:spacing w:before="0" w:after="0" w:line="600" w:lineRule="exact"/>
        <w:ind w:firstLine="640" w:firstLineChars="200"/>
        <w:rPr>
          <w:rFonts w:ascii="Times New Roman" w:hAnsi="Times New Roman" w:eastAsia="方正仿宋_GBK"/>
          <w:b w:val="0"/>
          <w:bCs/>
          <w:szCs w:val="32"/>
        </w:rPr>
      </w:pPr>
      <w:bookmarkStart w:id="1" w:name="_Toc75793510"/>
      <w:bookmarkStart w:id="2" w:name="_Toc267320050"/>
      <w:r>
        <w:rPr>
          <w:rFonts w:hint="eastAsia" w:ascii="方正楷体_GBK" w:hAnsi="方正楷体_GBK" w:eastAsia="方正楷体_GBK" w:cs="方正楷体_GBK"/>
          <w:b w:val="0"/>
          <w:szCs w:val="32"/>
        </w:rPr>
        <w:t>（二）</w:t>
      </w:r>
      <w:r>
        <w:rPr>
          <w:rFonts w:ascii="方正楷体_GBK" w:hAnsi="方正楷体_GBK" w:eastAsia="方正楷体_GBK" w:cs="方正楷体_GBK"/>
          <w:b w:val="0"/>
          <w:szCs w:val="32"/>
        </w:rPr>
        <w:t>报价要求</w:t>
      </w:r>
      <w:bookmarkEnd w:id="1"/>
    </w:p>
    <w:p w14:paraId="3449B764">
      <w:pPr>
        <w:spacing w:line="60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本项目最高限价：</w:t>
      </w:r>
      <w:r>
        <w:rPr>
          <w:rFonts w:hint="eastAsia" w:ascii="Times New Roman" w:hAnsi="Times New Roman" w:eastAsia="方正仿宋_GBK" w:cs="Times New Roman"/>
          <w:color w:val="auto"/>
          <w:sz w:val="32"/>
          <w:szCs w:val="32"/>
        </w:rPr>
        <w:t>3</w:t>
      </w:r>
      <w:r>
        <w:rPr>
          <w:rFonts w:hint="eastAsia" w:ascii="Times New Roman" w:hAnsi="Times New Roman" w:eastAsia="方正仿宋_GBK" w:cs="Times New Roman"/>
          <w:color w:val="auto"/>
          <w:sz w:val="32"/>
          <w:szCs w:val="32"/>
          <w:lang w:val="en-US" w:eastAsia="zh-CN"/>
        </w:rPr>
        <w:t>5</w:t>
      </w:r>
      <w:r>
        <w:rPr>
          <w:rFonts w:ascii="Times New Roman" w:hAnsi="Times New Roman" w:eastAsia="方正仿宋_GBK" w:cs="Times New Roman"/>
          <w:color w:val="auto"/>
          <w:sz w:val="32"/>
          <w:szCs w:val="32"/>
        </w:rPr>
        <w:t>0</w:t>
      </w:r>
      <w:r>
        <w:rPr>
          <w:rFonts w:hint="eastAsia" w:ascii="Times New Roman" w:hAnsi="Times New Roman" w:eastAsia="方正仿宋_GBK" w:cs="Times New Roman"/>
          <w:color w:val="auto"/>
          <w:sz w:val="32"/>
          <w:szCs w:val="32"/>
        </w:rPr>
        <w:t>0</w:t>
      </w:r>
      <w:r>
        <w:rPr>
          <w:rFonts w:ascii="Times New Roman" w:hAnsi="Times New Roman" w:eastAsia="方正仿宋_GBK" w:cs="Times New Roman"/>
          <w:color w:val="auto"/>
          <w:sz w:val="32"/>
          <w:szCs w:val="32"/>
        </w:rPr>
        <w:t>00.00元（大写：</w:t>
      </w:r>
      <w:r>
        <w:rPr>
          <w:rFonts w:hint="eastAsia" w:ascii="Times New Roman" w:hAnsi="Times New Roman" w:eastAsia="方正仿宋_GBK" w:cs="Times New Roman"/>
          <w:color w:val="auto"/>
          <w:sz w:val="32"/>
          <w:szCs w:val="32"/>
        </w:rPr>
        <w:t>叁</w:t>
      </w:r>
      <w:r>
        <w:rPr>
          <w:rFonts w:ascii="Times New Roman" w:hAnsi="Times New Roman" w:eastAsia="方正仿宋_GBK" w:cs="Times New Roman"/>
          <w:color w:val="auto"/>
          <w:sz w:val="32"/>
          <w:szCs w:val="32"/>
        </w:rPr>
        <w:t>拾</w:t>
      </w:r>
      <w:r>
        <w:rPr>
          <w:rFonts w:hint="eastAsia" w:ascii="Times New Roman" w:hAnsi="Times New Roman" w:eastAsia="方正仿宋_GBK" w:cs="Times New Roman"/>
          <w:color w:val="auto"/>
          <w:sz w:val="32"/>
          <w:szCs w:val="32"/>
          <w:lang w:eastAsia="zh-CN"/>
        </w:rPr>
        <w:t>伍</w:t>
      </w:r>
      <w:r>
        <w:rPr>
          <w:rFonts w:ascii="Times New Roman" w:hAnsi="Times New Roman" w:eastAsia="方正仿宋_GBK" w:cs="Times New Roman"/>
          <w:color w:val="auto"/>
          <w:sz w:val="32"/>
          <w:szCs w:val="32"/>
        </w:rPr>
        <w:t>万元整），</w:t>
      </w:r>
      <w:r>
        <w:rPr>
          <w:rFonts w:ascii="Times New Roman" w:hAnsi="Times New Roman" w:eastAsia="方正仿宋_GBK" w:cs="Times New Roman"/>
          <w:kern w:val="0"/>
          <w:sz w:val="32"/>
          <w:szCs w:val="32"/>
        </w:rPr>
        <w:t>含主险和附加险，同时认同本方案计费规则要求。</w:t>
      </w:r>
    </w:p>
    <w:bookmarkEnd w:id="2"/>
    <w:p w14:paraId="160451EC">
      <w:pPr>
        <w:pStyle w:val="4"/>
        <w:spacing w:before="0" w:after="0" w:line="600" w:lineRule="exact"/>
        <w:ind w:firstLine="640" w:firstLineChars="200"/>
        <w:rPr>
          <w:rFonts w:ascii="Times New Roman" w:hAnsi="Times New Roman" w:eastAsia="方正仿宋_GBK"/>
          <w:b w:val="0"/>
          <w:bCs/>
          <w:szCs w:val="32"/>
        </w:rPr>
      </w:pPr>
      <w:r>
        <w:rPr>
          <w:rFonts w:hint="eastAsia" w:ascii="方正黑体_GBK" w:hAnsi="方正黑体_GBK" w:eastAsia="方正黑体_GBK" w:cs="方正黑体_GBK"/>
          <w:b w:val="0"/>
          <w:bCs/>
          <w:szCs w:val="32"/>
        </w:rPr>
        <w:t>三、</w:t>
      </w:r>
      <w:r>
        <w:rPr>
          <w:rFonts w:ascii="方正黑体_GBK" w:hAnsi="方正黑体_GBK" w:eastAsia="方正黑体_GBK" w:cs="方正黑体_GBK"/>
          <w:b w:val="0"/>
          <w:bCs/>
          <w:szCs w:val="32"/>
        </w:rPr>
        <w:t>服务承诺</w:t>
      </w:r>
    </w:p>
    <w:p w14:paraId="3EC77B10">
      <w:pPr>
        <w:snapToGrid w:val="0"/>
        <w:spacing w:line="600" w:lineRule="exact"/>
        <w:ind w:firstLine="640" w:firstLineChars="200"/>
        <w:rPr>
          <w:rFonts w:ascii="Times New Roman" w:hAnsi="Times New Roman" w:eastAsia="方正仿宋_GBK" w:cs="Times New Roman"/>
          <w:kern w:val="0"/>
          <w:sz w:val="32"/>
          <w:szCs w:val="32"/>
        </w:rPr>
      </w:pPr>
      <w:r>
        <w:rPr>
          <w:rFonts w:ascii="Times New Roman" w:hAnsi="Times New Roman" w:eastAsia="方正仿宋_GBK" w:cs="Times New Roman"/>
          <w:kern w:val="0"/>
          <w:sz w:val="32"/>
          <w:szCs w:val="32"/>
        </w:rPr>
        <w:t>服务承诺按下列条款自行承诺：</w:t>
      </w:r>
    </w:p>
    <w:p w14:paraId="05C8F4B9">
      <w:pPr>
        <w:numPr>
          <w:ilvl w:val="0"/>
          <w:numId w:val="1"/>
        </w:num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投标人应为本项目服务配备至少一名专属服务人员，协助医疗机构全程参与医疗纠纷处置和理赔。</w:t>
      </w:r>
    </w:p>
    <w:p w14:paraId="096123DE">
      <w:pPr>
        <w:numPr>
          <w:ilvl w:val="0"/>
          <w:numId w:val="1"/>
        </w:num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医疗机构向保险公司报案后，公司应立即（30分钟内）派出查勘人员，并安排专人参与医疗纠纷调解、协商和处置，根据被保险人申请到场参与纠纷处置工作，并提供可行性解决方案。</w:t>
      </w:r>
    </w:p>
    <w:p w14:paraId="6EA9BA23">
      <w:pPr>
        <w:numPr>
          <w:ilvl w:val="0"/>
          <w:numId w:val="1"/>
        </w:num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医疗纠纷处置结束后，由保险公司自行收集理赔资料，医院提供保险公司所需资料。保险公司自收到医院方的赔偿请求后应在5日内核定是否属于保险责任。不属于保险责任的，保险公司应当自核定做出3日内发出拒绝赔偿通知书并说明理由；属于保险责任的，保险公司应自核定之日起30日内完成赔偿并提供理赔分析报告。</w:t>
      </w:r>
    </w:p>
    <w:p w14:paraId="0056BD4A">
      <w:pPr>
        <w:numPr>
          <w:ilvl w:val="0"/>
          <w:numId w:val="1"/>
        </w:numPr>
        <w:snapToGrid w:val="0"/>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保险公司对每一例医疗纠纷赔付比例不低于医院支付或承担总费用的70%。由人民法院判决的被保险人承担的赔偿责任，保险公司按照100%进行全额赔付。</w:t>
      </w:r>
    </w:p>
    <w:p w14:paraId="1AA87B01">
      <w:pPr>
        <w:pStyle w:val="5"/>
        <w:numPr>
          <w:ilvl w:val="0"/>
          <w:numId w:val="1"/>
        </w:numPr>
        <w:spacing w:line="60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szCs w:val="32"/>
        </w:rPr>
        <w:t>保险公司及时、主动提供季度理赔情况报表，准确反映期间理赔金额、理赔明细。</w:t>
      </w:r>
    </w:p>
    <w:p w14:paraId="4C8394E7">
      <w:pPr>
        <w:pStyle w:val="5"/>
        <w:numPr>
          <w:ilvl w:val="0"/>
          <w:numId w:val="1"/>
        </w:numPr>
        <w:spacing w:line="600" w:lineRule="exact"/>
        <w:ind w:firstLine="640" w:firstLineChars="200"/>
        <w:rPr>
          <w:rFonts w:ascii="Times New Roman" w:hAnsi="Times New Roman" w:eastAsia="方正仿宋_GBK" w:cs="Times New Roman"/>
          <w:szCs w:val="32"/>
        </w:rPr>
      </w:pPr>
      <w:r>
        <w:rPr>
          <w:rFonts w:ascii="Times New Roman" w:hAnsi="Times New Roman" w:eastAsia="方正仿宋_GBK" w:cs="Times New Roman"/>
          <w:szCs w:val="32"/>
        </w:rPr>
        <w:t>医院邀请上级医院（外院）医师，在诊疗活动中因执业过失导致患者人身损害（含精神损害）以及因此发生的法律费用等，纳入医疗责任保险报保范围。</w:t>
      </w:r>
    </w:p>
    <w:p w14:paraId="57668988">
      <w:pPr>
        <w:spacing w:line="440" w:lineRule="exact"/>
        <w:ind w:firstLine="560" w:firstLineChars="200"/>
        <w:rPr>
          <w:rFonts w:ascii="方正仿宋_GBK" w:hAnsi="方正仿宋_GBK" w:eastAsia="方正仿宋_GBK" w:cs="方正仿宋_GBK"/>
          <w:sz w:val="28"/>
          <w:szCs w:val="28"/>
        </w:rPr>
      </w:pPr>
    </w:p>
    <w:p w14:paraId="0D13F624">
      <w:pPr>
        <w:rPr>
          <w:rFonts w:hint="eastAsia" w:ascii="方正仿宋_GBK" w:hAnsi="方正仿宋_GBK" w:eastAsia="方正仿宋_GBK" w:cs="方正仿宋_GBK"/>
          <w:sz w:val="32"/>
          <w:szCs w:val="32"/>
        </w:rPr>
        <w:sectPr>
          <w:pgSz w:w="11906" w:h="16838"/>
          <w:pgMar w:top="1440" w:right="1800" w:bottom="1440" w:left="1800" w:header="851" w:footer="992" w:gutter="0"/>
          <w:cols w:space="425" w:num="1"/>
          <w:docGrid w:type="lines" w:linePitch="312" w:charSpace="0"/>
        </w:sectPr>
      </w:pPr>
    </w:p>
    <w:p w14:paraId="70C4588F">
      <w:pPr>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附件5</w:t>
      </w:r>
    </w:p>
    <w:p w14:paraId="346BE416">
      <w:pPr>
        <w:jc w:val="center"/>
        <w:rPr>
          <w:rFonts w:hint="eastAsia" w:ascii="方正小标宋_GBK" w:hAnsi="方正仿宋_GBK" w:eastAsia="方正小标宋_GBK" w:cs="方正仿宋_GBK"/>
          <w:sz w:val="32"/>
          <w:szCs w:val="32"/>
        </w:rPr>
      </w:pPr>
      <w:r>
        <w:rPr>
          <w:rFonts w:hint="eastAsia" w:ascii="方正小标宋_GBK" w:hAnsi="方正仿宋_GBK" w:eastAsia="方正小标宋_GBK" w:cs="方正仿宋_GBK"/>
          <w:sz w:val="32"/>
          <w:szCs w:val="32"/>
        </w:rPr>
        <w:t>医院基本情况简介</w:t>
      </w:r>
    </w:p>
    <w:p w14:paraId="5A55B923">
      <w:pPr>
        <w:widowControl/>
        <w:spacing w:line="600" w:lineRule="exact"/>
        <w:ind w:firstLine="640" w:firstLineChars="200"/>
        <w:jc w:val="left"/>
        <w:rPr>
          <w:rFonts w:ascii="Times New Roman" w:hAnsi="Times New Roman" w:eastAsia="方正仿宋_GBK"/>
          <w:sz w:val="32"/>
          <w:szCs w:val="32"/>
        </w:rPr>
      </w:pPr>
      <w:r>
        <w:rPr>
          <w:rFonts w:ascii="Times New Roman" w:hAnsi="Times New Roman" w:eastAsia="方正仿宋_GBK"/>
          <w:sz w:val="32"/>
          <w:szCs w:val="32"/>
        </w:rPr>
        <w:t>国家二级</w:t>
      </w:r>
      <w:r>
        <w:rPr>
          <w:rFonts w:hint="eastAsia" w:ascii="Times New Roman" w:hAnsi="Times New Roman" w:eastAsia="方正仿宋_GBK"/>
          <w:sz w:val="32"/>
          <w:szCs w:val="32"/>
        </w:rPr>
        <w:t>综合</w:t>
      </w:r>
      <w:r>
        <w:rPr>
          <w:rFonts w:ascii="Times New Roman" w:hAnsi="Times New Roman" w:eastAsia="方正仿宋_GBK"/>
          <w:sz w:val="32"/>
          <w:szCs w:val="32"/>
        </w:rPr>
        <w:t>医院，床位</w:t>
      </w:r>
      <w:r>
        <w:rPr>
          <w:rFonts w:hint="eastAsia" w:ascii="Times New Roman" w:hAnsi="Times New Roman" w:eastAsia="方正仿宋_GBK"/>
          <w:sz w:val="32"/>
          <w:szCs w:val="32"/>
        </w:rPr>
        <w:t>436</w:t>
      </w:r>
      <w:r>
        <w:rPr>
          <w:rFonts w:ascii="Times New Roman" w:hAnsi="Times New Roman" w:eastAsia="方正仿宋_GBK"/>
          <w:sz w:val="32"/>
          <w:szCs w:val="32"/>
        </w:rPr>
        <w:t>张，</w:t>
      </w:r>
      <w:r>
        <w:rPr>
          <w:rFonts w:hint="eastAsia" w:ascii="Times New Roman" w:hAnsi="Times New Roman" w:eastAsia="方正仿宋_GBK"/>
          <w:sz w:val="32"/>
          <w:szCs w:val="32"/>
        </w:rPr>
        <w:t>卫技人员</w:t>
      </w:r>
      <w:r>
        <w:rPr>
          <w:rFonts w:hint="eastAsia" w:ascii="Times New Roman" w:hAnsi="Times New Roman" w:eastAsia="方正仿宋_GBK"/>
          <w:sz w:val="32"/>
          <w:szCs w:val="32"/>
          <w:lang w:val="en-US" w:eastAsia="zh-CN"/>
        </w:rPr>
        <w:t>354</w:t>
      </w:r>
      <w:r>
        <w:rPr>
          <w:rFonts w:hint="eastAsia" w:ascii="Times New Roman" w:hAnsi="Times New Roman" w:eastAsia="方正仿宋_GBK"/>
          <w:sz w:val="32"/>
          <w:szCs w:val="32"/>
        </w:rPr>
        <w:t>人</w:t>
      </w:r>
      <w:r>
        <w:rPr>
          <w:rFonts w:ascii="Times New Roman" w:hAnsi="Times New Roman" w:eastAsia="方正仿宋_GBK"/>
          <w:sz w:val="32"/>
          <w:szCs w:val="32"/>
        </w:rPr>
        <w:t>，年门诊</w:t>
      </w:r>
      <w:r>
        <w:rPr>
          <w:rFonts w:hint="eastAsia" w:ascii="Times New Roman" w:hAnsi="Times New Roman" w:eastAsia="方正仿宋_GBK"/>
          <w:sz w:val="32"/>
          <w:szCs w:val="32"/>
        </w:rPr>
        <w:t>2</w:t>
      </w:r>
      <w:r>
        <w:rPr>
          <w:rFonts w:hint="eastAsia" w:ascii="Times New Roman" w:hAnsi="Times New Roman" w:eastAsia="方正仿宋_GBK"/>
          <w:sz w:val="32"/>
          <w:szCs w:val="32"/>
          <w:lang w:val="en-US" w:eastAsia="zh-CN"/>
        </w:rPr>
        <w:t>0</w:t>
      </w:r>
      <w:r>
        <w:rPr>
          <w:rFonts w:hint="eastAsia" w:ascii="Times New Roman" w:hAnsi="Times New Roman" w:eastAsia="方正仿宋_GBK"/>
          <w:sz w:val="32"/>
          <w:szCs w:val="32"/>
        </w:rPr>
        <w:t>万人次</w:t>
      </w:r>
      <w:r>
        <w:rPr>
          <w:rFonts w:ascii="Times New Roman" w:hAnsi="Times New Roman" w:eastAsia="方正仿宋_GBK"/>
          <w:sz w:val="32"/>
          <w:szCs w:val="32"/>
        </w:rPr>
        <w:t>，年</w:t>
      </w:r>
      <w:r>
        <w:rPr>
          <w:rFonts w:hint="eastAsia" w:ascii="Times New Roman" w:hAnsi="Times New Roman" w:eastAsia="方正仿宋_GBK"/>
          <w:sz w:val="32"/>
          <w:szCs w:val="32"/>
          <w:lang w:val="en-US" w:eastAsia="zh-CN"/>
        </w:rPr>
        <w:t>出</w:t>
      </w:r>
      <w:r>
        <w:rPr>
          <w:rFonts w:ascii="Times New Roman" w:hAnsi="Times New Roman" w:eastAsia="方正仿宋_GBK"/>
          <w:sz w:val="32"/>
          <w:szCs w:val="32"/>
        </w:rPr>
        <w:t>院</w:t>
      </w:r>
      <w:r>
        <w:rPr>
          <w:rFonts w:hint="eastAsia" w:ascii="Times New Roman" w:hAnsi="Times New Roman" w:eastAsia="方正仿宋_GBK"/>
          <w:sz w:val="32"/>
          <w:szCs w:val="32"/>
        </w:rPr>
        <w:t>2万人次</w:t>
      </w:r>
      <w:r>
        <w:rPr>
          <w:rFonts w:ascii="Times New Roman" w:hAnsi="Times New Roman" w:eastAsia="方正仿宋_GBK"/>
          <w:sz w:val="32"/>
          <w:szCs w:val="32"/>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424CD4"/>
    <w:multiLevelType w:val="singleLevel"/>
    <w:tmpl w:val="64424CD4"/>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xMDI3Y2UxOWFlZjg5MGJmNWE5Mjk3M2RlYzRmOTMifQ=="/>
  </w:docVars>
  <w:rsids>
    <w:rsidRoot w:val="00094AFF"/>
    <w:rsid w:val="00094AFF"/>
    <w:rsid w:val="000C72B5"/>
    <w:rsid w:val="000E4A33"/>
    <w:rsid w:val="001162EB"/>
    <w:rsid w:val="00333913"/>
    <w:rsid w:val="00412B94"/>
    <w:rsid w:val="0050758A"/>
    <w:rsid w:val="00543BF4"/>
    <w:rsid w:val="00676FA2"/>
    <w:rsid w:val="007C0F5E"/>
    <w:rsid w:val="009873AD"/>
    <w:rsid w:val="009A7AD2"/>
    <w:rsid w:val="009D7D70"/>
    <w:rsid w:val="00B263A6"/>
    <w:rsid w:val="00C07BEA"/>
    <w:rsid w:val="00CC7D1B"/>
    <w:rsid w:val="00D074CA"/>
    <w:rsid w:val="00EC7002"/>
    <w:rsid w:val="00F2582B"/>
    <w:rsid w:val="01415CD2"/>
    <w:rsid w:val="01BA55C6"/>
    <w:rsid w:val="03CC21CB"/>
    <w:rsid w:val="03F326ED"/>
    <w:rsid w:val="075C6750"/>
    <w:rsid w:val="08243CD7"/>
    <w:rsid w:val="09150170"/>
    <w:rsid w:val="0A252635"/>
    <w:rsid w:val="0B04049C"/>
    <w:rsid w:val="0DCB704F"/>
    <w:rsid w:val="0E567261"/>
    <w:rsid w:val="10C006A0"/>
    <w:rsid w:val="11A04BBD"/>
    <w:rsid w:val="150335E3"/>
    <w:rsid w:val="15C77B67"/>
    <w:rsid w:val="161A76B1"/>
    <w:rsid w:val="171D4483"/>
    <w:rsid w:val="17852965"/>
    <w:rsid w:val="1B762547"/>
    <w:rsid w:val="1BDB2B53"/>
    <w:rsid w:val="1C6D22B3"/>
    <w:rsid w:val="1DCD0BC2"/>
    <w:rsid w:val="1DDE1929"/>
    <w:rsid w:val="2141123A"/>
    <w:rsid w:val="22C205C9"/>
    <w:rsid w:val="26C37006"/>
    <w:rsid w:val="26E17A84"/>
    <w:rsid w:val="273727E8"/>
    <w:rsid w:val="278542BB"/>
    <w:rsid w:val="29387837"/>
    <w:rsid w:val="298068D7"/>
    <w:rsid w:val="2B623ECC"/>
    <w:rsid w:val="2BE315B0"/>
    <w:rsid w:val="2D482013"/>
    <w:rsid w:val="2FA413C9"/>
    <w:rsid w:val="32CC2D9E"/>
    <w:rsid w:val="3699161E"/>
    <w:rsid w:val="37B54006"/>
    <w:rsid w:val="3A0A2FBE"/>
    <w:rsid w:val="413345A5"/>
    <w:rsid w:val="41A90E7A"/>
    <w:rsid w:val="4486733B"/>
    <w:rsid w:val="449B0822"/>
    <w:rsid w:val="450F2962"/>
    <w:rsid w:val="466850E9"/>
    <w:rsid w:val="472F1EED"/>
    <w:rsid w:val="4BA91A77"/>
    <w:rsid w:val="4E5A52AA"/>
    <w:rsid w:val="4F041DE6"/>
    <w:rsid w:val="4FD658AF"/>
    <w:rsid w:val="50C31ED3"/>
    <w:rsid w:val="51422751"/>
    <w:rsid w:val="525E7A5F"/>
    <w:rsid w:val="52A507CC"/>
    <w:rsid w:val="587578B0"/>
    <w:rsid w:val="59B3422C"/>
    <w:rsid w:val="5A1629CD"/>
    <w:rsid w:val="5A585862"/>
    <w:rsid w:val="5CBD1826"/>
    <w:rsid w:val="5D211DB5"/>
    <w:rsid w:val="61773B3D"/>
    <w:rsid w:val="638E7A78"/>
    <w:rsid w:val="67181C56"/>
    <w:rsid w:val="676F3CF1"/>
    <w:rsid w:val="67F02A95"/>
    <w:rsid w:val="6B7D188D"/>
    <w:rsid w:val="6DC0441D"/>
    <w:rsid w:val="6FD72449"/>
    <w:rsid w:val="6FF45107"/>
    <w:rsid w:val="71423D5C"/>
    <w:rsid w:val="71FB09CF"/>
    <w:rsid w:val="77176C2C"/>
    <w:rsid w:val="78C673B0"/>
    <w:rsid w:val="79435A80"/>
    <w:rsid w:val="7A3727C0"/>
    <w:rsid w:val="7B430CF1"/>
    <w:rsid w:val="7F9C3B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5"/>
    <w:qFormat/>
    <w:uiPriority w:val="0"/>
    <w:pPr>
      <w:keepNext/>
      <w:tabs>
        <w:tab w:val="left" w:pos="3360"/>
      </w:tabs>
      <w:snapToGrid w:val="0"/>
      <w:spacing w:before="50" w:beforeLines="50" w:after="50" w:afterLines="50" w:line="800" w:lineRule="atLeast"/>
      <w:jc w:val="center"/>
      <w:outlineLvl w:val="0"/>
    </w:pPr>
    <w:rPr>
      <w:rFonts w:ascii="方正楷体_GBK" w:hAnsi="方正楷体_GBK" w:eastAsia="方正楷体_GBK" w:cs="方正楷体_GBK"/>
      <w:sz w:val="44"/>
    </w:rPr>
  </w:style>
  <w:style w:type="paragraph" w:styleId="4">
    <w:name w:val="heading 2"/>
    <w:basedOn w:val="1"/>
    <w:next w:val="1"/>
    <w:link w:val="16"/>
    <w:qFormat/>
    <w:uiPriority w:val="0"/>
    <w:pPr>
      <w:keepNext/>
      <w:keepLines/>
      <w:spacing w:before="260" w:after="260" w:line="413" w:lineRule="auto"/>
      <w:outlineLvl w:val="1"/>
    </w:pPr>
    <w:rPr>
      <w:rFonts w:ascii="Arial" w:hAnsi="Arial" w:eastAsia="黑体" w:cs="Times New Roman"/>
      <w:b/>
      <w:sz w:val="32"/>
      <w:szCs w:val="2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信息标题1"/>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5">
    <w:name w:val="Body Text"/>
    <w:basedOn w:val="1"/>
    <w:next w:val="1"/>
    <w:autoRedefine/>
    <w:qFormat/>
    <w:uiPriority w:val="0"/>
    <w:rPr>
      <w:rFonts w:ascii="仿宋_GB2312" w:eastAsia="仿宋_GB2312"/>
      <w:sz w:val="32"/>
    </w:rPr>
  </w:style>
  <w:style w:type="paragraph" w:styleId="6">
    <w:name w:val="toc 1"/>
    <w:basedOn w:val="1"/>
    <w:next w:val="1"/>
    <w:qFormat/>
    <w:uiPriority w:val="0"/>
    <w:pPr>
      <w:spacing w:line="180" w:lineRule="auto"/>
      <w:jc w:val="center"/>
    </w:pPr>
    <w:rPr>
      <w:rFonts w:ascii="Calibri" w:hAnsi="Calibri" w:eastAsia="宋体" w:cs="Times New Roman"/>
      <w:sz w:val="30"/>
    </w:rPr>
  </w:style>
  <w:style w:type="paragraph" w:styleId="7">
    <w:name w:val="Normal (Web)"/>
    <w:basedOn w:val="1"/>
    <w:autoRedefine/>
    <w:qFormat/>
    <w:uiPriority w:val="0"/>
    <w:pPr>
      <w:spacing w:beforeAutospacing="1" w:afterAutospacing="1"/>
      <w:jc w:val="left"/>
    </w:pPr>
    <w:rPr>
      <w:rFonts w:cs="Times New Roman"/>
      <w:kern w:val="0"/>
      <w:sz w:val="24"/>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0"/>
    <w:rPr>
      <w:b/>
    </w:rPr>
  </w:style>
  <w:style w:type="character" w:styleId="12">
    <w:name w:val="Hyperlink"/>
    <w:basedOn w:val="10"/>
    <w:autoRedefine/>
    <w:qFormat/>
    <w:uiPriority w:val="0"/>
    <w:rPr>
      <w:color w:val="0000FF"/>
      <w:u w:val="single"/>
    </w:rPr>
  </w:style>
  <w:style w:type="paragraph" w:customStyle="1" w:styleId="13">
    <w:name w:val="Default"/>
    <w:autoRedefine/>
    <w:qFormat/>
    <w:uiPriority w:val="99"/>
    <w:pPr>
      <w:widowControl w:val="0"/>
      <w:autoSpaceDE w:val="0"/>
      <w:autoSpaceDN w:val="0"/>
      <w:adjustRightInd w:val="0"/>
    </w:pPr>
    <w:rPr>
      <w:rFonts w:ascii="宋体" w:hAnsi="Times New Roman" w:eastAsia="宋体" w:cs="Times New Roman"/>
      <w:color w:val="000000"/>
      <w:sz w:val="24"/>
      <w:lang w:val="en-US" w:eastAsia="zh-CN" w:bidi="ar-SA"/>
    </w:rPr>
  </w:style>
  <w:style w:type="paragraph" w:styleId="14">
    <w:name w:val="List Paragraph"/>
    <w:basedOn w:val="1"/>
    <w:autoRedefine/>
    <w:unhideWhenUsed/>
    <w:qFormat/>
    <w:uiPriority w:val="34"/>
    <w:pPr>
      <w:ind w:firstLine="420" w:firstLineChars="200"/>
    </w:pPr>
  </w:style>
  <w:style w:type="character" w:customStyle="1" w:styleId="15">
    <w:name w:val="标题 1 字符"/>
    <w:basedOn w:val="10"/>
    <w:link w:val="3"/>
    <w:qFormat/>
    <w:uiPriority w:val="0"/>
    <w:rPr>
      <w:rFonts w:ascii="方正楷体_GBK" w:hAnsi="方正楷体_GBK" w:eastAsia="方正楷体_GBK" w:cs="方正楷体_GBK"/>
      <w:kern w:val="2"/>
      <w:sz w:val="44"/>
      <w:szCs w:val="24"/>
    </w:rPr>
  </w:style>
  <w:style w:type="character" w:customStyle="1" w:styleId="16">
    <w:name w:val="标题 2 字符"/>
    <w:basedOn w:val="10"/>
    <w:link w:val="4"/>
    <w:qFormat/>
    <w:uiPriority w:val="0"/>
    <w:rPr>
      <w:rFonts w:ascii="Arial" w:hAnsi="Arial" w:eastAsia="黑体"/>
      <w:b/>
      <w:kern w:val="2"/>
      <w:sz w:val="3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3300</Words>
  <Characters>3383</Characters>
  <Lines>24</Lines>
  <Paragraphs>7</Paragraphs>
  <TotalTime>11</TotalTime>
  <ScaleCrop>false</ScaleCrop>
  <LinksUpToDate>false</LinksUpToDate>
  <CharactersWithSpaces>3386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Administrator.USER-20190109MS</dc:creator>
  <cp:lastModifiedBy>DaiCR</cp:lastModifiedBy>
  <dcterms:modified xsi:type="dcterms:W3CDTF">2025-10-27T09:12:11Z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01AA1854FBBD472BBDFFE02AF40D7CC4_13</vt:lpwstr>
  </property>
  <property fmtid="{D5CDD505-2E9C-101B-9397-08002B2CF9AE}" pid="4" name="KSOTemplateDocerSaveRecord">
    <vt:lpwstr>eyJoZGlkIjoiZTMzNmI2NWQwNmY2NmZhZTI1NmQzMDBmMjBjZmFjMTkiLCJ1c2VySWQiOiIxNTc1NTYyMjE3In0=</vt:lpwstr>
  </property>
</Properties>
</file>