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0635B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0"/>
          <w:szCs w:val="40"/>
          <w:lang w:val="en-US" w:eastAsia="zh-CN"/>
        </w:rPr>
      </w:pPr>
      <w:r>
        <w:rPr>
          <w:rFonts w:hint="eastAsia" w:ascii="方正小标宋_GBK" w:hAnsi="方正小标宋_GBK" w:eastAsia="方正小标宋_GBK" w:cs="方正小标宋_GBK"/>
          <w:sz w:val="40"/>
          <w:szCs w:val="40"/>
          <w:lang w:val="en-US" w:eastAsia="zh-CN"/>
        </w:rPr>
        <w:t>重庆医科大学附属巴南医院</w:t>
      </w:r>
    </w:p>
    <w:p w14:paraId="1F27E6D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z w:val="40"/>
          <w:szCs w:val="40"/>
          <w:lang w:val="en-US" w:eastAsia="zh-CN"/>
        </w:rPr>
      </w:pPr>
      <w:r>
        <w:rPr>
          <w:rFonts w:hint="eastAsia" w:ascii="方正小标宋_GBK" w:hAnsi="方正小标宋_GBK" w:eastAsia="方正小标宋_GBK" w:cs="方正小标宋_GBK"/>
          <w:sz w:val="40"/>
          <w:szCs w:val="40"/>
          <w:lang w:val="en-US" w:eastAsia="zh-CN"/>
        </w:rPr>
        <w:t>重庆市巴南区人民医院</w:t>
      </w:r>
    </w:p>
    <w:p w14:paraId="6501A4F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z w:val="40"/>
          <w:szCs w:val="40"/>
          <w:lang w:val="en-US" w:eastAsia="zh-CN"/>
        </w:rPr>
      </w:pPr>
      <w:r>
        <w:rPr>
          <w:rFonts w:hint="eastAsia" w:ascii="方正小标宋_GBK" w:hAnsi="方正小标宋_GBK" w:eastAsia="方正小标宋_GBK" w:cs="方正小标宋_GBK"/>
          <w:sz w:val="40"/>
          <w:szCs w:val="40"/>
          <w:lang w:val="en-US" w:eastAsia="zh-CN"/>
        </w:rPr>
        <w:t>医保控费服务项目采购需求调查公告</w:t>
      </w:r>
    </w:p>
    <w:p w14:paraId="684C16DD">
      <w:pPr>
        <w:spacing w:line="580" w:lineRule="exact"/>
        <w:ind w:firstLine="600" w:firstLineChars="200"/>
        <w:rPr>
          <w:rFonts w:eastAsia="方正仿宋_GBK"/>
          <w:color w:val="000000"/>
          <w:sz w:val="30"/>
          <w:szCs w:val="30"/>
        </w:rPr>
      </w:pPr>
    </w:p>
    <w:p w14:paraId="605A8079">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各潜在供应商：</w:t>
      </w:r>
    </w:p>
    <w:p w14:paraId="60288999">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我院近期拟采购</w:t>
      </w:r>
      <w:r>
        <w:rPr>
          <w:rFonts w:hint="eastAsia" w:ascii="Times New Roman" w:hAnsi="Times New Roman" w:eastAsia="方正仿宋_GBK" w:cs="Times New Roman"/>
          <w:sz w:val="28"/>
          <w:szCs w:val="28"/>
          <w:lang w:val="en-US" w:eastAsia="zh-CN"/>
        </w:rPr>
        <w:t>医保控费服务项目</w:t>
      </w:r>
      <w:r>
        <w:rPr>
          <w:rFonts w:hint="default" w:ascii="Times New Roman" w:hAnsi="Times New Roman" w:eastAsia="方正仿宋_GBK" w:cs="Times New Roman"/>
          <w:sz w:val="28"/>
          <w:szCs w:val="28"/>
          <w:lang w:val="en-US" w:eastAsia="zh-CN"/>
        </w:rPr>
        <w:t>，根据医院采购管理相关规定，现开展市场调研工作，诚邀具有合格资质且有良好信誉和售后服务能力的供应商参与。具体事项通知如下：</w:t>
      </w:r>
    </w:p>
    <w:p w14:paraId="245E3FEC">
      <w:pPr>
        <w:keepNext w:val="0"/>
        <w:keepLines w:val="0"/>
        <w:pageBreakBefore w:val="0"/>
        <w:widowControl w:val="0"/>
        <w:numPr>
          <w:ilvl w:val="0"/>
          <w:numId w:val="1"/>
        </w:numPr>
        <w:kinsoku/>
        <w:wordWrap/>
        <w:overflowPunct/>
        <w:topLinePunct w:val="0"/>
        <w:autoSpaceDE/>
        <w:autoSpaceDN/>
        <w:bidi w:val="0"/>
        <w:snapToGrid/>
        <w:spacing w:line="480" w:lineRule="exact"/>
        <w:textAlignment w:val="auto"/>
        <w:rPr>
          <w:rFonts w:hint="eastAsia" w:eastAsia="方正黑体_GBK" w:cs="方正黑体_GBK"/>
          <w:color w:val="000000"/>
          <w:sz w:val="30"/>
          <w:szCs w:val="30"/>
          <w:lang w:val="en-US" w:eastAsia="zh-CN"/>
        </w:rPr>
      </w:pPr>
      <w:r>
        <w:rPr>
          <w:rFonts w:hint="eastAsia" w:eastAsia="方正黑体_GBK" w:cs="方正黑体_GBK"/>
          <w:color w:val="000000"/>
          <w:sz w:val="30"/>
          <w:szCs w:val="30"/>
          <w:lang w:val="en-US" w:eastAsia="zh-CN"/>
        </w:rPr>
        <w:t>项目概况</w:t>
      </w:r>
    </w:p>
    <w:p w14:paraId="4650499C">
      <w:pPr>
        <w:keepNext w:val="0"/>
        <w:keepLines w:val="0"/>
        <w:pageBreakBefore w:val="0"/>
        <w:widowControl w:val="0"/>
        <w:kinsoku/>
        <w:wordWrap/>
        <w:overflowPunct/>
        <w:topLinePunct w:val="0"/>
        <w:autoSpaceDE/>
        <w:autoSpaceDN/>
        <w:bidi w:val="0"/>
        <w:snapToGrid/>
        <w:spacing w:line="480" w:lineRule="exact"/>
        <w:ind w:firstLine="560" w:firstLineChars="200"/>
        <w:textAlignment w:val="auto"/>
        <w:rPr>
          <w:rFonts w:hint="eastAsia" w:ascii="Times New Roman" w:hAnsi="Times New Roman" w:eastAsia="方正仿宋_GBK"/>
          <w:color w:val="000000"/>
          <w:sz w:val="28"/>
          <w:szCs w:val="28"/>
          <w:lang w:val="en-US" w:eastAsia="zh-CN"/>
        </w:rPr>
      </w:pPr>
      <w:r>
        <w:rPr>
          <w:rFonts w:hint="eastAsia" w:ascii="Times New Roman" w:hAnsi="Times New Roman" w:eastAsia="方正仿宋_GBK"/>
          <w:color w:val="000000"/>
          <w:sz w:val="28"/>
          <w:szCs w:val="28"/>
          <w:lang w:val="en-US" w:eastAsia="zh-CN"/>
        </w:rPr>
        <w:t>项目预算：10万元。</w:t>
      </w:r>
    </w:p>
    <w:p w14:paraId="03A15683">
      <w:pPr>
        <w:keepNext w:val="0"/>
        <w:keepLines w:val="0"/>
        <w:pageBreakBefore w:val="0"/>
        <w:widowControl w:val="0"/>
        <w:kinsoku/>
        <w:wordWrap/>
        <w:overflowPunct/>
        <w:topLinePunct w:val="0"/>
        <w:autoSpaceDE/>
        <w:autoSpaceDN/>
        <w:bidi w:val="0"/>
        <w:snapToGrid/>
        <w:spacing w:line="480" w:lineRule="exact"/>
        <w:ind w:firstLine="560" w:firstLineChars="200"/>
        <w:textAlignment w:val="auto"/>
        <w:rPr>
          <w:rFonts w:hint="default" w:ascii="Times New Roman" w:hAnsi="Times New Roman" w:eastAsia="方正仿宋_GBK"/>
          <w:color w:val="000000"/>
          <w:sz w:val="28"/>
          <w:szCs w:val="28"/>
          <w:lang w:val="en-US" w:eastAsia="zh-CN"/>
        </w:rPr>
      </w:pPr>
      <w:r>
        <w:rPr>
          <w:rFonts w:hint="eastAsia" w:ascii="Times New Roman" w:hAnsi="Times New Roman" w:eastAsia="方正仿宋_GBK"/>
          <w:color w:val="000000"/>
          <w:sz w:val="28"/>
          <w:szCs w:val="28"/>
          <w:lang w:val="en-US" w:eastAsia="zh-CN"/>
        </w:rPr>
        <w:t>服务时间：1年</w:t>
      </w:r>
    </w:p>
    <w:p w14:paraId="7D4B2303">
      <w:pPr>
        <w:keepNext w:val="0"/>
        <w:keepLines w:val="0"/>
        <w:pageBreakBefore w:val="0"/>
        <w:widowControl w:val="0"/>
        <w:kinsoku/>
        <w:wordWrap/>
        <w:overflowPunct/>
        <w:topLinePunct w:val="0"/>
        <w:autoSpaceDE/>
        <w:autoSpaceDN/>
        <w:bidi w:val="0"/>
        <w:snapToGrid/>
        <w:spacing w:line="480" w:lineRule="exact"/>
        <w:ind w:firstLine="560" w:firstLineChars="200"/>
        <w:textAlignment w:val="auto"/>
        <w:rPr>
          <w:rFonts w:hint="default" w:ascii="Times New Roman" w:hAnsi="Times New Roman" w:eastAsia="方正仿宋_GBK"/>
          <w:color w:val="000000"/>
          <w:sz w:val="28"/>
          <w:szCs w:val="28"/>
          <w:lang w:val="en-US" w:eastAsia="zh-CN"/>
        </w:rPr>
      </w:pPr>
      <w:r>
        <w:rPr>
          <w:rFonts w:hint="eastAsia" w:ascii="Times New Roman" w:hAnsi="Times New Roman" w:eastAsia="方正仿宋_GBK"/>
          <w:color w:val="000000"/>
          <w:sz w:val="28"/>
          <w:szCs w:val="28"/>
          <w:lang w:val="en-US" w:eastAsia="zh-CN"/>
        </w:rPr>
        <w:t>项目需求：详见附件1。</w:t>
      </w:r>
    </w:p>
    <w:p w14:paraId="5D9A15FD">
      <w:pPr>
        <w:keepNext w:val="0"/>
        <w:keepLines w:val="0"/>
        <w:pageBreakBefore w:val="0"/>
        <w:widowControl w:val="0"/>
        <w:numPr>
          <w:ilvl w:val="0"/>
          <w:numId w:val="1"/>
        </w:numPr>
        <w:kinsoku/>
        <w:wordWrap/>
        <w:overflowPunct/>
        <w:topLinePunct w:val="0"/>
        <w:autoSpaceDE/>
        <w:autoSpaceDN/>
        <w:bidi w:val="0"/>
        <w:snapToGrid/>
        <w:spacing w:line="480" w:lineRule="exact"/>
        <w:textAlignment w:val="auto"/>
        <w:rPr>
          <w:rFonts w:eastAsia="方正黑体_GBK" w:cs="方正黑体_GBK"/>
          <w:color w:val="000000"/>
          <w:sz w:val="30"/>
          <w:szCs w:val="30"/>
        </w:rPr>
      </w:pPr>
      <w:r>
        <w:rPr>
          <w:rFonts w:hint="eastAsia" w:eastAsia="方正黑体_GBK" w:cs="方正黑体_GBK"/>
          <w:color w:val="000000"/>
          <w:sz w:val="30"/>
          <w:szCs w:val="30"/>
          <w:lang w:val="en-US" w:eastAsia="zh-CN"/>
        </w:rPr>
        <w:t>需求调查</w:t>
      </w:r>
      <w:r>
        <w:rPr>
          <w:rFonts w:hint="eastAsia" w:eastAsia="方正黑体_GBK" w:cs="方正黑体_GBK"/>
          <w:color w:val="000000"/>
          <w:sz w:val="30"/>
          <w:szCs w:val="30"/>
        </w:rPr>
        <w:t>内容</w:t>
      </w:r>
    </w:p>
    <w:p w14:paraId="373B4EFE">
      <w:pPr>
        <w:keepNext w:val="0"/>
        <w:keepLines w:val="0"/>
        <w:pageBreakBefore w:val="0"/>
        <w:widowControl w:val="0"/>
        <w:kinsoku/>
        <w:wordWrap/>
        <w:overflowPunct/>
        <w:topLinePunct w:val="0"/>
        <w:autoSpaceDE/>
        <w:autoSpaceDN/>
        <w:bidi w:val="0"/>
        <w:snapToGrid/>
        <w:spacing w:line="480" w:lineRule="exact"/>
        <w:ind w:firstLine="560" w:firstLineChars="200"/>
        <w:textAlignment w:val="auto"/>
        <w:rPr>
          <w:rFonts w:ascii="Times New Roman" w:hAnsi="Times New Roman" w:eastAsia="方正黑体_GBK" w:cs="方正黑体_GBK"/>
          <w:color w:val="000000"/>
          <w:sz w:val="28"/>
          <w:szCs w:val="28"/>
        </w:rPr>
      </w:pPr>
      <w:r>
        <w:rPr>
          <w:rFonts w:hint="eastAsia" w:ascii="Times New Roman" w:hAnsi="Times New Roman" w:eastAsia="方正仿宋_GBK"/>
          <w:color w:val="000000"/>
          <w:sz w:val="28"/>
          <w:szCs w:val="28"/>
        </w:rPr>
        <w:t>包含但不限于潜在供应商具有的相关资质、服务能力、</w:t>
      </w:r>
      <w:r>
        <w:rPr>
          <w:rFonts w:hint="eastAsia" w:ascii="Times New Roman" w:hAnsi="Times New Roman" w:eastAsia="方正仿宋_GBK"/>
          <w:color w:val="000000"/>
          <w:sz w:val="28"/>
          <w:szCs w:val="28"/>
          <w:lang w:val="en-US" w:eastAsia="zh-CN"/>
        </w:rPr>
        <w:t>商品市场价格等</w:t>
      </w:r>
      <w:r>
        <w:rPr>
          <w:rFonts w:hint="eastAsia" w:ascii="Times New Roman" w:hAnsi="Times New Roman" w:eastAsia="方正仿宋_GBK"/>
          <w:color w:val="000000"/>
          <w:sz w:val="28"/>
          <w:szCs w:val="28"/>
        </w:rPr>
        <w:t>。</w:t>
      </w:r>
    </w:p>
    <w:p w14:paraId="64DC1C83">
      <w:pPr>
        <w:keepNext w:val="0"/>
        <w:keepLines w:val="0"/>
        <w:pageBreakBefore w:val="0"/>
        <w:widowControl w:val="0"/>
        <w:numPr>
          <w:ilvl w:val="0"/>
          <w:numId w:val="1"/>
        </w:numPr>
        <w:kinsoku/>
        <w:wordWrap/>
        <w:overflowPunct/>
        <w:topLinePunct w:val="0"/>
        <w:autoSpaceDE/>
        <w:autoSpaceDN/>
        <w:bidi w:val="0"/>
        <w:snapToGrid/>
        <w:spacing w:line="480" w:lineRule="exact"/>
        <w:textAlignment w:val="auto"/>
        <w:rPr>
          <w:rFonts w:hint="eastAsia" w:eastAsia="方正黑体_GBK" w:cs="方正黑体_GBK"/>
          <w:color w:val="000000"/>
          <w:sz w:val="30"/>
          <w:szCs w:val="30"/>
          <w:lang w:val="en-US" w:eastAsia="zh-CN"/>
        </w:rPr>
      </w:pPr>
      <w:r>
        <w:rPr>
          <w:rFonts w:hint="eastAsia" w:eastAsia="方正黑体_GBK" w:cs="方正黑体_GBK"/>
          <w:color w:val="000000"/>
          <w:sz w:val="30"/>
          <w:szCs w:val="30"/>
          <w:lang w:val="en-US" w:eastAsia="zh-CN"/>
        </w:rPr>
        <w:t>需求调查方式：</w:t>
      </w:r>
    </w:p>
    <w:p w14:paraId="44B27C34">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问卷调查。</w:t>
      </w:r>
    </w:p>
    <w:p w14:paraId="0D508778">
      <w:pPr>
        <w:keepNext w:val="0"/>
        <w:keepLines w:val="0"/>
        <w:pageBreakBefore w:val="0"/>
        <w:widowControl w:val="0"/>
        <w:numPr>
          <w:ilvl w:val="0"/>
          <w:numId w:val="1"/>
        </w:numPr>
        <w:kinsoku/>
        <w:wordWrap/>
        <w:overflowPunct/>
        <w:topLinePunct w:val="0"/>
        <w:autoSpaceDE/>
        <w:autoSpaceDN/>
        <w:bidi w:val="0"/>
        <w:snapToGrid/>
        <w:spacing w:line="480" w:lineRule="exact"/>
        <w:textAlignment w:val="auto"/>
        <w:rPr>
          <w:rFonts w:hint="eastAsia" w:eastAsia="方正黑体_GBK" w:cs="方正黑体_GBK"/>
          <w:color w:val="000000"/>
          <w:sz w:val="30"/>
          <w:szCs w:val="30"/>
          <w:lang w:val="en-US" w:eastAsia="zh-CN"/>
        </w:rPr>
      </w:pPr>
      <w:r>
        <w:rPr>
          <w:rFonts w:hint="eastAsia" w:eastAsia="方正黑体_GBK" w:cs="方正黑体_GBK"/>
          <w:color w:val="000000"/>
          <w:sz w:val="30"/>
          <w:szCs w:val="30"/>
          <w:lang w:val="en-US" w:eastAsia="zh-CN"/>
        </w:rPr>
        <w:t>需求调查对象：</w:t>
      </w:r>
    </w:p>
    <w:p w14:paraId="6542D74F">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具备相应服务能力和资质的供应商。</w:t>
      </w:r>
    </w:p>
    <w:p w14:paraId="62706A78">
      <w:pPr>
        <w:keepNext w:val="0"/>
        <w:keepLines w:val="0"/>
        <w:pageBreakBefore w:val="0"/>
        <w:widowControl w:val="0"/>
        <w:numPr>
          <w:ilvl w:val="0"/>
          <w:numId w:val="1"/>
        </w:numPr>
        <w:kinsoku/>
        <w:wordWrap/>
        <w:overflowPunct/>
        <w:topLinePunct w:val="0"/>
        <w:autoSpaceDE/>
        <w:autoSpaceDN/>
        <w:bidi w:val="0"/>
        <w:snapToGrid/>
        <w:spacing w:line="480" w:lineRule="exact"/>
        <w:textAlignment w:val="auto"/>
        <w:rPr>
          <w:rFonts w:hint="eastAsia" w:eastAsia="方正黑体_GBK" w:cs="方正黑体_GBK"/>
          <w:color w:val="000000"/>
          <w:sz w:val="30"/>
          <w:szCs w:val="30"/>
          <w:lang w:val="en-US" w:eastAsia="zh-CN"/>
        </w:rPr>
      </w:pPr>
      <w:r>
        <w:rPr>
          <w:rFonts w:hint="eastAsia" w:eastAsia="方正黑体_GBK" w:cs="方正黑体_GBK"/>
          <w:color w:val="000000"/>
          <w:sz w:val="30"/>
          <w:szCs w:val="30"/>
          <w:lang w:val="en-US" w:eastAsia="zh-CN"/>
        </w:rPr>
        <w:t>报送要求</w:t>
      </w:r>
    </w:p>
    <w:p w14:paraId="75304C04">
      <w:pPr>
        <w:keepNext w:val="0"/>
        <w:keepLines w:val="0"/>
        <w:pageBreakBefore w:val="0"/>
        <w:widowControl w:val="0"/>
        <w:kinsoku/>
        <w:wordWrap/>
        <w:overflowPunct/>
        <w:topLinePunct w:val="0"/>
        <w:autoSpaceDE/>
        <w:autoSpaceDN/>
        <w:bidi w:val="0"/>
        <w:snapToGrid/>
        <w:spacing w:line="480" w:lineRule="exact"/>
        <w:ind w:firstLine="560" w:firstLineChars="200"/>
        <w:textAlignment w:val="auto"/>
        <w:rPr>
          <w:rFonts w:hint="eastAsia"/>
          <w:lang w:val="en-US" w:eastAsia="zh-CN"/>
        </w:rPr>
      </w:pPr>
      <w:r>
        <w:rPr>
          <w:rFonts w:hint="default" w:ascii="Times New Roman" w:hAnsi="Times New Roman" w:eastAsia="方正仿宋_GBK" w:cs="Times New Roman"/>
          <w:sz w:val="28"/>
          <w:szCs w:val="28"/>
          <w:lang w:val="en-US" w:eastAsia="zh-CN"/>
        </w:rPr>
        <w:t>请各供应商于</w:t>
      </w:r>
      <w:r>
        <w:rPr>
          <w:rFonts w:hint="eastAsia" w:ascii="Times New Roman" w:hAnsi="Times New Roman" w:eastAsia="方正仿宋_GBK" w:cs="Times New Roman"/>
          <w:sz w:val="28"/>
          <w:szCs w:val="28"/>
          <w:lang w:val="en-US" w:eastAsia="zh-CN"/>
        </w:rPr>
        <w:t>截止日期</w:t>
      </w:r>
      <w:r>
        <w:rPr>
          <w:rFonts w:hint="default" w:ascii="Times New Roman" w:hAnsi="Times New Roman" w:eastAsia="方正仿宋_GBK" w:cs="Times New Roman"/>
          <w:sz w:val="28"/>
          <w:szCs w:val="28"/>
          <w:lang w:val="en-US" w:eastAsia="zh-CN"/>
        </w:rPr>
        <w:t>前，按附件2准备相关资料，资料需清晰扫描成一份PDF格式文件，在本平台（https://www.gec123.com/）本条问卷调查公告下方的回复区域上传。</w:t>
      </w:r>
    </w:p>
    <w:p w14:paraId="039A6D3D">
      <w:pPr>
        <w:keepNext w:val="0"/>
        <w:keepLines w:val="0"/>
        <w:pageBreakBefore w:val="0"/>
        <w:widowControl w:val="0"/>
        <w:numPr>
          <w:ilvl w:val="0"/>
          <w:numId w:val="1"/>
        </w:numPr>
        <w:kinsoku/>
        <w:wordWrap/>
        <w:overflowPunct/>
        <w:topLinePunct w:val="0"/>
        <w:autoSpaceDE/>
        <w:autoSpaceDN/>
        <w:bidi w:val="0"/>
        <w:snapToGrid/>
        <w:spacing w:line="480" w:lineRule="exact"/>
        <w:textAlignment w:val="auto"/>
        <w:rPr>
          <w:rFonts w:hint="eastAsia" w:eastAsia="方正黑体_GBK" w:cs="方正黑体_GBK"/>
          <w:color w:val="000000"/>
          <w:sz w:val="30"/>
          <w:szCs w:val="30"/>
          <w:lang w:val="en-US" w:eastAsia="zh-CN"/>
        </w:rPr>
      </w:pPr>
      <w:r>
        <w:rPr>
          <w:rFonts w:hint="eastAsia" w:eastAsia="方正黑体_GBK" w:cs="方正黑体_GBK"/>
          <w:color w:val="000000"/>
          <w:sz w:val="30"/>
          <w:szCs w:val="30"/>
          <w:lang w:val="en-US" w:eastAsia="zh-CN"/>
        </w:rPr>
        <w:t>其他说明</w:t>
      </w:r>
    </w:p>
    <w:p w14:paraId="79C4493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方正仿宋_GBK" w:cs="方正仿宋_GBK"/>
          <w:color w:val="000000"/>
          <w:sz w:val="28"/>
          <w:szCs w:val="28"/>
          <w:lang w:val="en-US" w:eastAsia="zh-CN"/>
        </w:rPr>
      </w:pPr>
      <w:r>
        <w:rPr>
          <w:rFonts w:hint="eastAsia" w:ascii="Times New Roman" w:hAnsi="Times New Roman" w:eastAsia="方正仿宋_GBK" w:cs="方正仿宋_GBK"/>
          <w:color w:val="000000"/>
          <w:sz w:val="28"/>
          <w:szCs w:val="28"/>
          <w:lang w:val="en-US" w:eastAsia="zh-CN"/>
        </w:rPr>
        <w:t>本次公开的</w:t>
      </w:r>
      <w:r>
        <w:rPr>
          <w:rFonts w:hint="eastAsia" w:ascii="Times New Roman" w:hAnsi="Times New Roman" w:eastAsia="方正仿宋_GBK"/>
          <w:color w:val="000000"/>
          <w:sz w:val="28"/>
          <w:szCs w:val="28"/>
        </w:rPr>
        <w:t>需求调查</w:t>
      </w:r>
      <w:r>
        <w:rPr>
          <w:rFonts w:hint="eastAsia" w:ascii="Times New Roman" w:hAnsi="Times New Roman" w:eastAsia="方正仿宋_GBK" w:cs="方正仿宋_GBK"/>
          <w:color w:val="000000"/>
          <w:sz w:val="28"/>
          <w:szCs w:val="28"/>
          <w:lang w:val="en-US" w:eastAsia="zh-CN"/>
        </w:rPr>
        <w:t>是采购项目的初步安排，具体以最终发布的招标文件为准。资料收集仅用于采购前参考，递交问卷调查表应当写明供应商名称、联系人及联系电话并加盖单位印章。</w:t>
      </w:r>
    </w:p>
    <w:p w14:paraId="28B3F06A">
      <w:pPr>
        <w:keepNext w:val="0"/>
        <w:keepLines w:val="0"/>
        <w:pageBreakBefore w:val="0"/>
        <w:widowControl w:val="0"/>
        <w:kinsoku/>
        <w:wordWrap/>
        <w:overflowPunct/>
        <w:topLinePunct w:val="0"/>
        <w:autoSpaceDE/>
        <w:autoSpaceDN/>
        <w:bidi w:val="0"/>
        <w:snapToGrid/>
        <w:spacing w:line="480" w:lineRule="exact"/>
        <w:ind w:firstLine="60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000000"/>
          <w:sz w:val="30"/>
          <w:szCs w:val="30"/>
        </w:rPr>
        <w:t>（</w:t>
      </w:r>
      <w:r>
        <w:rPr>
          <w:rFonts w:hint="default" w:ascii="Times New Roman" w:hAnsi="Times New Roman" w:eastAsia="方正仿宋_GBK" w:cs="Times New Roman"/>
          <w:color w:val="000000"/>
          <w:szCs w:val="32"/>
        </w:rPr>
        <w:t>联系人：</w:t>
      </w:r>
      <w:r>
        <w:rPr>
          <w:rFonts w:hint="eastAsia" w:ascii="Times New Roman" w:hAnsi="Times New Roman" w:eastAsia="方正仿宋_GBK" w:cs="Times New Roman"/>
          <w:color w:val="000000"/>
          <w:szCs w:val="32"/>
          <w:lang w:val="en-US" w:eastAsia="zh-CN"/>
        </w:rPr>
        <w:t xml:space="preserve">冉老师  </w:t>
      </w:r>
      <w:r>
        <w:rPr>
          <w:rFonts w:hint="default" w:ascii="Times New Roman" w:hAnsi="Times New Roman" w:eastAsia="方正仿宋_GBK" w:cs="Times New Roman"/>
          <w:color w:val="000000"/>
          <w:szCs w:val="32"/>
        </w:rPr>
        <w:t xml:space="preserve"> 联系电话：</w:t>
      </w:r>
      <w:r>
        <w:rPr>
          <w:rFonts w:hint="eastAsia" w:ascii="Times New Roman" w:hAnsi="Times New Roman" w:eastAsia="方正仿宋_GBK" w:cs="Times New Roman"/>
          <w:color w:val="000000"/>
          <w:szCs w:val="32"/>
          <w:lang w:val="en-US" w:eastAsia="zh-CN"/>
        </w:rPr>
        <w:t>66236035</w:t>
      </w:r>
      <w:r>
        <w:rPr>
          <w:rFonts w:hint="default" w:ascii="Times New Roman" w:hAnsi="Times New Roman" w:eastAsia="方正仿宋_GBK" w:cs="Times New Roman"/>
          <w:color w:val="000000"/>
          <w:sz w:val="30"/>
          <w:szCs w:val="30"/>
        </w:rPr>
        <w:t>）</w:t>
      </w:r>
    </w:p>
    <w:p w14:paraId="2D62F591">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right"/>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重庆医科大学附属巴南医院</w:t>
      </w:r>
    </w:p>
    <w:p w14:paraId="0B7CE33F">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72" w:firstLineChars="200"/>
        <w:jc w:val="right"/>
        <w:textAlignment w:val="auto"/>
        <w:rPr>
          <w:rFonts w:hint="default" w:ascii="Times New Roman" w:hAnsi="Times New Roman" w:eastAsia="方正仿宋_GBK" w:cs="Times New Roman"/>
          <w:spacing w:val="20"/>
          <w:sz w:val="28"/>
          <w:szCs w:val="28"/>
          <w:lang w:val="en-US" w:eastAsia="zh-CN"/>
        </w:rPr>
      </w:pPr>
      <w:r>
        <w:rPr>
          <w:rFonts w:hint="default" w:ascii="Times New Roman" w:hAnsi="Times New Roman" w:eastAsia="方正仿宋_GBK" w:cs="Times New Roman"/>
          <w:spacing w:val="28"/>
          <w:sz w:val="28"/>
          <w:szCs w:val="28"/>
          <w:lang w:val="en-US" w:eastAsia="zh-CN"/>
        </w:rPr>
        <w:t>重庆市巴南区人民医院</w:t>
      </w:r>
    </w:p>
    <w:p w14:paraId="66ECE4A7">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right"/>
        <w:textAlignment w:val="auto"/>
        <w:rPr>
          <w:rFonts w:hint="default" w:ascii="Times New Roman" w:hAnsi="Times New Roman" w:eastAsia="方正仿宋_GBK" w:cs="Times New Roman"/>
          <w:sz w:val="28"/>
          <w:szCs w:val="28"/>
          <w:lang w:val="en-US" w:eastAsia="zh-CN"/>
        </w:rPr>
        <w:sectPr>
          <w:pgSz w:w="11906" w:h="16838"/>
          <w:pgMar w:top="1440" w:right="1800" w:bottom="1440" w:left="1800" w:header="851" w:footer="992" w:gutter="0"/>
          <w:cols w:space="425" w:num="1"/>
          <w:docGrid w:type="lines" w:linePitch="312" w:charSpace="0"/>
        </w:sectPr>
      </w:pPr>
      <w:r>
        <w:rPr>
          <w:rFonts w:hint="default" w:ascii="Times New Roman" w:hAnsi="Times New Roman" w:eastAsia="方正仿宋_GBK" w:cs="Times New Roman"/>
          <w:sz w:val="28"/>
          <w:szCs w:val="28"/>
          <w:lang w:val="en-US" w:eastAsia="zh-CN"/>
        </w:rPr>
        <w:t>202</w:t>
      </w:r>
      <w:r>
        <w:rPr>
          <w:rFonts w:hint="eastAsia"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lang w:val="en-US" w:eastAsia="zh-CN"/>
        </w:rPr>
        <w:t>年</w:t>
      </w:r>
      <w:r>
        <w:rPr>
          <w:rFonts w:hint="eastAsia" w:ascii="Times New Roman" w:hAnsi="Times New Roman" w:eastAsia="方正仿宋_GBK" w:cs="Times New Roman"/>
          <w:sz w:val="28"/>
          <w:szCs w:val="28"/>
          <w:lang w:val="en-US" w:eastAsia="zh-CN"/>
        </w:rPr>
        <w:t>11</w:t>
      </w:r>
      <w:r>
        <w:rPr>
          <w:rFonts w:hint="default" w:ascii="Times New Roman" w:hAnsi="Times New Roman" w:eastAsia="方正仿宋_GBK" w:cs="Times New Roman"/>
          <w:sz w:val="28"/>
          <w:szCs w:val="28"/>
          <w:lang w:val="en-US" w:eastAsia="zh-CN"/>
        </w:rPr>
        <w:t>月</w:t>
      </w:r>
      <w:r>
        <w:rPr>
          <w:rFonts w:hint="eastAsia" w:ascii="Times New Roman" w:hAnsi="Times New Roman" w:eastAsia="方正仿宋_GBK" w:cs="Times New Roman"/>
          <w:sz w:val="28"/>
          <w:szCs w:val="28"/>
          <w:lang w:val="en-US" w:eastAsia="zh-CN"/>
        </w:rPr>
        <w:t>28</w:t>
      </w:r>
      <w:r>
        <w:rPr>
          <w:rFonts w:hint="default" w:ascii="Times New Roman" w:hAnsi="Times New Roman" w:eastAsia="方正仿宋_GBK" w:cs="Times New Roman"/>
          <w:sz w:val="28"/>
          <w:szCs w:val="28"/>
          <w:lang w:val="en-US" w:eastAsia="zh-CN"/>
        </w:rPr>
        <w:t>日</w:t>
      </w:r>
    </w:p>
    <w:p w14:paraId="7A8A6707">
      <w:pPr>
        <w:pStyle w:val="15"/>
        <w:spacing w:line="500" w:lineRule="exact"/>
        <w:jc w:val="left"/>
        <w:rPr>
          <w:rFonts w:hint="default"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附件1</w:t>
      </w:r>
    </w:p>
    <w:p w14:paraId="0CDA2BA5">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方正小标宋_GBK" w:hAnsi="方正小标宋_GBK" w:eastAsia="方正小标宋_GBK" w:cs="方正小标宋_GBK"/>
          <w:color w:val="000000"/>
          <w:kern w:val="0"/>
          <w:sz w:val="36"/>
          <w:szCs w:val="36"/>
          <w:lang w:val="en-US" w:eastAsia="zh-CN"/>
        </w:rPr>
      </w:pPr>
      <w:r>
        <w:rPr>
          <w:rFonts w:hint="eastAsia" w:ascii="方正小标宋_GBK" w:hAnsi="方正小标宋_GBK" w:eastAsia="方正小标宋_GBK" w:cs="方正小标宋_GBK"/>
          <w:color w:val="000000"/>
          <w:kern w:val="0"/>
          <w:sz w:val="36"/>
          <w:szCs w:val="36"/>
          <w:lang w:val="en-US" w:eastAsia="zh-CN"/>
        </w:rPr>
        <w:t>医保控费服务项目采购需求</w:t>
      </w:r>
    </w:p>
    <w:p w14:paraId="63446FF8">
      <w:pPr>
        <w:pStyle w:val="15"/>
        <w:rPr>
          <w:rFonts w:hint="eastAsia"/>
          <w:lang w:val="en-US" w:eastAsia="zh-CN"/>
        </w:rPr>
      </w:pPr>
    </w:p>
    <w:p w14:paraId="0C69268D">
      <w:pPr>
        <w:widowControl/>
        <w:numPr>
          <w:ilvl w:val="0"/>
          <w:numId w:val="2"/>
        </w:numPr>
        <w:adjustRightInd w:val="0"/>
        <w:snapToGrid w:val="0"/>
        <w:spacing w:line="240" w:lineRule="auto"/>
        <w:ind w:left="0" w:leftChars="0" w:firstLine="420" w:firstLineChars="0"/>
        <w:rPr>
          <w:rFonts w:hint="eastAsia" w:ascii="方正黑体_GBK" w:hAnsi="方正黑体_GBK" w:eastAsia="方正黑体_GBK" w:cs="方正黑体_GBK"/>
          <w:color w:val="000000"/>
          <w:kern w:val="0"/>
          <w:sz w:val="32"/>
          <w:szCs w:val="32"/>
          <w:lang w:val="en-US" w:eastAsia="zh-CN"/>
        </w:rPr>
      </w:pPr>
      <w:r>
        <w:rPr>
          <w:rFonts w:hint="eastAsia" w:ascii="方正黑体_GBK" w:hAnsi="方正黑体_GBK" w:eastAsia="方正黑体_GBK" w:cs="方正黑体_GBK"/>
          <w:color w:val="000000"/>
          <w:kern w:val="0"/>
          <w:sz w:val="32"/>
          <w:szCs w:val="32"/>
          <w:lang w:val="en-US" w:eastAsia="zh-CN"/>
        </w:rPr>
        <w:t>技术需求</w:t>
      </w:r>
    </w:p>
    <w:tbl>
      <w:tblPr>
        <w:tblStyle w:val="13"/>
        <w:tblW w:w="8829" w:type="dxa"/>
        <w:tblInd w:w="-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780"/>
        <w:gridCol w:w="1297"/>
        <w:gridCol w:w="6062"/>
      </w:tblGrid>
      <w:tr w14:paraId="251A4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0" w:type="dxa"/>
            <w:vMerge w:val="restart"/>
            <w:noWrap w:val="0"/>
            <w:vAlign w:val="top"/>
          </w:tcPr>
          <w:p w14:paraId="1B6486B1">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000000"/>
                <w:sz w:val="24"/>
                <w:szCs w:val="24"/>
              </w:rPr>
              <w:t>序号</w:t>
            </w:r>
          </w:p>
        </w:tc>
        <w:tc>
          <w:tcPr>
            <w:tcW w:w="8139" w:type="dxa"/>
            <w:gridSpan w:val="3"/>
            <w:noWrap w:val="0"/>
            <w:vAlign w:val="top"/>
          </w:tcPr>
          <w:p w14:paraId="04F5BAF9">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000000"/>
                <w:sz w:val="24"/>
                <w:szCs w:val="24"/>
              </w:rPr>
              <w:t>采购需求</w:t>
            </w:r>
          </w:p>
        </w:tc>
      </w:tr>
      <w:tr w14:paraId="6ED0F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top"/>
          </w:tcPr>
          <w:p w14:paraId="28AA807A">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highlight w:val="none"/>
                <w:vertAlign w:val="baseline"/>
                <w:lang w:val="en-US" w:eastAsia="zh-CN"/>
              </w:rPr>
            </w:pPr>
          </w:p>
        </w:tc>
        <w:tc>
          <w:tcPr>
            <w:tcW w:w="780" w:type="dxa"/>
            <w:noWrap w:val="0"/>
            <w:vAlign w:val="top"/>
          </w:tcPr>
          <w:p w14:paraId="5B708D91">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数据服务类别</w:t>
            </w:r>
          </w:p>
        </w:tc>
        <w:tc>
          <w:tcPr>
            <w:tcW w:w="1297" w:type="dxa"/>
            <w:noWrap w:val="0"/>
            <w:vAlign w:val="top"/>
          </w:tcPr>
          <w:p w14:paraId="59430049">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服务内容</w:t>
            </w:r>
          </w:p>
        </w:tc>
        <w:tc>
          <w:tcPr>
            <w:tcW w:w="6062" w:type="dxa"/>
            <w:noWrap w:val="0"/>
            <w:vAlign w:val="top"/>
          </w:tcPr>
          <w:p w14:paraId="1D1AC200">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技术要求</w:t>
            </w:r>
          </w:p>
        </w:tc>
      </w:tr>
      <w:tr w14:paraId="326DF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restart"/>
            <w:noWrap w:val="0"/>
            <w:vAlign w:val="center"/>
          </w:tcPr>
          <w:p w14:paraId="354D1F70">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1</w:t>
            </w:r>
          </w:p>
        </w:tc>
        <w:tc>
          <w:tcPr>
            <w:tcW w:w="780" w:type="dxa"/>
            <w:vMerge w:val="restart"/>
            <w:noWrap w:val="0"/>
            <w:vAlign w:val="center"/>
          </w:tcPr>
          <w:p w14:paraId="5B940872">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lang w:val="en-US" w:eastAsia="zh-CN"/>
              </w:rPr>
            </w:pPr>
            <w:r>
              <w:rPr>
                <w:rFonts w:hint="eastAsia" w:ascii="宋体" w:hAnsi="宋体" w:eastAsia="宋体" w:cs="宋体"/>
                <w:b/>
                <w:bCs/>
                <w:color w:val="auto"/>
                <w:sz w:val="24"/>
                <w:szCs w:val="24"/>
                <w:highlight w:val="none"/>
                <w:vertAlign w:val="baseline"/>
                <w:lang w:val="en-US" w:eastAsia="zh-CN"/>
              </w:rPr>
              <w:t>综合管理</w:t>
            </w:r>
          </w:p>
        </w:tc>
        <w:tc>
          <w:tcPr>
            <w:tcW w:w="1297" w:type="dxa"/>
            <w:vMerge w:val="restart"/>
            <w:noWrap w:val="0"/>
            <w:vAlign w:val="center"/>
          </w:tcPr>
          <w:p w14:paraId="38CAFFC0">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rPr>
            </w:pPr>
            <w:r>
              <w:rPr>
                <w:rFonts w:hint="eastAsia" w:ascii="宋体" w:hAnsi="宋体" w:eastAsia="宋体" w:cs="宋体"/>
                <w:b/>
                <w:bCs/>
                <w:i w:val="0"/>
                <w:iCs w:val="0"/>
                <w:color w:val="auto"/>
                <w:kern w:val="0"/>
                <w:sz w:val="24"/>
                <w:szCs w:val="24"/>
                <w:u w:val="none"/>
                <w:lang w:val="en-US" w:eastAsia="zh-CN" w:bidi="ar"/>
              </w:rPr>
              <w:t>违规实时监控可视化平台</w:t>
            </w:r>
          </w:p>
        </w:tc>
        <w:tc>
          <w:tcPr>
            <w:tcW w:w="6062" w:type="dxa"/>
            <w:noWrap w:val="0"/>
            <w:vAlign w:val="top"/>
          </w:tcPr>
          <w:p w14:paraId="5A144D8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vertAlign w:val="baseline"/>
              </w:rPr>
            </w:pPr>
            <w:r>
              <w:rPr>
                <w:rFonts w:hint="eastAsia" w:ascii="宋体" w:hAnsi="宋体" w:eastAsia="宋体" w:cs="宋体"/>
                <w:b w:val="0"/>
                <w:bCs w:val="0"/>
                <w:i w:val="0"/>
                <w:iCs w:val="0"/>
                <w:color w:val="auto"/>
                <w:sz w:val="24"/>
                <w:szCs w:val="24"/>
                <w:u w:val="none"/>
                <w:lang w:val="en-US" w:eastAsia="zh-CN"/>
              </w:rPr>
              <w:t>支持对院内实时医保违规情况进行大屏展示，对当前住院人次、各参保类别的分布、住院科室违规排行、开单科室违规排行以及住院医师、开单医师的违规排行进行实时分析展示，对重点违规信息进行轮播提示。</w:t>
            </w:r>
          </w:p>
        </w:tc>
      </w:tr>
      <w:tr w14:paraId="1757A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1EB55CE6">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lang w:val="en-US" w:eastAsia="zh-CN"/>
              </w:rPr>
            </w:pPr>
          </w:p>
        </w:tc>
        <w:tc>
          <w:tcPr>
            <w:tcW w:w="780" w:type="dxa"/>
            <w:vMerge w:val="continue"/>
            <w:noWrap w:val="0"/>
            <w:vAlign w:val="center"/>
          </w:tcPr>
          <w:p w14:paraId="6B8D0031">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lang w:val="en-US" w:eastAsia="zh-CN"/>
              </w:rPr>
            </w:pPr>
          </w:p>
        </w:tc>
        <w:tc>
          <w:tcPr>
            <w:tcW w:w="1297" w:type="dxa"/>
            <w:vMerge w:val="continue"/>
            <w:noWrap w:val="0"/>
            <w:vAlign w:val="center"/>
          </w:tcPr>
          <w:p w14:paraId="640BCA5B">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tc>
        <w:tc>
          <w:tcPr>
            <w:tcW w:w="6062" w:type="dxa"/>
            <w:noWrap w:val="0"/>
            <w:vAlign w:val="top"/>
          </w:tcPr>
          <w:p w14:paraId="357979F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以图表的形式展示当前的违规金额以及违规数量的分布。</w:t>
            </w:r>
          </w:p>
        </w:tc>
      </w:tr>
      <w:tr w14:paraId="319C8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restart"/>
            <w:noWrap w:val="0"/>
            <w:vAlign w:val="center"/>
          </w:tcPr>
          <w:p w14:paraId="3B32FCD9">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lang w:val="en-US" w:eastAsia="zh-CN"/>
              </w:rPr>
            </w:pPr>
            <w:r>
              <w:rPr>
                <w:rFonts w:hint="eastAsia" w:ascii="宋体" w:hAnsi="宋体" w:eastAsia="宋体" w:cs="宋体"/>
                <w:b/>
                <w:bCs/>
                <w:color w:val="auto"/>
                <w:sz w:val="24"/>
                <w:szCs w:val="24"/>
                <w:vertAlign w:val="baseline"/>
                <w:lang w:val="en-US" w:eastAsia="zh-CN"/>
              </w:rPr>
              <w:t>2</w:t>
            </w:r>
          </w:p>
        </w:tc>
        <w:tc>
          <w:tcPr>
            <w:tcW w:w="780" w:type="dxa"/>
            <w:vMerge w:val="restart"/>
            <w:noWrap w:val="0"/>
            <w:vAlign w:val="center"/>
          </w:tcPr>
          <w:p w14:paraId="267435B2">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lang w:val="en-US" w:eastAsia="zh-CN"/>
              </w:rPr>
            </w:pPr>
            <w:r>
              <w:rPr>
                <w:rFonts w:hint="eastAsia" w:ascii="宋体" w:hAnsi="宋体" w:eastAsia="宋体" w:cs="宋体"/>
                <w:b/>
                <w:bCs/>
                <w:color w:val="auto"/>
                <w:sz w:val="24"/>
                <w:szCs w:val="24"/>
                <w:vertAlign w:val="baseline"/>
                <w:lang w:val="en-US" w:eastAsia="zh-CN"/>
              </w:rPr>
              <w:t>门诊合规管控</w:t>
            </w:r>
          </w:p>
        </w:tc>
        <w:tc>
          <w:tcPr>
            <w:tcW w:w="1297" w:type="dxa"/>
            <w:noWrap w:val="0"/>
            <w:vAlign w:val="center"/>
          </w:tcPr>
          <w:p w14:paraId="1F876841">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事前提醒</w:t>
            </w:r>
          </w:p>
        </w:tc>
        <w:tc>
          <w:tcPr>
            <w:tcW w:w="6062" w:type="dxa"/>
            <w:noWrap w:val="0"/>
            <w:vAlign w:val="top"/>
          </w:tcPr>
          <w:p w14:paraId="71F48D2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bCs/>
                <w:i w:val="0"/>
                <w:iCs w:val="0"/>
                <w:color w:val="auto"/>
                <w:kern w:val="0"/>
                <w:sz w:val="24"/>
                <w:szCs w:val="24"/>
                <w:u w:val="none"/>
                <w:lang w:val="en-US" w:eastAsia="zh-CN" w:bidi="ar"/>
              </w:rPr>
              <w:t>门诊特病实时管控：</w:t>
            </w:r>
            <w:r>
              <w:rPr>
                <w:rFonts w:hint="eastAsia" w:ascii="宋体" w:hAnsi="宋体" w:eastAsia="宋体" w:cs="宋体"/>
                <w:b w:val="0"/>
                <w:bCs w:val="0"/>
                <w:i w:val="0"/>
                <w:iCs w:val="0"/>
                <w:color w:val="auto"/>
                <w:sz w:val="24"/>
                <w:szCs w:val="24"/>
                <w:u w:val="none"/>
                <w:lang w:val="en-US" w:eastAsia="zh-CN"/>
              </w:rPr>
              <w:t>在医生开具处方过程中，系统基于《医疗保障信息平台定点医药机构接口规范》及《基本医疗保险门诊特殊疾病保障指南（2025年版）》管理要求，实现对以下行为的实时预警与智能拦截：超范围报销、同类药品在短时间内重复开具、单次开具药品超量等。通过构建实时合规审核机制，防范不合理医疗行为的发生，切实保障医保基金安全与合理使用。</w:t>
            </w:r>
          </w:p>
        </w:tc>
      </w:tr>
      <w:tr w14:paraId="431D6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4173CB4A">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lang w:val="en-US" w:eastAsia="zh-CN"/>
              </w:rPr>
            </w:pPr>
          </w:p>
        </w:tc>
        <w:tc>
          <w:tcPr>
            <w:tcW w:w="780" w:type="dxa"/>
            <w:vMerge w:val="continue"/>
            <w:noWrap w:val="0"/>
            <w:vAlign w:val="center"/>
          </w:tcPr>
          <w:p w14:paraId="559AB399">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lang w:val="en-US" w:eastAsia="zh-CN"/>
              </w:rPr>
            </w:pPr>
          </w:p>
        </w:tc>
        <w:tc>
          <w:tcPr>
            <w:tcW w:w="1297" w:type="dxa"/>
            <w:noWrap w:val="0"/>
            <w:vAlign w:val="center"/>
          </w:tcPr>
          <w:p w14:paraId="08CA2431">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门诊事前拦截明细</w:t>
            </w:r>
          </w:p>
        </w:tc>
        <w:tc>
          <w:tcPr>
            <w:tcW w:w="6062" w:type="dxa"/>
            <w:noWrap w:val="0"/>
            <w:vAlign w:val="top"/>
          </w:tcPr>
          <w:p w14:paraId="44E327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根据门诊事前接口调用情况，统计门诊事前拦截明细，支持通过拦截时间、项目编码、项目名称查询提示项目名称、违规提示内容、门诊特慢病名称、慢特病编码、医生处理方式、数据处理时间。</w:t>
            </w:r>
          </w:p>
          <w:p w14:paraId="2C05C73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0"/>
                <w:sz w:val="24"/>
                <w:szCs w:val="24"/>
                <w:u w:val="none"/>
                <w:lang w:val="en-US" w:eastAsia="zh-CN" w:bidi="ar"/>
              </w:rPr>
            </w:pPr>
          </w:p>
          <w:p w14:paraId="08C0E07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0"/>
                <w:sz w:val="24"/>
                <w:szCs w:val="24"/>
                <w:u w:val="none"/>
                <w:lang w:val="en-US" w:eastAsia="zh-CN" w:bidi="ar"/>
              </w:rPr>
            </w:pPr>
          </w:p>
        </w:tc>
      </w:tr>
      <w:tr w14:paraId="45D5D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restart"/>
            <w:noWrap w:val="0"/>
            <w:vAlign w:val="center"/>
          </w:tcPr>
          <w:p w14:paraId="4FC09CD9">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p w14:paraId="26333002">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p w14:paraId="311A684C">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p w14:paraId="55F0DEB8">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p w14:paraId="7B984D82">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3</w:t>
            </w:r>
          </w:p>
        </w:tc>
        <w:tc>
          <w:tcPr>
            <w:tcW w:w="780" w:type="dxa"/>
            <w:vMerge w:val="restart"/>
            <w:noWrap w:val="0"/>
            <w:vAlign w:val="center"/>
          </w:tcPr>
          <w:p w14:paraId="38C0FCAF">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p w14:paraId="3FB6542B">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p w14:paraId="6E2C3F8F">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p w14:paraId="6E8A5B4E">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住院</w:t>
            </w:r>
            <w:r>
              <w:rPr>
                <w:rFonts w:hint="eastAsia" w:ascii="宋体" w:hAnsi="宋体" w:eastAsia="宋体" w:cs="宋体"/>
                <w:b/>
                <w:bCs/>
                <w:color w:val="auto"/>
                <w:sz w:val="24"/>
                <w:szCs w:val="24"/>
                <w:vertAlign w:val="baseline"/>
                <w:lang w:val="en-US" w:eastAsia="zh-CN"/>
              </w:rPr>
              <w:t>合规管控</w:t>
            </w:r>
          </w:p>
        </w:tc>
        <w:tc>
          <w:tcPr>
            <w:tcW w:w="1297" w:type="dxa"/>
            <w:vMerge w:val="restart"/>
            <w:noWrap w:val="0"/>
            <w:vAlign w:val="center"/>
          </w:tcPr>
          <w:p w14:paraId="70D72D1B">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p w14:paraId="5CF54C68">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p w14:paraId="71F8F272">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p w14:paraId="7EEE909E">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事前提醒模块</w:t>
            </w:r>
          </w:p>
        </w:tc>
        <w:tc>
          <w:tcPr>
            <w:tcW w:w="6062" w:type="dxa"/>
            <w:noWrap w:val="0"/>
            <w:vAlign w:val="top"/>
          </w:tcPr>
          <w:p w14:paraId="5F7D35D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bCs/>
                <w:i w:val="0"/>
                <w:iCs w:val="0"/>
                <w:color w:val="auto"/>
                <w:kern w:val="0"/>
                <w:sz w:val="24"/>
                <w:szCs w:val="24"/>
                <w:u w:val="none"/>
                <w:lang w:val="en-US" w:eastAsia="zh-CN" w:bidi="ar"/>
              </w:rPr>
              <w:t>临床实时提醒：</w:t>
            </w:r>
            <w:r>
              <w:rPr>
                <w:rFonts w:hint="eastAsia" w:ascii="宋体" w:hAnsi="宋体" w:eastAsia="宋体" w:cs="宋体"/>
                <w:b w:val="0"/>
                <w:bCs w:val="0"/>
                <w:i w:val="0"/>
                <w:iCs w:val="0"/>
                <w:color w:val="auto"/>
                <w:sz w:val="24"/>
                <w:szCs w:val="24"/>
                <w:u w:val="none"/>
                <w:lang w:val="en-US" w:eastAsia="zh-CN"/>
              </w:rPr>
              <w:t>支持在医生开具处方，实时触发违规提醒,通过数据交互，由HIS弹窗提醒。</w:t>
            </w:r>
          </w:p>
        </w:tc>
      </w:tr>
      <w:tr w14:paraId="44D58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1534B104">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rPr>
            </w:pPr>
          </w:p>
        </w:tc>
        <w:tc>
          <w:tcPr>
            <w:tcW w:w="780" w:type="dxa"/>
            <w:vMerge w:val="continue"/>
            <w:noWrap w:val="0"/>
            <w:vAlign w:val="center"/>
          </w:tcPr>
          <w:p w14:paraId="0224FB48">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rPr>
            </w:pPr>
          </w:p>
        </w:tc>
        <w:tc>
          <w:tcPr>
            <w:tcW w:w="1297" w:type="dxa"/>
            <w:vMerge w:val="continue"/>
            <w:noWrap w:val="0"/>
            <w:vAlign w:val="center"/>
          </w:tcPr>
          <w:p w14:paraId="5DDFC5B6">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tc>
        <w:tc>
          <w:tcPr>
            <w:tcW w:w="6062" w:type="dxa"/>
            <w:noWrap w:val="0"/>
            <w:vAlign w:val="top"/>
          </w:tcPr>
          <w:p w14:paraId="716E4C9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bCs/>
                <w:i w:val="0"/>
                <w:iCs w:val="0"/>
                <w:color w:val="auto"/>
                <w:kern w:val="0"/>
                <w:sz w:val="24"/>
                <w:szCs w:val="24"/>
                <w:u w:val="none"/>
                <w:lang w:val="en-US" w:eastAsia="zh-CN" w:bidi="ar"/>
              </w:rPr>
              <w:t>住院临床医嘱开具管控：</w:t>
            </w:r>
            <w:r>
              <w:rPr>
                <w:rFonts w:hint="eastAsia" w:ascii="宋体" w:hAnsi="宋体" w:eastAsia="宋体" w:cs="宋体"/>
                <w:b w:val="0"/>
                <w:bCs w:val="0"/>
                <w:i w:val="0"/>
                <w:iCs w:val="0"/>
                <w:color w:val="auto"/>
                <w:sz w:val="24"/>
                <w:szCs w:val="24"/>
                <w:u w:val="none"/>
                <w:lang w:val="en-US" w:eastAsia="zh-CN"/>
              </w:rPr>
              <w:t>临床人员给病人开具医嘱时，将根据医嘱内容对其合理性、合规性给出实时判断，并进行消息反馈，当有异常(违规)时，立即以弹窗的方式提醒医师。</w:t>
            </w:r>
          </w:p>
        </w:tc>
      </w:tr>
      <w:tr w14:paraId="226F5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0F1FDD38">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rPr>
            </w:pPr>
          </w:p>
        </w:tc>
        <w:tc>
          <w:tcPr>
            <w:tcW w:w="780" w:type="dxa"/>
            <w:vMerge w:val="continue"/>
            <w:noWrap w:val="0"/>
            <w:vAlign w:val="center"/>
          </w:tcPr>
          <w:p w14:paraId="140A3184">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rPr>
            </w:pPr>
          </w:p>
        </w:tc>
        <w:tc>
          <w:tcPr>
            <w:tcW w:w="1297" w:type="dxa"/>
            <w:vMerge w:val="continue"/>
            <w:noWrap w:val="0"/>
            <w:vAlign w:val="center"/>
          </w:tcPr>
          <w:p w14:paraId="4D0314DD">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tc>
        <w:tc>
          <w:tcPr>
            <w:tcW w:w="6062" w:type="dxa"/>
            <w:noWrap w:val="0"/>
            <w:vAlign w:val="top"/>
          </w:tcPr>
          <w:p w14:paraId="258019FA">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bCs/>
                <w:i w:val="0"/>
                <w:iCs w:val="0"/>
                <w:color w:val="auto"/>
                <w:kern w:val="0"/>
                <w:sz w:val="24"/>
                <w:szCs w:val="24"/>
                <w:u w:val="none"/>
                <w:lang w:val="en-US" w:eastAsia="zh-CN" w:bidi="ar"/>
              </w:rPr>
              <w:t>住院护理记账实时质控：</w:t>
            </w:r>
            <w:r>
              <w:rPr>
                <w:rFonts w:hint="eastAsia" w:ascii="宋体" w:hAnsi="宋体" w:eastAsia="宋体" w:cs="宋体"/>
                <w:b w:val="0"/>
                <w:bCs w:val="0"/>
                <w:i w:val="0"/>
                <w:iCs w:val="0"/>
                <w:color w:val="auto"/>
                <w:sz w:val="24"/>
                <w:szCs w:val="24"/>
                <w:u w:val="none"/>
                <w:lang w:val="en-US" w:eastAsia="zh-CN"/>
              </w:rPr>
              <w:t>护士计费时实时质控，根据开具内容对其合理性、合规性给出实时判断，并进行消息反馈，当有异常(违规)时，立即以弹窗的方式提醒护理人员发现如耗材单开、重复开等违规问题。</w:t>
            </w:r>
          </w:p>
        </w:tc>
      </w:tr>
      <w:tr w14:paraId="53450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40F12920">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rPr>
            </w:pPr>
          </w:p>
        </w:tc>
        <w:tc>
          <w:tcPr>
            <w:tcW w:w="780" w:type="dxa"/>
            <w:vMerge w:val="continue"/>
            <w:noWrap w:val="0"/>
            <w:vAlign w:val="center"/>
          </w:tcPr>
          <w:p w14:paraId="3BEB7440">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rPr>
            </w:pPr>
          </w:p>
        </w:tc>
        <w:tc>
          <w:tcPr>
            <w:tcW w:w="1297" w:type="dxa"/>
            <w:vMerge w:val="continue"/>
            <w:noWrap w:val="0"/>
            <w:vAlign w:val="center"/>
          </w:tcPr>
          <w:p w14:paraId="19F0A57D">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tc>
        <w:tc>
          <w:tcPr>
            <w:tcW w:w="6062" w:type="dxa"/>
            <w:noWrap w:val="0"/>
            <w:vAlign w:val="top"/>
          </w:tcPr>
          <w:p w14:paraId="3CC9BCA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住院事前拦截明细：</w:t>
            </w:r>
            <w:r>
              <w:rPr>
                <w:rFonts w:hint="eastAsia" w:ascii="宋体" w:hAnsi="宋体" w:eastAsia="宋体" w:cs="宋体"/>
                <w:b w:val="0"/>
                <w:bCs w:val="0"/>
                <w:i w:val="0"/>
                <w:iCs w:val="0"/>
                <w:color w:val="auto"/>
                <w:kern w:val="0"/>
                <w:sz w:val="24"/>
                <w:szCs w:val="24"/>
                <w:u w:val="none"/>
                <w:lang w:val="en-US" w:eastAsia="zh-CN" w:bidi="ar"/>
              </w:rPr>
              <w:t>根据住院事前接口调用情况，统计住院事前拦截明细，支持通过拦截时间、项目编码、项目名称查询提示住院违规病人姓名、项目名称、违规提示内容、住院病区、开单科室、开单时间、开单人、违规金额、违规数量、项目收费等级、违规类别、医生处理方式。</w:t>
            </w:r>
          </w:p>
        </w:tc>
      </w:tr>
      <w:tr w14:paraId="47FAB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66C130E6">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lang w:val="en-US" w:eastAsia="zh-CN"/>
              </w:rPr>
            </w:pPr>
          </w:p>
        </w:tc>
        <w:tc>
          <w:tcPr>
            <w:tcW w:w="780" w:type="dxa"/>
            <w:vMerge w:val="continue"/>
            <w:noWrap w:val="0"/>
            <w:vAlign w:val="center"/>
          </w:tcPr>
          <w:p w14:paraId="087F1E85">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lang w:val="en-US" w:eastAsia="zh-CN"/>
              </w:rPr>
            </w:pPr>
          </w:p>
        </w:tc>
        <w:tc>
          <w:tcPr>
            <w:tcW w:w="1297" w:type="dxa"/>
            <w:vMerge w:val="restart"/>
            <w:noWrap w:val="0"/>
            <w:vAlign w:val="center"/>
          </w:tcPr>
          <w:p w14:paraId="2329A6FB">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rPr>
            </w:pPr>
            <w:r>
              <w:rPr>
                <w:rFonts w:hint="eastAsia" w:ascii="宋体" w:hAnsi="宋体" w:eastAsia="宋体" w:cs="宋体"/>
                <w:b/>
                <w:bCs/>
                <w:color w:val="auto"/>
                <w:sz w:val="24"/>
                <w:szCs w:val="24"/>
                <w:vertAlign w:val="baseline"/>
                <w:lang w:val="en-US" w:eastAsia="zh-CN"/>
              </w:rPr>
              <w:t>事中管控模块</w:t>
            </w:r>
          </w:p>
        </w:tc>
        <w:tc>
          <w:tcPr>
            <w:tcW w:w="6062" w:type="dxa"/>
            <w:noWrap w:val="0"/>
            <w:vAlign w:val="top"/>
          </w:tcPr>
          <w:p w14:paraId="501F1B3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住院实时监控：</w:t>
            </w:r>
          </w:p>
          <w:p w14:paraId="5C3FB3D3">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支持对在院患者每日进行一次或多次定时的全量在院数据质控，定时时间可指定。定时质控结果将汇总并在住院预警列表中展示。</w:t>
            </w:r>
          </w:p>
          <w:p w14:paraId="6643A958">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支持用户通过收费类别、规则类别、入院时间、住院科室、住院病区（与住院科室联级）、开单科室（来源违规记录表）、执行科室（来源违规记录表）、是否忽略、问题反馈、是否纠正、是否审核等条件进行搜索查询。</w:t>
            </w:r>
          </w:p>
          <w:p w14:paraId="14BC7411">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支持输入项目名称、医保项目编码或住院号查询住院患者违规数据；对已经处理的违规支持刷新单个患者或批量重新处理患者的违规提示。</w:t>
            </w:r>
          </w:p>
          <w:p w14:paraId="4E3570FB">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支持自定义设置推送角色，对不同的项目设定推送科室，如记账科室、执行科室、开单科室等。</w:t>
            </w:r>
          </w:p>
        </w:tc>
      </w:tr>
      <w:tr w14:paraId="1504F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229B55E8">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rPr>
            </w:pPr>
          </w:p>
        </w:tc>
        <w:tc>
          <w:tcPr>
            <w:tcW w:w="780" w:type="dxa"/>
            <w:vMerge w:val="continue"/>
            <w:noWrap w:val="0"/>
            <w:vAlign w:val="center"/>
          </w:tcPr>
          <w:p w14:paraId="481CDC29">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rPr>
            </w:pPr>
          </w:p>
        </w:tc>
        <w:tc>
          <w:tcPr>
            <w:tcW w:w="1297" w:type="dxa"/>
            <w:vMerge w:val="continue"/>
            <w:noWrap w:val="0"/>
            <w:vAlign w:val="center"/>
          </w:tcPr>
          <w:p w14:paraId="2B04445E">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rPr>
            </w:pPr>
          </w:p>
        </w:tc>
        <w:tc>
          <w:tcPr>
            <w:tcW w:w="6062" w:type="dxa"/>
            <w:noWrap w:val="0"/>
            <w:vAlign w:val="top"/>
          </w:tcPr>
          <w:p w14:paraId="7A072E1A">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住院违规明细查询：</w:t>
            </w:r>
          </w:p>
          <w:p w14:paraId="4CF2C58A">
            <w:pPr>
              <w:keepNext w:val="0"/>
              <w:keepLines w:val="0"/>
              <w:pageBreakBefore w:val="0"/>
              <w:widowControl w:val="0"/>
              <w:numPr>
                <w:ilvl w:val="0"/>
                <w:numId w:val="4"/>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支持对已经标记违规的内容明细进行详细对比查看，查看违规项目的使用详情，开单信息、执行信息等具体信息；</w:t>
            </w:r>
          </w:p>
          <w:p w14:paraId="40DE4BE8">
            <w:pPr>
              <w:keepNext w:val="0"/>
              <w:keepLines w:val="0"/>
              <w:pageBreakBefore w:val="0"/>
              <w:widowControl w:val="0"/>
              <w:numPr>
                <w:ilvl w:val="0"/>
                <w:numId w:val="4"/>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支持对某条违规消息进行忽略（忽略后默认不再显示）；</w:t>
            </w:r>
          </w:p>
          <w:p w14:paraId="0E4768CB">
            <w:pPr>
              <w:keepNext w:val="0"/>
              <w:keepLines w:val="0"/>
              <w:pageBreakBefore w:val="0"/>
              <w:widowControl w:val="0"/>
              <w:numPr>
                <w:ilvl w:val="0"/>
                <w:numId w:val="4"/>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支持以问答形式对违规消息进行问题反馈；</w:t>
            </w:r>
          </w:p>
          <w:p w14:paraId="6087E25B">
            <w:pPr>
              <w:keepNext w:val="0"/>
              <w:keepLines w:val="0"/>
              <w:pageBreakBefore w:val="0"/>
              <w:widowControl w:val="0"/>
              <w:numPr>
                <w:ilvl w:val="0"/>
                <w:numId w:val="4"/>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支持对违规消息进行批注；</w:t>
            </w:r>
          </w:p>
          <w:p w14:paraId="3DFDEFE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支持对违规信息进行审核审核状态包括已处理、无异常或其他。</w:t>
            </w:r>
          </w:p>
          <w:p w14:paraId="11F1E7F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（5）</w:t>
            </w:r>
            <w:r>
              <w:rPr>
                <w:rFonts w:hint="eastAsia" w:ascii="宋体" w:hAnsi="宋体" w:eastAsia="宋体" w:cs="宋体"/>
                <w:b w:val="0"/>
                <w:bCs w:val="0"/>
                <w:i w:val="0"/>
                <w:iCs w:val="0"/>
                <w:color w:val="auto"/>
                <w:kern w:val="2"/>
                <w:sz w:val="24"/>
                <w:szCs w:val="24"/>
                <w:u w:val="none"/>
                <w:lang w:val="en-US" w:eastAsia="zh-CN" w:bidi="ar-SA"/>
              </w:rPr>
              <w:t>支持对违规内容进行判断规则的依据查看，对于规则出处、规则设置方式、收费登记、违规内容、推送角色进行展示。</w:t>
            </w:r>
          </w:p>
        </w:tc>
      </w:tr>
      <w:tr w14:paraId="0543E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347E8B3B">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rPr>
            </w:pPr>
          </w:p>
        </w:tc>
        <w:tc>
          <w:tcPr>
            <w:tcW w:w="780" w:type="dxa"/>
            <w:vMerge w:val="continue"/>
            <w:noWrap w:val="0"/>
            <w:vAlign w:val="center"/>
          </w:tcPr>
          <w:p w14:paraId="2B4EEA6F">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rPr>
            </w:pPr>
          </w:p>
        </w:tc>
        <w:tc>
          <w:tcPr>
            <w:tcW w:w="1297" w:type="dxa"/>
            <w:vMerge w:val="continue"/>
            <w:noWrap w:val="0"/>
            <w:vAlign w:val="center"/>
          </w:tcPr>
          <w:p w14:paraId="40583F2C">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rPr>
            </w:pPr>
          </w:p>
        </w:tc>
        <w:tc>
          <w:tcPr>
            <w:tcW w:w="6062" w:type="dxa"/>
            <w:noWrap w:val="0"/>
            <w:vAlign w:val="top"/>
          </w:tcPr>
          <w:p w14:paraId="66952BA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患者基础信息查询：</w:t>
            </w:r>
          </w:p>
          <w:p w14:paraId="5AAC1D4C">
            <w:pPr>
              <w:keepNext w:val="0"/>
              <w:keepLines w:val="0"/>
              <w:pageBreakBefore w:val="0"/>
              <w:widowControl w:val="0"/>
              <w:numPr>
                <w:ilvl w:val="0"/>
                <w:numId w:val="5"/>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支持对患者的基础信息，如病历、检验结果、检查结果、医嘱信息、费用信息、诊断手术编码信息等进行查询。</w:t>
            </w:r>
          </w:p>
          <w:p w14:paraId="664D0183">
            <w:pPr>
              <w:keepNext w:val="0"/>
              <w:keepLines w:val="0"/>
              <w:pageBreakBefore w:val="0"/>
              <w:widowControl w:val="0"/>
              <w:numPr>
                <w:ilvl w:val="0"/>
                <w:numId w:val="5"/>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支持对违规项目的病例开单情况进行查询，支持一键定位违规费用明细。</w:t>
            </w:r>
          </w:p>
        </w:tc>
      </w:tr>
      <w:tr w14:paraId="496BD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27938F36">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lang w:val="en-US" w:eastAsia="zh-CN"/>
              </w:rPr>
            </w:pPr>
          </w:p>
        </w:tc>
        <w:tc>
          <w:tcPr>
            <w:tcW w:w="780" w:type="dxa"/>
            <w:vMerge w:val="continue"/>
            <w:noWrap w:val="0"/>
            <w:vAlign w:val="center"/>
          </w:tcPr>
          <w:p w14:paraId="4625DBDC">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lang w:val="en-US" w:eastAsia="zh-CN"/>
              </w:rPr>
            </w:pPr>
          </w:p>
        </w:tc>
        <w:tc>
          <w:tcPr>
            <w:tcW w:w="1297" w:type="dxa"/>
            <w:vMerge w:val="continue"/>
            <w:noWrap w:val="0"/>
            <w:vAlign w:val="center"/>
          </w:tcPr>
          <w:p w14:paraId="08102E1A">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tc>
        <w:tc>
          <w:tcPr>
            <w:tcW w:w="6062" w:type="dxa"/>
            <w:noWrap w:val="0"/>
            <w:vAlign w:val="top"/>
          </w:tcPr>
          <w:p w14:paraId="05AF63B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出院预结算管控：</w:t>
            </w:r>
          </w:p>
          <w:p w14:paraId="387340EF">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支持根据账号权限查询当前预出院患者，支持对查询出的患者进行批量审核与数据导出。</w:t>
            </w:r>
          </w:p>
          <w:p w14:paraId="10B450F6">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用于对住院在院病人的全部医嘱信息、计费信息，进行最后一次审查，以了解其已发生的医嘱、费用信息的合理性，及时拦截出院前违规。</w:t>
            </w:r>
          </w:p>
        </w:tc>
      </w:tr>
      <w:tr w14:paraId="5CD25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7C10E1AF">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lang w:val="en-US" w:eastAsia="zh-CN"/>
              </w:rPr>
            </w:pPr>
          </w:p>
        </w:tc>
        <w:tc>
          <w:tcPr>
            <w:tcW w:w="780" w:type="dxa"/>
            <w:vMerge w:val="continue"/>
            <w:noWrap w:val="0"/>
            <w:vAlign w:val="center"/>
          </w:tcPr>
          <w:p w14:paraId="602A9FC1">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4"/>
                <w:szCs w:val="24"/>
                <w:vertAlign w:val="baseline"/>
                <w:lang w:val="en-US" w:eastAsia="zh-CN"/>
              </w:rPr>
            </w:pPr>
          </w:p>
        </w:tc>
        <w:tc>
          <w:tcPr>
            <w:tcW w:w="1297" w:type="dxa"/>
            <w:vMerge w:val="restart"/>
            <w:noWrap w:val="0"/>
            <w:vAlign w:val="center"/>
          </w:tcPr>
          <w:p w14:paraId="758446DE">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color w:val="auto"/>
                <w:sz w:val="24"/>
                <w:szCs w:val="24"/>
                <w:vertAlign w:val="baseline"/>
                <w:lang w:val="en-US" w:eastAsia="zh-CN"/>
              </w:rPr>
              <w:t>医保合规分析</w:t>
            </w:r>
          </w:p>
        </w:tc>
        <w:tc>
          <w:tcPr>
            <w:tcW w:w="6062" w:type="dxa"/>
            <w:noWrap w:val="0"/>
            <w:vAlign w:val="top"/>
          </w:tcPr>
          <w:p w14:paraId="625A257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科室违规综合分析：</w:t>
            </w:r>
          </w:p>
          <w:p w14:paraId="71313683">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支持以结算时间、开单时间、出院时间、院区、开单科室、住院科室、住院病区、执行科室、费别、项目编码、项目名称以及违规类别等条件查询。</w:t>
            </w:r>
          </w:p>
          <w:p w14:paraId="31907EE8">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kern w:val="2"/>
                <w:sz w:val="24"/>
                <w:szCs w:val="24"/>
                <w:u w:val="none"/>
                <w:lang w:val="en-US" w:eastAsia="zh-CN" w:bidi="ar-SA"/>
              </w:rPr>
              <w:t>支持以表格和图形界面结合的形式，对不同医师的违规数量和违规金额进行统计，通过堆积图对违规例数、违规金额按照倒序进行排名的展示和分析，通过象限图分析各医师的风险与成本对比情况。</w:t>
            </w:r>
          </w:p>
          <w:p w14:paraId="384D5BB4">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支持查看各科室按时间（月度）统计，通过表格与折线图分析各科室的违规情况随时间的变化趋势。支持不同科室按违规类别进行统计，以垂直堆积图对违规例数、违规金额按照倒序进行排名以分析各科室的重点违规项目类别。</w:t>
            </w:r>
          </w:p>
          <w:p w14:paraId="67FFA329">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支持查看各科室的违规纠正情况，以柱状图和折线图结合的形式析各科室对系统的提示相应情况，直观的展示已纠正情况、未纠正情况、核实后无问题以及整改率情况。</w:t>
            </w:r>
          </w:p>
          <w:p w14:paraId="05819464">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支持自定义调整表头字段的大小与内容位置；支持数据与图形界面导出。</w:t>
            </w:r>
          </w:p>
        </w:tc>
      </w:tr>
      <w:tr w14:paraId="3F89C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7F708AA9">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continue"/>
            <w:noWrap w:val="0"/>
            <w:vAlign w:val="center"/>
          </w:tcPr>
          <w:p w14:paraId="1F8025F8">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1297" w:type="dxa"/>
            <w:vMerge w:val="continue"/>
            <w:noWrap w:val="0"/>
            <w:vAlign w:val="center"/>
          </w:tcPr>
          <w:p w14:paraId="49C1BB7D">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tc>
        <w:tc>
          <w:tcPr>
            <w:tcW w:w="6062" w:type="dxa"/>
            <w:noWrap w:val="0"/>
            <w:vAlign w:val="top"/>
          </w:tcPr>
          <w:p w14:paraId="78E2AFC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医师违规综合分析：</w:t>
            </w:r>
          </w:p>
          <w:p w14:paraId="17F31301">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支持以结算时间、开单时间、出院时间、院区、开单科室、住院科室、住院病区、执行科室、费别、项目编码、项目名称以及违规类别等条件查询。</w:t>
            </w:r>
          </w:p>
          <w:p w14:paraId="41524774">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支持以表格和图形界面结合的形式，对不同医师的违规数量和违规金额进行统计，通过堆积图对违规例数、违规金额按照倒序进行排名的展示和分析，通过象限图分析各医师的风险与成本对比情况。</w:t>
            </w:r>
          </w:p>
          <w:p w14:paraId="35BE5E02">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支持对不同医师的违规情况按月度统计，通过表格与折线图分析各医师的违规情况随时间的变化趋势。</w:t>
            </w:r>
          </w:p>
          <w:p w14:paraId="7AA0945F">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支持对不同医师按不同的违规类别进行统计，以垂直堆积图对违规例数、违规金额按照倒序进行排名以分析各医师的重点违规项目类别。</w:t>
            </w:r>
          </w:p>
          <w:p w14:paraId="6D47E157">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支持统计医师的违规纠正情况，以柱状图和折线图结合的形式析各医师对系统的提示响应情况，直观的展示已纠正情况、未纠正情况、核实后无问题以及整改率情况。</w:t>
            </w:r>
          </w:p>
          <w:p w14:paraId="516E4257">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支持自定义调整表头字段的大小与内容位置；支持数据与图形界面导出。</w:t>
            </w:r>
          </w:p>
        </w:tc>
      </w:tr>
      <w:tr w14:paraId="158A0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1DC5C692">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continue"/>
            <w:noWrap w:val="0"/>
            <w:vAlign w:val="center"/>
          </w:tcPr>
          <w:p w14:paraId="26A84E72">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1297" w:type="dxa"/>
            <w:vMerge w:val="continue"/>
            <w:noWrap w:val="0"/>
            <w:vAlign w:val="center"/>
          </w:tcPr>
          <w:p w14:paraId="47D578FF">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tc>
        <w:tc>
          <w:tcPr>
            <w:tcW w:w="6062" w:type="dxa"/>
            <w:noWrap w:val="0"/>
            <w:vAlign w:val="top"/>
          </w:tcPr>
          <w:p w14:paraId="13D3528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项目违规综合分析：</w:t>
            </w:r>
          </w:p>
          <w:p w14:paraId="354E25BD">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以结算时间、开单时间、出院时间、院区、开单科室、住院科室、住院病区、执行科室、费别、项目编码、项目名称以及违规类别等条件查询，通过堆积图对违规例数、违规金额按照倒序进行排名的展示和分析，通过象限图分析各收费项目的风险与成本对比情况。</w:t>
            </w:r>
          </w:p>
          <w:p w14:paraId="5EBEA654">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支持对不同收费项目的违规情况按月度统计，通过表格与折线图分析各收费项目的违规情况随时间的变化趋势。</w:t>
            </w:r>
          </w:p>
          <w:p w14:paraId="2BC8DA54">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支持对不同收费项目按不同的开单科室来统计，以垂直堆积图的形式对不同收费项目数量和金额进行倒序排行，以查看该收费项目在不同科室的违规分布情况。</w:t>
            </w:r>
          </w:p>
          <w:p w14:paraId="5D4E8AA9">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支持对不同收费项目按不同的违规类别进行统计，以垂直堆积图对违规例数、违规金额按照倒序进行排名以分析各收费项目的重点违规项目类别。</w:t>
            </w:r>
          </w:p>
          <w:p w14:paraId="361DC77A">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支持统计收费项目的违规纠正情况，以柱状图和折线图结合的形式析各收费项目的提示相应情况，直观的展示已纠正情况、未纠正情况、核实后无问题以及整改率情况。</w:t>
            </w:r>
          </w:p>
          <w:p w14:paraId="2DBD1E1C">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支持自定义调整表头字段的大小与内容位置；支持数据与图形界面导出。</w:t>
            </w:r>
          </w:p>
        </w:tc>
      </w:tr>
      <w:tr w14:paraId="07543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55C3FA14">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continue"/>
            <w:noWrap w:val="0"/>
            <w:vAlign w:val="center"/>
          </w:tcPr>
          <w:p w14:paraId="0F2E2A03">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1297" w:type="dxa"/>
            <w:vMerge w:val="continue"/>
            <w:noWrap w:val="0"/>
            <w:vAlign w:val="center"/>
          </w:tcPr>
          <w:p w14:paraId="3A6A6AA9">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tc>
        <w:tc>
          <w:tcPr>
            <w:tcW w:w="6062" w:type="dxa"/>
            <w:noWrap w:val="0"/>
            <w:vAlign w:val="top"/>
          </w:tcPr>
          <w:p w14:paraId="4AE2A6A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违规类别综合分析：</w:t>
            </w:r>
          </w:p>
          <w:p w14:paraId="15BC5E7B">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支持以结算时间、开单时间、出院时间、院区、开单科室、住院科室、住院病区、执行科室、费别、项目编码、项目名称以及违规类别等条件查询，以表格的形式以及图形的形式对违规类别进行汇总统计。</w:t>
            </w:r>
          </w:p>
          <w:p w14:paraId="6781D326">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支持以扇形统计图统计不同违规类别的分布情况，包括违规金额的分布以及违规数量的分布。通过象限图分析各违规类别的风险与成本对比情况。</w:t>
            </w:r>
          </w:p>
          <w:p w14:paraId="6396D7D8">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支持对不同违规类别的违规情况按月度统计，通过表格与折线图分析各违规类别的违规情况随时间的变化趋势。</w:t>
            </w:r>
          </w:p>
          <w:p w14:paraId="21B9D53C">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支持对不同违规类别按不同的开单科室来统计，以垂直堆积图的形式对不同违规类别数量和金额进行倒序排行，以查看该违规类别在不同科室的违规分布情况。</w:t>
            </w:r>
          </w:p>
          <w:p w14:paraId="2391B003">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支持对不同违规类别按不同的医师进行统计，区分开单医师与住院医师，以垂直堆积图对违规例数、违规金额按照倒序进行排名以分析各违规类别的重点违规医师。</w:t>
            </w:r>
          </w:p>
          <w:p w14:paraId="111F5A1F">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支持统计违规类别的违规纠正情况，以柱状图和折线图结合的形式析各违规类别的提示相应情况，直观的展示已纠正情况、未纠正情况、核实后无问题以及整改率情况。</w:t>
            </w:r>
          </w:p>
          <w:p w14:paraId="2ACE9F0B">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支持自定义调整表头字段的大小与内容位置；支持数据与图形界面导出。</w:t>
            </w:r>
          </w:p>
        </w:tc>
      </w:tr>
      <w:tr w14:paraId="1A1F5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5FA119B0">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restart"/>
            <w:noWrap w:val="0"/>
            <w:vAlign w:val="center"/>
          </w:tcPr>
          <w:p w14:paraId="44B3582A">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1297" w:type="dxa"/>
            <w:noWrap w:val="0"/>
            <w:vAlign w:val="center"/>
          </w:tcPr>
          <w:p w14:paraId="1153AD18">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违规明细查询</w:t>
            </w:r>
          </w:p>
        </w:tc>
        <w:tc>
          <w:tcPr>
            <w:tcW w:w="6062" w:type="dxa"/>
            <w:noWrap w:val="0"/>
            <w:vAlign w:val="top"/>
          </w:tcPr>
          <w:p w14:paraId="22DB1D0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lang w:val="en-US" w:eastAsia="zh-CN" w:bidi="ar-SA"/>
              </w:rPr>
              <w:t>（1）</w:t>
            </w:r>
            <w:r>
              <w:rPr>
                <w:rFonts w:hint="eastAsia" w:ascii="宋体" w:hAnsi="宋体" w:eastAsia="宋体" w:cs="宋体"/>
                <w:b w:val="0"/>
                <w:bCs w:val="0"/>
                <w:i w:val="0"/>
                <w:iCs w:val="0"/>
                <w:color w:val="auto"/>
                <w:kern w:val="2"/>
                <w:sz w:val="24"/>
                <w:szCs w:val="24"/>
                <w:u w:val="none"/>
                <w:lang w:val="en-US" w:eastAsia="zh-CN" w:bidi="ar-SA"/>
              </w:rPr>
              <w:t>支持按照结算时间、出院时间、违规类别、项目名称、项目编码、住院号、病人姓名、院区、开单科室、住院科室、住院病区、执行科室、是否审核、是否纠正、是否忽略、问题反馈情况、费别等条件查询，以表格的形式呈现历史违规情况。</w:t>
            </w:r>
          </w:p>
          <w:p w14:paraId="0268B2E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lang w:val="en-US" w:eastAsia="zh-CN" w:bidi="ar-SA"/>
              </w:rPr>
              <w:t>（2）</w:t>
            </w:r>
            <w:r>
              <w:rPr>
                <w:rFonts w:hint="eastAsia" w:ascii="宋体" w:hAnsi="宋体" w:eastAsia="宋体" w:cs="宋体"/>
                <w:b w:val="0"/>
                <w:bCs w:val="0"/>
                <w:i w:val="0"/>
                <w:iCs w:val="0"/>
                <w:color w:val="auto"/>
                <w:kern w:val="2"/>
                <w:sz w:val="24"/>
                <w:szCs w:val="24"/>
                <w:u w:val="none"/>
                <w:lang w:val="en-US" w:eastAsia="zh-CN" w:bidi="ar-SA"/>
              </w:rPr>
              <w:t>支持查看违规病例的病人详情，对病历信息、检验信息、检查信息、费用明细、医嘱信息、手术操作记账、以及违规项目开单明细进行展示，支持一件定位违规费用明细。</w:t>
            </w:r>
          </w:p>
          <w:p w14:paraId="745F585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lang w:val="en-US" w:eastAsia="zh-CN" w:bidi="ar-SA"/>
              </w:rPr>
              <w:t>（3）</w:t>
            </w:r>
            <w:r>
              <w:rPr>
                <w:rFonts w:hint="eastAsia" w:ascii="宋体" w:hAnsi="宋体" w:eastAsia="宋体" w:cs="宋体"/>
                <w:b w:val="0"/>
                <w:bCs w:val="0"/>
                <w:i w:val="0"/>
                <w:iCs w:val="0"/>
                <w:color w:val="auto"/>
                <w:kern w:val="2"/>
                <w:sz w:val="24"/>
                <w:szCs w:val="24"/>
                <w:u w:val="none"/>
                <w:lang w:val="en-US" w:eastAsia="zh-CN" w:bidi="ar-SA"/>
              </w:rPr>
              <w:t>支持对违规内容进行判断规则的依据查看，对于规则出处、规则设置方式、收费登记、违规内容、推送角色进行展示。</w:t>
            </w:r>
          </w:p>
          <w:p w14:paraId="536E428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lang w:val="en-US" w:eastAsia="zh-CN" w:bidi="ar-SA"/>
              </w:rPr>
              <w:t>（4）</w:t>
            </w:r>
            <w:r>
              <w:rPr>
                <w:rFonts w:hint="eastAsia" w:ascii="宋体" w:hAnsi="宋体" w:eastAsia="宋体" w:cs="宋体"/>
                <w:b w:val="0"/>
                <w:bCs w:val="0"/>
                <w:i w:val="0"/>
                <w:iCs w:val="0"/>
                <w:color w:val="auto"/>
                <w:kern w:val="2"/>
                <w:sz w:val="24"/>
                <w:szCs w:val="24"/>
                <w:u w:val="none"/>
                <w:lang w:val="en-US" w:eastAsia="zh-CN" w:bidi="ar-SA"/>
              </w:rPr>
              <w:t>支持导入医保扣款明细，对已经产生的违规扣款进行标记，支持对已产生扣款进行筛选。</w:t>
            </w:r>
          </w:p>
        </w:tc>
      </w:tr>
      <w:tr w14:paraId="328D6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01DC140F">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continue"/>
            <w:noWrap w:val="0"/>
            <w:vAlign w:val="center"/>
          </w:tcPr>
          <w:p w14:paraId="7C570464">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1297" w:type="dxa"/>
            <w:vMerge w:val="restart"/>
            <w:noWrap w:val="0"/>
            <w:vAlign w:val="center"/>
          </w:tcPr>
          <w:p w14:paraId="5EF815E2">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医保自查自纠</w:t>
            </w:r>
          </w:p>
        </w:tc>
        <w:tc>
          <w:tcPr>
            <w:tcW w:w="6062" w:type="dxa"/>
            <w:noWrap w:val="0"/>
            <w:vAlign w:val="top"/>
          </w:tcPr>
          <w:p w14:paraId="23D6EA1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bCs/>
                <w:i w:val="0"/>
                <w:iCs w:val="0"/>
                <w:color w:val="auto"/>
                <w:kern w:val="2"/>
                <w:sz w:val="24"/>
                <w:szCs w:val="24"/>
                <w:lang w:val="en-US" w:eastAsia="zh-CN" w:bidi="ar-SA"/>
              </w:rPr>
            </w:pPr>
            <w:r>
              <w:rPr>
                <w:rFonts w:hint="eastAsia" w:ascii="宋体" w:hAnsi="宋体" w:eastAsia="宋体" w:cs="宋体"/>
                <w:b/>
                <w:bCs/>
                <w:i w:val="0"/>
                <w:iCs w:val="0"/>
                <w:color w:val="auto"/>
                <w:kern w:val="2"/>
                <w:sz w:val="24"/>
                <w:szCs w:val="24"/>
                <w:lang w:val="en-US" w:eastAsia="zh-CN" w:bidi="ar-SA"/>
              </w:rPr>
              <w:t>自查任务派发：</w:t>
            </w:r>
          </w:p>
          <w:p w14:paraId="7F3377E9">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val="0"/>
                <w:bCs w:val="0"/>
                <w:i w:val="0"/>
                <w:iCs w:val="0"/>
                <w:color w:val="auto"/>
                <w:kern w:val="2"/>
                <w:sz w:val="24"/>
                <w:szCs w:val="24"/>
                <w:lang w:val="en-US" w:eastAsia="zh-CN" w:bidi="ar-SA"/>
              </w:rPr>
            </w:pPr>
            <w:r>
              <w:rPr>
                <w:rFonts w:hint="eastAsia" w:ascii="宋体" w:hAnsi="宋体" w:eastAsia="宋体" w:cs="宋体"/>
                <w:b w:val="0"/>
                <w:bCs w:val="0"/>
                <w:i w:val="0"/>
                <w:iCs w:val="0"/>
                <w:color w:val="auto"/>
                <w:kern w:val="2"/>
                <w:sz w:val="24"/>
                <w:szCs w:val="24"/>
                <w:lang w:val="en-US" w:eastAsia="zh-CN" w:bidi="ar-SA"/>
              </w:rPr>
              <w:t>支持导入医保局下发至医院的医保扣款明细；</w:t>
            </w:r>
          </w:p>
          <w:p w14:paraId="76CFB06D">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val="0"/>
                <w:bCs w:val="0"/>
                <w:i w:val="0"/>
                <w:iCs w:val="0"/>
                <w:color w:val="auto"/>
                <w:kern w:val="2"/>
                <w:sz w:val="24"/>
                <w:szCs w:val="24"/>
                <w:lang w:val="en-US" w:eastAsia="zh-CN" w:bidi="ar-SA"/>
              </w:rPr>
            </w:pPr>
            <w:r>
              <w:rPr>
                <w:rFonts w:hint="eastAsia" w:ascii="宋体" w:hAnsi="宋体" w:eastAsia="宋体" w:cs="宋体"/>
                <w:b w:val="0"/>
                <w:bCs w:val="0"/>
                <w:i w:val="0"/>
                <w:iCs w:val="0"/>
                <w:color w:val="auto"/>
                <w:kern w:val="2"/>
                <w:sz w:val="24"/>
                <w:szCs w:val="24"/>
                <w:lang w:val="en-US" w:eastAsia="zh-CN" w:bidi="ar-SA"/>
              </w:rPr>
              <w:t>支持导入飞检扣款明细；</w:t>
            </w:r>
          </w:p>
          <w:p w14:paraId="48D7453B">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val="0"/>
                <w:bCs w:val="0"/>
                <w:i w:val="0"/>
                <w:iCs w:val="0"/>
                <w:color w:val="auto"/>
                <w:kern w:val="2"/>
                <w:sz w:val="24"/>
                <w:szCs w:val="24"/>
                <w:lang w:val="en-US" w:eastAsia="zh-CN" w:bidi="ar-SA"/>
              </w:rPr>
            </w:pPr>
            <w:r>
              <w:rPr>
                <w:rFonts w:hint="eastAsia" w:ascii="宋体" w:hAnsi="宋体" w:eastAsia="宋体" w:cs="宋体"/>
                <w:b w:val="0"/>
                <w:bCs w:val="0"/>
                <w:i w:val="0"/>
                <w:iCs w:val="0"/>
                <w:color w:val="auto"/>
                <w:kern w:val="2"/>
                <w:sz w:val="24"/>
                <w:szCs w:val="24"/>
                <w:lang w:val="en-US" w:eastAsia="zh-CN" w:bidi="ar-SA"/>
              </w:rPr>
              <w:t>支持导入已上报的自查自纠数据明细；</w:t>
            </w:r>
          </w:p>
          <w:p w14:paraId="256282A9">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val="0"/>
                <w:bCs w:val="0"/>
                <w:i w:val="0"/>
                <w:iCs w:val="0"/>
                <w:color w:val="auto"/>
                <w:kern w:val="2"/>
                <w:sz w:val="24"/>
                <w:szCs w:val="24"/>
                <w:lang w:val="en-US" w:eastAsia="zh-CN" w:bidi="ar-SA"/>
              </w:rPr>
            </w:pPr>
            <w:r>
              <w:rPr>
                <w:rFonts w:hint="eastAsia" w:ascii="宋体" w:hAnsi="宋体" w:eastAsia="宋体" w:cs="宋体"/>
                <w:b w:val="0"/>
                <w:bCs w:val="0"/>
                <w:i w:val="0"/>
                <w:iCs w:val="0"/>
                <w:color w:val="auto"/>
                <w:kern w:val="2"/>
                <w:sz w:val="24"/>
                <w:szCs w:val="24"/>
                <w:lang w:val="en-US" w:eastAsia="zh-CN" w:bidi="ar-SA"/>
              </w:rPr>
              <w:t>支持对导入的医保扣款明细、飞检扣款明细、已上报自查自纠数据明细与系统规则生成的疑点数据进行匹配，最终生成需要自查自纠的院内违规数据明细，支持一键推送至临床，包括开单科室以及执行科室，单条项目违规支持反馈至与执行科室及开单科室，临床科室可以通过系统与自查部门实时交流。</w:t>
            </w:r>
          </w:p>
          <w:p w14:paraId="0FE9FC04">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val="0"/>
                <w:bCs w:val="0"/>
                <w:i w:val="0"/>
                <w:iCs w:val="0"/>
                <w:color w:val="auto"/>
                <w:kern w:val="2"/>
                <w:sz w:val="24"/>
                <w:szCs w:val="24"/>
                <w:lang w:val="en-US" w:eastAsia="zh-CN" w:bidi="ar-SA"/>
              </w:rPr>
            </w:pPr>
            <w:r>
              <w:rPr>
                <w:rFonts w:hint="eastAsia" w:ascii="宋体" w:hAnsi="宋体" w:eastAsia="宋体" w:cs="宋体"/>
                <w:b w:val="0"/>
                <w:bCs w:val="0"/>
                <w:i w:val="0"/>
                <w:iCs w:val="0"/>
                <w:color w:val="auto"/>
                <w:kern w:val="2"/>
                <w:sz w:val="24"/>
                <w:szCs w:val="24"/>
                <w:lang w:val="en-US" w:eastAsia="zh-CN" w:bidi="ar-SA"/>
              </w:rPr>
              <w:t>支持医保科、物价办对科室标注的自查内容进行批注，数据用以生成自查自纠报告以及申述。</w:t>
            </w:r>
          </w:p>
        </w:tc>
      </w:tr>
      <w:tr w14:paraId="77576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4923DB61">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continue"/>
            <w:noWrap w:val="0"/>
            <w:vAlign w:val="center"/>
          </w:tcPr>
          <w:p w14:paraId="39EDF813">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1297" w:type="dxa"/>
            <w:vMerge w:val="continue"/>
            <w:noWrap w:val="0"/>
            <w:vAlign w:val="center"/>
          </w:tcPr>
          <w:p w14:paraId="67A21263">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tc>
        <w:tc>
          <w:tcPr>
            <w:tcW w:w="6062" w:type="dxa"/>
            <w:noWrap w:val="0"/>
            <w:vAlign w:val="top"/>
          </w:tcPr>
          <w:p w14:paraId="03FEC1B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bCs/>
                <w:i w:val="0"/>
                <w:iCs w:val="0"/>
                <w:color w:val="auto"/>
                <w:kern w:val="2"/>
                <w:sz w:val="24"/>
                <w:szCs w:val="24"/>
                <w:lang w:val="en-US" w:eastAsia="zh-CN" w:bidi="ar-SA"/>
              </w:rPr>
            </w:pPr>
            <w:r>
              <w:rPr>
                <w:rFonts w:hint="eastAsia" w:ascii="宋体" w:hAnsi="宋体" w:eastAsia="宋体" w:cs="宋体"/>
                <w:b/>
                <w:bCs/>
                <w:i w:val="0"/>
                <w:iCs w:val="0"/>
                <w:color w:val="auto"/>
                <w:kern w:val="2"/>
                <w:sz w:val="24"/>
                <w:szCs w:val="24"/>
                <w:lang w:val="en-US" w:eastAsia="zh-CN" w:bidi="ar-SA"/>
              </w:rPr>
              <w:t>科室自查：</w:t>
            </w:r>
          </w:p>
          <w:p w14:paraId="521B03E4">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val="0"/>
                <w:bCs w:val="0"/>
                <w:i w:val="0"/>
                <w:iCs w:val="0"/>
                <w:color w:val="auto"/>
                <w:kern w:val="2"/>
                <w:sz w:val="24"/>
                <w:szCs w:val="24"/>
                <w:lang w:val="en-US" w:eastAsia="zh-CN" w:bidi="ar-SA"/>
              </w:rPr>
            </w:pPr>
            <w:r>
              <w:rPr>
                <w:rFonts w:hint="eastAsia" w:ascii="宋体" w:hAnsi="宋体" w:eastAsia="宋体" w:cs="宋体"/>
                <w:b w:val="0"/>
                <w:bCs w:val="0"/>
                <w:i w:val="0"/>
                <w:iCs w:val="0"/>
                <w:color w:val="auto"/>
                <w:kern w:val="2"/>
                <w:sz w:val="24"/>
                <w:szCs w:val="24"/>
                <w:lang w:val="en-US" w:eastAsia="zh-CN" w:bidi="ar-SA"/>
              </w:rPr>
              <w:t>支持开单科室及执行科室对医保物价办推送的违规数据进行审核，标注违规项目是否确认违规，支持批量审核。</w:t>
            </w:r>
          </w:p>
          <w:p w14:paraId="64F0F04C">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val="0"/>
                <w:bCs w:val="0"/>
                <w:i w:val="0"/>
                <w:iCs w:val="0"/>
                <w:color w:val="auto"/>
                <w:kern w:val="2"/>
                <w:sz w:val="24"/>
                <w:szCs w:val="24"/>
                <w:lang w:val="en-US" w:eastAsia="zh-CN" w:bidi="ar-SA"/>
              </w:rPr>
            </w:pPr>
            <w:r>
              <w:rPr>
                <w:rFonts w:hint="eastAsia" w:ascii="宋体" w:hAnsi="宋体" w:eastAsia="宋体" w:cs="宋体"/>
                <w:b w:val="0"/>
                <w:bCs w:val="0"/>
                <w:i w:val="0"/>
                <w:iCs w:val="0"/>
                <w:color w:val="auto"/>
                <w:kern w:val="2"/>
                <w:sz w:val="24"/>
                <w:szCs w:val="24"/>
                <w:lang w:val="en-US" w:eastAsia="zh-CN" w:bidi="ar-SA"/>
              </w:rPr>
              <w:t>支持通过结算月度、审核状态、项目编码、项目名称进行查询审核。</w:t>
            </w:r>
          </w:p>
          <w:p w14:paraId="244A337D">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val="0"/>
                <w:bCs w:val="0"/>
                <w:i w:val="0"/>
                <w:iCs w:val="0"/>
                <w:color w:val="auto"/>
                <w:kern w:val="2"/>
                <w:sz w:val="24"/>
                <w:szCs w:val="24"/>
                <w:lang w:val="en-US" w:eastAsia="zh-CN" w:bidi="ar-SA"/>
              </w:rPr>
            </w:pPr>
            <w:r>
              <w:rPr>
                <w:rFonts w:hint="eastAsia" w:ascii="宋体" w:hAnsi="宋体" w:eastAsia="宋体" w:cs="宋体"/>
                <w:b w:val="0"/>
                <w:bCs w:val="0"/>
                <w:i w:val="0"/>
                <w:iCs w:val="0"/>
                <w:color w:val="auto"/>
                <w:kern w:val="2"/>
                <w:sz w:val="24"/>
                <w:szCs w:val="24"/>
                <w:lang w:val="en-US" w:eastAsia="zh-CN" w:bidi="ar-SA"/>
              </w:rPr>
              <w:t>支持查看违规项目的规则依据。</w:t>
            </w:r>
          </w:p>
        </w:tc>
      </w:tr>
      <w:tr w14:paraId="5AE54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21FFDF54">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p>
        </w:tc>
        <w:tc>
          <w:tcPr>
            <w:tcW w:w="780" w:type="dxa"/>
            <w:vMerge w:val="restart"/>
            <w:noWrap w:val="0"/>
            <w:vAlign w:val="center"/>
          </w:tcPr>
          <w:p w14:paraId="73FDAAB1">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r>
              <w:rPr>
                <w:rFonts w:hint="eastAsia" w:ascii="宋体" w:hAnsi="宋体" w:eastAsia="宋体" w:cs="宋体"/>
                <w:b/>
                <w:bCs/>
                <w:i w:val="0"/>
                <w:iCs w:val="0"/>
                <w:color w:val="auto"/>
                <w:kern w:val="0"/>
                <w:sz w:val="24"/>
                <w:szCs w:val="24"/>
                <w:u w:val="none"/>
                <w:lang w:val="en-US" w:eastAsia="zh-CN" w:bidi="ar"/>
              </w:rPr>
              <w:t>基础目录查询</w:t>
            </w:r>
          </w:p>
        </w:tc>
        <w:tc>
          <w:tcPr>
            <w:tcW w:w="1297" w:type="dxa"/>
            <w:noWrap w:val="0"/>
            <w:vAlign w:val="center"/>
          </w:tcPr>
          <w:p w14:paraId="7A88A372">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药品目录</w:t>
            </w:r>
          </w:p>
        </w:tc>
        <w:tc>
          <w:tcPr>
            <w:tcW w:w="6062" w:type="dxa"/>
            <w:noWrap w:val="0"/>
            <w:vAlign w:val="center"/>
          </w:tcPr>
          <w:p w14:paraId="006A8AC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支持通过药品类型、剂型、项目编码或项目名称查询药品目录，并支持字段配置与数据导出。</w:t>
            </w:r>
          </w:p>
        </w:tc>
      </w:tr>
      <w:tr w14:paraId="21BC1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1A1C630E">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continue"/>
            <w:noWrap w:val="0"/>
            <w:vAlign w:val="center"/>
          </w:tcPr>
          <w:p w14:paraId="0931CFA3">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1297" w:type="dxa"/>
            <w:noWrap w:val="0"/>
            <w:vAlign w:val="center"/>
          </w:tcPr>
          <w:p w14:paraId="03D9CA07">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医疗服务项目目录</w:t>
            </w:r>
          </w:p>
        </w:tc>
        <w:tc>
          <w:tcPr>
            <w:tcW w:w="6062" w:type="dxa"/>
            <w:noWrap w:val="0"/>
            <w:vAlign w:val="center"/>
          </w:tcPr>
          <w:p w14:paraId="6C92CD3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支持通过医疗服务项目类型、项目编码或项目名称查询医疗服务项目目录，并支持字段配置与数据导出。</w:t>
            </w:r>
          </w:p>
        </w:tc>
      </w:tr>
      <w:tr w14:paraId="71CEF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5AFC62E6">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continue"/>
            <w:noWrap w:val="0"/>
            <w:vAlign w:val="center"/>
          </w:tcPr>
          <w:p w14:paraId="48235428">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1297" w:type="dxa"/>
            <w:noWrap w:val="0"/>
            <w:vAlign w:val="center"/>
          </w:tcPr>
          <w:p w14:paraId="5528D382">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耗材目录</w:t>
            </w:r>
          </w:p>
        </w:tc>
        <w:tc>
          <w:tcPr>
            <w:tcW w:w="6062" w:type="dxa"/>
            <w:noWrap w:val="0"/>
            <w:vAlign w:val="center"/>
          </w:tcPr>
          <w:p w14:paraId="183898D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支持通过项目编码或项目名称查询耗材目录，并支持字段配置与数据导出。</w:t>
            </w:r>
          </w:p>
        </w:tc>
      </w:tr>
      <w:tr w14:paraId="0B964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1D026EEF">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continue"/>
            <w:noWrap w:val="0"/>
            <w:vAlign w:val="center"/>
          </w:tcPr>
          <w:p w14:paraId="0663697A">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p>
        </w:tc>
        <w:tc>
          <w:tcPr>
            <w:tcW w:w="1297" w:type="dxa"/>
            <w:noWrap w:val="0"/>
            <w:vAlign w:val="center"/>
          </w:tcPr>
          <w:p w14:paraId="44289E3D">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对码目录</w:t>
            </w:r>
          </w:p>
        </w:tc>
        <w:tc>
          <w:tcPr>
            <w:tcW w:w="6062" w:type="dxa"/>
            <w:noWrap w:val="0"/>
            <w:vAlign w:val="center"/>
          </w:tcPr>
          <w:p w14:paraId="631F903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支持通过项目编码或项目名称查询院内对码目录，支持字段配置与数据导出。</w:t>
            </w:r>
          </w:p>
        </w:tc>
      </w:tr>
      <w:tr w14:paraId="37A42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noWrap w:val="0"/>
            <w:vAlign w:val="center"/>
          </w:tcPr>
          <w:p w14:paraId="0CF5F942">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r>
              <w:rPr>
                <w:rFonts w:hint="eastAsia" w:ascii="宋体" w:hAnsi="宋体" w:eastAsia="宋体" w:cs="宋体"/>
                <w:b/>
                <w:bCs/>
                <w:color w:val="auto"/>
                <w:kern w:val="2"/>
                <w:sz w:val="24"/>
                <w:szCs w:val="24"/>
                <w:vertAlign w:val="baseline"/>
                <w:lang w:val="en-US" w:eastAsia="zh-CN" w:bidi="ar-SA"/>
              </w:rPr>
              <w:t>4</w:t>
            </w:r>
          </w:p>
        </w:tc>
        <w:tc>
          <w:tcPr>
            <w:tcW w:w="2077" w:type="dxa"/>
            <w:gridSpan w:val="2"/>
            <w:noWrap w:val="0"/>
            <w:vAlign w:val="center"/>
          </w:tcPr>
          <w:p w14:paraId="6E03C4AD">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r>
              <w:rPr>
                <w:rFonts w:hint="eastAsia" w:ascii="宋体" w:hAnsi="宋体" w:eastAsia="宋体" w:cs="宋体"/>
                <w:b/>
                <w:bCs/>
                <w:color w:val="auto"/>
                <w:kern w:val="2"/>
                <w:sz w:val="24"/>
                <w:szCs w:val="24"/>
                <w:vertAlign w:val="baseline"/>
                <w:lang w:val="en-US" w:eastAsia="zh-CN" w:bidi="ar-SA"/>
              </w:rPr>
              <w:t>门诊慢特病超范围报销监控</w:t>
            </w:r>
          </w:p>
        </w:tc>
        <w:tc>
          <w:tcPr>
            <w:tcW w:w="6062" w:type="dxa"/>
            <w:noWrap w:val="0"/>
            <w:vAlign w:val="center"/>
          </w:tcPr>
          <w:p w14:paraId="4788C6C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基于《基本医疗保险门诊特殊疾病保障指南（2025年版）》管理要求进行识别预警</w:t>
            </w:r>
          </w:p>
        </w:tc>
      </w:tr>
      <w:tr w14:paraId="1447C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noWrap w:val="0"/>
            <w:vAlign w:val="center"/>
          </w:tcPr>
          <w:p w14:paraId="1F943E3C">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2"/>
                <w:sz w:val="24"/>
                <w:szCs w:val="24"/>
                <w:vertAlign w:val="baseline"/>
                <w:lang w:val="en-US" w:eastAsia="zh-CN" w:bidi="ar-SA"/>
              </w:rPr>
            </w:pPr>
            <w:r>
              <w:rPr>
                <w:rFonts w:hint="eastAsia" w:ascii="宋体" w:hAnsi="宋体" w:eastAsia="宋体" w:cs="宋体"/>
                <w:b/>
                <w:bCs/>
                <w:color w:val="auto"/>
                <w:kern w:val="2"/>
                <w:sz w:val="24"/>
                <w:szCs w:val="24"/>
                <w:vertAlign w:val="baseline"/>
                <w:lang w:val="en-US" w:eastAsia="zh-CN" w:bidi="ar-SA"/>
              </w:rPr>
              <w:t>5</w:t>
            </w:r>
          </w:p>
        </w:tc>
        <w:tc>
          <w:tcPr>
            <w:tcW w:w="2077" w:type="dxa"/>
            <w:gridSpan w:val="2"/>
            <w:noWrap w:val="0"/>
            <w:vAlign w:val="center"/>
          </w:tcPr>
          <w:p w14:paraId="45872D6E">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color w:val="auto"/>
                <w:kern w:val="2"/>
                <w:sz w:val="24"/>
                <w:szCs w:val="24"/>
                <w:vertAlign w:val="baseline"/>
                <w:lang w:val="en-US" w:eastAsia="zh-CN" w:bidi="ar-SA"/>
              </w:rPr>
              <w:t>频繁住院监控</w:t>
            </w:r>
          </w:p>
        </w:tc>
        <w:tc>
          <w:tcPr>
            <w:tcW w:w="6062" w:type="dxa"/>
            <w:noWrap w:val="0"/>
            <w:vAlign w:val="center"/>
          </w:tcPr>
          <w:p w14:paraId="2C4159B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对在自然月内同一参保人住院超出一定数量的次数以上进行识别与预警</w:t>
            </w:r>
          </w:p>
        </w:tc>
      </w:tr>
      <w:tr w14:paraId="3B505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restart"/>
            <w:noWrap w:val="0"/>
            <w:vAlign w:val="center"/>
          </w:tcPr>
          <w:p w14:paraId="304E04D1">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r>
              <w:rPr>
                <w:rFonts w:hint="eastAsia" w:ascii="宋体" w:hAnsi="宋体" w:eastAsia="宋体" w:cs="宋体"/>
                <w:b/>
                <w:bCs/>
                <w:color w:val="auto"/>
                <w:kern w:val="2"/>
                <w:sz w:val="24"/>
                <w:szCs w:val="24"/>
                <w:vertAlign w:val="baseline"/>
                <w:lang w:val="en-US" w:eastAsia="zh-CN" w:bidi="ar-SA"/>
              </w:rPr>
              <w:t>6</w:t>
            </w:r>
          </w:p>
        </w:tc>
        <w:tc>
          <w:tcPr>
            <w:tcW w:w="780" w:type="dxa"/>
            <w:vMerge w:val="restart"/>
            <w:noWrap w:val="0"/>
            <w:vAlign w:val="center"/>
          </w:tcPr>
          <w:p w14:paraId="2AAC73CB">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r>
              <w:rPr>
                <w:rFonts w:hint="eastAsia" w:ascii="宋体" w:hAnsi="宋体" w:eastAsia="宋体" w:cs="宋体"/>
                <w:b/>
                <w:bCs/>
                <w:color w:val="auto"/>
                <w:kern w:val="2"/>
                <w:sz w:val="24"/>
                <w:szCs w:val="24"/>
                <w:vertAlign w:val="baseline"/>
                <w:lang w:val="en-US" w:eastAsia="zh-CN" w:bidi="ar-SA"/>
              </w:rPr>
              <w:t>过度诊疗管控</w:t>
            </w:r>
          </w:p>
        </w:tc>
        <w:tc>
          <w:tcPr>
            <w:tcW w:w="1297" w:type="dxa"/>
            <w:noWrap w:val="0"/>
            <w:vAlign w:val="center"/>
          </w:tcPr>
          <w:p w14:paraId="48A7A749">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前置项目使用</w:t>
            </w:r>
          </w:p>
        </w:tc>
        <w:tc>
          <w:tcPr>
            <w:tcW w:w="6062" w:type="dxa"/>
            <w:noWrap w:val="0"/>
            <w:vAlign w:val="center"/>
          </w:tcPr>
          <w:p w14:paraId="0DF72A6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能够基于诊疗路径及项目逻辑关系，对存在“应先使用但未使用的项目”而直接使用替代或后续项目的行为进行识别，防范不合理医疗行为。</w:t>
            </w:r>
          </w:p>
        </w:tc>
      </w:tr>
      <w:tr w14:paraId="362EE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57D5E72F">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continue"/>
            <w:noWrap w:val="0"/>
            <w:vAlign w:val="center"/>
          </w:tcPr>
          <w:p w14:paraId="10178263">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p>
        </w:tc>
        <w:tc>
          <w:tcPr>
            <w:tcW w:w="1297" w:type="dxa"/>
            <w:noWrap w:val="0"/>
            <w:vAlign w:val="center"/>
          </w:tcPr>
          <w:p w14:paraId="05F3A1F0">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同类检查</w:t>
            </w:r>
          </w:p>
        </w:tc>
        <w:tc>
          <w:tcPr>
            <w:tcW w:w="6062" w:type="dxa"/>
            <w:noWrap w:val="0"/>
            <w:vAlign w:val="center"/>
          </w:tcPr>
          <w:p w14:paraId="4D2CC3E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根据检查项目的功能相似性、时间间隔及诊疗逻辑，对短时间内重复开具或同时开具具有重叠功能的检查项目进行进行识别</w:t>
            </w:r>
          </w:p>
        </w:tc>
      </w:tr>
      <w:tr w14:paraId="050BB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78C632A9">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continue"/>
            <w:noWrap w:val="0"/>
            <w:vAlign w:val="center"/>
          </w:tcPr>
          <w:p w14:paraId="6325D7F8">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p>
        </w:tc>
        <w:tc>
          <w:tcPr>
            <w:tcW w:w="1297" w:type="dxa"/>
            <w:noWrap w:val="0"/>
            <w:vAlign w:val="center"/>
          </w:tcPr>
          <w:p w14:paraId="42714B6E">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适应症不符合</w:t>
            </w:r>
          </w:p>
        </w:tc>
        <w:tc>
          <w:tcPr>
            <w:tcW w:w="6062" w:type="dxa"/>
            <w:noWrap w:val="0"/>
            <w:vAlign w:val="center"/>
          </w:tcPr>
          <w:p w14:paraId="43FCD64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对开具的检查项目、药品与患者当前诊断是否匹配进行智能识别</w:t>
            </w:r>
          </w:p>
        </w:tc>
      </w:tr>
      <w:tr w14:paraId="2F82D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restart"/>
            <w:noWrap w:val="0"/>
            <w:vAlign w:val="center"/>
          </w:tcPr>
          <w:p w14:paraId="32813196">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restart"/>
            <w:noWrap w:val="0"/>
            <w:vAlign w:val="center"/>
          </w:tcPr>
          <w:p w14:paraId="283A66AD">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r>
              <w:rPr>
                <w:rFonts w:hint="eastAsia" w:ascii="宋体" w:hAnsi="宋体" w:eastAsia="宋体" w:cs="宋体"/>
                <w:b/>
                <w:bCs/>
                <w:color w:val="auto"/>
                <w:kern w:val="2"/>
                <w:sz w:val="24"/>
                <w:szCs w:val="24"/>
                <w:vertAlign w:val="baseline"/>
                <w:lang w:val="en-US" w:eastAsia="zh-CN" w:bidi="ar-SA"/>
              </w:rPr>
              <w:t>物价违规监控</w:t>
            </w:r>
          </w:p>
        </w:tc>
        <w:tc>
          <w:tcPr>
            <w:tcW w:w="1297" w:type="dxa"/>
            <w:noWrap w:val="0"/>
            <w:vAlign w:val="center"/>
          </w:tcPr>
          <w:p w14:paraId="153DAD4F">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重复收费</w:t>
            </w:r>
          </w:p>
        </w:tc>
        <w:tc>
          <w:tcPr>
            <w:tcW w:w="6062" w:type="dxa"/>
            <w:noWrap w:val="0"/>
            <w:vAlign w:val="center"/>
          </w:tcPr>
          <w:p w14:paraId="07334BB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对同一项目在短时间内的重复计费、组合项目与其包含子项目的重复计费等违反医保及物价政策规定的收费行为进行识别</w:t>
            </w:r>
          </w:p>
        </w:tc>
      </w:tr>
      <w:tr w14:paraId="3EB73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378D0434">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continue"/>
            <w:noWrap w:val="0"/>
            <w:vAlign w:val="center"/>
          </w:tcPr>
          <w:p w14:paraId="30CF973E">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p>
        </w:tc>
        <w:tc>
          <w:tcPr>
            <w:tcW w:w="1297" w:type="dxa"/>
            <w:noWrap w:val="0"/>
            <w:vAlign w:val="center"/>
          </w:tcPr>
          <w:p w14:paraId="737CACF2">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超标准收费</w:t>
            </w:r>
          </w:p>
        </w:tc>
        <w:tc>
          <w:tcPr>
            <w:tcW w:w="6062" w:type="dxa"/>
            <w:noWrap w:val="0"/>
            <w:vAlign w:val="center"/>
          </w:tcPr>
          <w:p w14:paraId="1928543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对超出物价收费行为进行智能识别，覆盖以下典型场景：</w:t>
            </w:r>
          </w:p>
          <w:p w14:paraId="793AA63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1.超年龄标准计费（如仅限特定年龄段的项目被超范围使用）</w:t>
            </w:r>
          </w:p>
          <w:p w14:paraId="778F491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2.超时间范围收费（如按天计费项目超出合理时间范围仍持续计费）</w:t>
            </w:r>
          </w:p>
          <w:p w14:paraId="7F7E947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3.按错误单位计费（如计费单位与物价标准不符）</w:t>
            </w:r>
          </w:p>
          <w:p w14:paraId="57477F1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4.按错误性别计费（如仅限某一性别使用的项目对不符性别患者计费）</w:t>
            </w:r>
          </w:p>
          <w:p w14:paraId="6CC359B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5.超数量标准收费（如一次性收费数量超过临床或政策标准）</w:t>
            </w:r>
          </w:p>
          <w:p w14:paraId="6E6A957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6.超医疗机构等级使用项目（如二级医院使用仅限三级医院开展的项目）</w:t>
            </w:r>
          </w:p>
          <w:p w14:paraId="3FC8665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7.超科室范围收费（如非授权科室开具专业限制类项目）</w:t>
            </w:r>
          </w:p>
        </w:tc>
      </w:tr>
      <w:tr w14:paraId="7CCD8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2107387F">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continue"/>
            <w:noWrap w:val="0"/>
            <w:vAlign w:val="center"/>
          </w:tcPr>
          <w:p w14:paraId="666D6227">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p>
        </w:tc>
        <w:tc>
          <w:tcPr>
            <w:tcW w:w="1297" w:type="dxa"/>
            <w:noWrap w:val="0"/>
            <w:vAlign w:val="center"/>
          </w:tcPr>
          <w:p w14:paraId="07C71E42">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就诊来源错误</w:t>
            </w:r>
          </w:p>
        </w:tc>
        <w:tc>
          <w:tcPr>
            <w:tcW w:w="6062" w:type="dxa"/>
            <w:noWrap w:val="0"/>
            <w:vAlign w:val="center"/>
          </w:tcPr>
          <w:p w14:paraId="6B88D5B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对限定在特定就诊场景（如仅限门诊或仅限住院）使用的医疗服务项目进行合规性校验</w:t>
            </w:r>
          </w:p>
        </w:tc>
      </w:tr>
      <w:tr w14:paraId="3E8D8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restart"/>
            <w:noWrap w:val="0"/>
            <w:vAlign w:val="center"/>
          </w:tcPr>
          <w:p w14:paraId="608670AF">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r>
              <w:rPr>
                <w:rFonts w:hint="eastAsia" w:ascii="宋体" w:hAnsi="宋体" w:eastAsia="宋体" w:cs="宋体"/>
                <w:b/>
                <w:bCs/>
                <w:color w:val="auto"/>
                <w:kern w:val="2"/>
                <w:sz w:val="24"/>
                <w:szCs w:val="24"/>
                <w:vertAlign w:val="baseline"/>
                <w:lang w:val="en-US" w:eastAsia="zh-CN" w:bidi="ar-SA"/>
              </w:rPr>
              <w:t>7</w:t>
            </w:r>
          </w:p>
        </w:tc>
        <w:tc>
          <w:tcPr>
            <w:tcW w:w="780" w:type="dxa"/>
            <w:vMerge w:val="restart"/>
            <w:noWrap w:val="0"/>
            <w:vAlign w:val="center"/>
          </w:tcPr>
          <w:p w14:paraId="57109E80">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r>
              <w:rPr>
                <w:rFonts w:hint="eastAsia" w:ascii="宋体" w:hAnsi="宋体" w:eastAsia="宋体" w:cs="宋体"/>
                <w:b/>
                <w:bCs/>
                <w:color w:val="auto"/>
                <w:kern w:val="2"/>
                <w:sz w:val="24"/>
                <w:szCs w:val="24"/>
                <w:vertAlign w:val="baseline"/>
                <w:lang w:val="en-US" w:eastAsia="zh-CN" w:bidi="ar-SA"/>
              </w:rPr>
              <w:t>不符合医保支付范围或条件管控</w:t>
            </w:r>
          </w:p>
        </w:tc>
        <w:tc>
          <w:tcPr>
            <w:tcW w:w="1297" w:type="dxa"/>
            <w:noWrap w:val="0"/>
            <w:vAlign w:val="center"/>
          </w:tcPr>
          <w:p w14:paraId="68A4373D">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限定疗程</w:t>
            </w:r>
          </w:p>
        </w:tc>
        <w:tc>
          <w:tcPr>
            <w:tcW w:w="6062" w:type="dxa"/>
            <w:noWrap w:val="0"/>
            <w:vAlign w:val="center"/>
          </w:tcPr>
          <w:p w14:paraId="0F7A5B4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支持对药品、治疗、检查等项目的医保限定疗程、支付周期及使用频次进行合规性校验，识别超出报销范围的情况</w:t>
            </w:r>
          </w:p>
        </w:tc>
      </w:tr>
      <w:tr w14:paraId="5D9F4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690" w:type="dxa"/>
            <w:vMerge w:val="continue"/>
            <w:noWrap w:val="0"/>
            <w:vAlign w:val="center"/>
          </w:tcPr>
          <w:p w14:paraId="494FD449">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continue"/>
            <w:noWrap w:val="0"/>
            <w:vAlign w:val="center"/>
          </w:tcPr>
          <w:p w14:paraId="16B07DFB">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p>
        </w:tc>
        <w:tc>
          <w:tcPr>
            <w:tcW w:w="1297" w:type="dxa"/>
            <w:noWrap w:val="0"/>
            <w:vAlign w:val="center"/>
          </w:tcPr>
          <w:p w14:paraId="1592BBC1">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医保支付总次数超限</w:t>
            </w:r>
          </w:p>
        </w:tc>
        <w:tc>
          <w:tcPr>
            <w:tcW w:w="6062" w:type="dxa"/>
            <w:noWrap w:val="0"/>
            <w:vAlign w:val="center"/>
          </w:tcPr>
          <w:p w14:paraId="28F3066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对收费次数超过医保支付报销的总次数的情况进行识别</w:t>
            </w:r>
          </w:p>
        </w:tc>
      </w:tr>
      <w:tr w14:paraId="168E6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4A00DAD4">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continue"/>
            <w:noWrap w:val="0"/>
            <w:vAlign w:val="center"/>
          </w:tcPr>
          <w:p w14:paraId="4210213B">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p>
        </w:tc>
        <w:tc>
          <w:tcPr>
            <w:tcW w:w="1297" w:type="dxa"/>
            <w:noWrap w:val="0"/>
            <w:vAlign w:val="center"/>
          </w:tcPr>
          <w:p w14:paraId="58BB7338">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限定报销数量</w:t>
            </w:r>
          </w:p>
        </w:tc>
        <w:tc>
          <w:tcPr>
            <w:tcW w:w="6062" w:type="dxa"/>
            <w:noWrap w:val="0"/>
            <w:vAlign w:val="center"/>
          </w:tcPr>
          <w:p w14:paraId="177EDBD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对超出限定报销数量的情况进行识别</w:t>
            </w:r>
          </w:p>
        </w:tc>
      </w:tr>
      <w:tr w14:paraId="2BE88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44C503AC">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continue"/>
            <w:noWrap w:val="0"/>
            <w:vAlign w:val="center"/>
          </w:tcPr>
          <w:p w14:paraId="37CF8FC8">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p>
        </w:tc>
        <w:tc>
          <w:tcPr>
            <w:tcW w:w="1297" w:type="dxa"/>
            <w:noWrap w:val="0"/>
            <w:vAlign w:val="center"/>
          </w:tcPr>
          <w:p w14:paraId="4DB7DC64">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重复报销</w:t>
            </w:r>
          </w:p>
        </w:tc>
        <w:tc>
          <w:tcPr>
            <w:tcW w:w="6062" w:type="dxa"/>
            <w:noWrap w:val="0"/>
            <w:vAlign w:val="center"/>
          </w:tcPr>
          <w:p w14:paraId="49DB2F5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对重复报销的情况进行识别</w:t>
            </w:r>
          </w:p>
        </w:tc>
      </w:tr>
      <w:tr w14:paraId="77F3D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Merge w:val="continue"/>
            <w:noWrap w:val="0"/>
            <w:vAlign w:val="center"/>
          </w:tcPr>
          <w:p w14:paraId="288333B3">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p>
        </w:tc>
        <w:tc>
          <w:tcPr>
            <w:tcW w:w="780" w:type="dxa"/>
            <w:vMerge w:val="continue"/>
            <w:noWrap w:val="0"/>
            <w:vAlign w:val="center"/>
          </w:tcPr>
          <w:p w14:paraId="41F692F0">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auto"/>
                <w:kern w:val="2"/>
                <w:sz w:val="24"/>
                <w:szCs w:val="24"/>
                <w:vertAlign w:val="baseline"/>
                <w:lang w:val="en-US" w:eastAsia="zh-CN" w:bidi="ar-SA"/>
              </w:rPr>
            </w:pPr>
          </w:p>
        </w:tc>
        <w:tc>
          <w:tcPr>
            <w:tcW w:w="1297" w:type="dxa"/>
            <w:noWrap w:val="0"/>
            <w:vAlign w:val="center"/>
          </w:tcPr>
          <w:p w14:paraId="196A42B3">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支付人群或条件不符</w:t>
            </w:r>
          </w:p>
        </w:tc>
        <w:tc>
          <w:tcPr>
            <w:tcW w:w="6062" w:type="dxa"/>
            <w:noWrap w:val="0"/>
            <w:vAlign w:val="center"/>
          </w:tcPr>
          <w:p w14:paraId="2578FF3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对超出限定就诊来源、超出限定报销金额、超出限定禁忌症、超出限定险种类型、超出限定适应症、超出限定年龄、超出限定科室等与医保支付条件不符的收费项目进行识别</w:t>
            </w:r>
          </w:p>
        </w:tc>
      </w:tr>
    </w:tbl>
    <w:p w14:paraId="474BB03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注：预算不包含第三方接口与系统改造费用。</w:t>
      </w:r>
    </w:p>
    <w:p w14:paraId="0241BA0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p>
    <w:p w14:paraId="020C553A">
      <w:pPr>
        <w:pStyle w:val="7"/>
        <w:keepNext w:val="0"/>
        <w:keepLines w:val="0"/>
        <w:pageBreakBefore w:val="0"/>
        <w:kinsoku/>
        <w:wordWrap/>
        <w:overflowPunct/>
        <w:topLinePunct w:val="0"/>
        <w:autoSpaceDE/>
        <w:autoSpaceDN/>
        <w:bidi w:val="0"/>
        <w:adjustRightInd/>
        <w:snapToGrid/>
        <w:spacing w:line="400" w:lineRule="exact"/>
        <w:rPr>
          <w:rFonts w:hint="eastAsia"/>
          <w:lang w:val="en-US" w:eastAsia="zh-CN"/>
        </w:rPr>
      </w:pPr>
    </w:p>
    <w:p w14:paraId="0123FA9B">
      <w:pPr>
        <w:pStyle w:val="7"/>
        <w:keepNext w:val="0"/>
        <w:keepLines w:val="0"/>
        <w:pageBreakBefore w:val="0"/>
        <w:kinsoku/>
        <w:wordWrap/>
        <w:overflowPunct/>
        <w:topLinePunct w:val="0"/>
        <w:autoSpaceDE/>
        <w:autoSpaceDN/>
        <w:bidi w:val="0"/>
        <w:adjustRightInd/>
        <w:snapToGrid/>
        <w:spacing w:line="400" w:lineRule="exact"/>
        <w:rPr>
          <w:rFonts w:hint="eastAsia"/>
          <w:lang w:val="en-US" w:eastAsia="zh-CN"/>
        </w:rPr>
      </w:pPr>
    </w:p>
    <w:p w14:paraId="63A8C12D">
      <w:pPr>
        <w:pStyle w:val="7"/>
        <w:keepNext w:val="0"/>
        <w:keepLines w:val="0"/>
        <w:pageBreakBefore w:val="0"/>
        <w:kinsoku/>
        <w:wordWrap/>
        <w:overflowPunct/>
        <w:topLinePunct w:val="0"/>
        <w:autoSpaceDE/>
        <w:autoSpaceDN/>
        <w:bidi w:val="0"/>
        <w:adjustRightInd/>
        <w:snapToGrid/>
        <w:spacing w:line="400" w:lineRule="exact"/>
        <w:rPr>
          <w:rFonts w:hint="eastAsia"/>
          <w:lang w:val="en-US" w:eastAsia="zh-CN"/>
        </w:rPr>
      </w:pPr>
    </w:p>
    <w:p w14:paraId="78C6BFB9">
      <w:pPr>
        <w:pStyle w:val="7"/>
        <w:keepNext w:val="0"/>
        <w:keepLines w:val="0"/>
        <w:pageBreakBefore w:val="0"/>
        <w:kinsoku/>
        <w:wordWrap/>
        <w:overflowPunct/>
        <w:topLinePunct w:val="0"/>
        <w:autoSpaceDE/>
        <w:autoSpaceDN/>
        <w:bidi w:val="0"/>
        <w:adjustRightInd/>
        <w:snapToGrid/>
        <w:spacing w:line="400" w:lineRule="exact"/>
        <w:rPr>
          <w:rFonts w:hint="eastAsia"/>
          <w:lang w:val="en-US" w:eastAsia="zh-CN"/>
        </w:rPr>
      </w:pPr>
    </w:p>
    <w:p w14:paraId="07BE3318">
      <w:pPr>
        <w:pStyle w:val="7"/>
        <w:keepNext w:val="0"/>
        <w:keepLines w:val="0"/>
        <w:pageBreakBefore w:val="0"/>
        <w:kinsoku/>
        <w:wordWrap/>
        <w:overflowPunct/>
        <w:topLinePunct w:val="0"/>
        <w:autoSpaceDE/>
        <w:autoSpaceDN/>
        <w:bidi w:val="0"/>
        <w:adjustRightInd/>
        <w:snapToGrid/>
        <w:spacing w:line="400" w:lineRule="exact"/>
        <w:rPr>
          <w:rFonts w:hint="eastAsia"/>
          <w:lang w:val="en-US" w:eastAsia="zh-CN"/>
        </w:rPr>
      </w:pPr>
    </w:p>
    <w:p w14:paraId="3038C183">
      <w:pPr>
        <w:pStyle w:val="7"/>
        <w:keepNext w:val="0"/>
        <w:keepLines w:val="0"/>
        <w:pageBreakBefore w:val="0"/>
        <w:kinsoku/>
        <w:wordWrap/>
        <w:overflowPunct/>
        <w:topLinePunct w:val="0"/>
        <w:autoSpaceDE/>
        <w:autoSpaceDN/>
        <w:bidi w:val="0"/>
        <w:adjustRightInd/>
        <w:snapToGrid/>
        <w:spacing w:line="400" w:lineRule="exact"/>
        <w:rPr>
          <w:rFonts w:hint="eastAsia"/>
          <w:lang w:val="en-US" w:eastAsia="zh-CN"/>
        </w:rPr>
      </w:pPr>
    </w:p>
    <w:p w14:paraId="724FA933">
      <w:pPr>
        <w:pStyle w:val="7"/>
        <w:keepNext w:val="0"/>
        <w:keepLines w:val="0"/>
        <w:pageBreakBefore w:val="0"/>
        <w:kinsoku/>
        <w:wordWrap/>
        <w:overflowPunct/>
        <w:topLinePunct w:val="0"/>
        <w:autoSpaceDE/>
        <w:autoSpaceDN/>
        <w:bidi w:val="0"/>
        <w:adjustRightInd/>
        <w:snapToGrid/>
        <w:spacing w:line="400" w:lineRule="exact"/>
        <w:rPr>
          <w:rFonts w:hint="eastAsia"/>
          <w:lang w:val="en-US" w:eastAsia="zh-CN"/>
        </w:rPr>
      </w:pPr>
    </w:p>
    <w:p w14:paraId="7C21A8AA">
      <w:pPr>
        <w:pStyle w:val="7"/>
        <w:keepNext w:val="0"/>
        <w:keepLines w:val="0"/>
        <w:pageBreakBefore w:val="0"/>
        <w:kinsoku/>
        <w:wordWrap/>
        <w:overflowPunct/>
        <w:topLinePunct w:val="0"/>
        <w:autoSpaceDE/>
        <w:autoSpaceDN/>
        <w:bidi w:val="0"/>
        <w:adjustRightInd/>
        <w:snapToGrid/>
        <w:spacing w:line="400" w:lineRule="exact"/>
        <w:rPr>
          <w:rFonts w:hint="eastAsia"/>
          <w:lang w:val="en-US" w:eastAsia="zh-CN"/>
        </w:rPr>
      </w:pPr>
    </w:p>
    <w:p w14:paraId="6E23B8CD">
      <w:pPr>
        <w:pStyle w:val="7"/>
        <w:keepNext w:val="0"/>
        <w:keepLines w:val="0"/>
        <w:pageBreakBefore w:val="0"/>
        <w:kinsoku/>
        <w:wordWrap/>
        <w:overflowPunct/>
        <w:topLinePunct w:val="0"/>
        <w:autoSpaceDE/>
        <w:autoSpaceDN/>
        <w:bidi w:val="0"/>
        <w:adjustRightInd/>
        <w:snapToGrid/>
        <w:spacing w:line="400" w:lineRule="exact"/>
        <w:rPr>
          <w:rFonts w:hint="eastAsia"/>
          <w:lang w:val="en-US" w:eastAsia="zh-CN"/>
        </w:rPr>
      </w:pPr>
    </w:p>
    <w:p w14:paraId="09A2FB2C">
      <w:pPr>
        <w:pStyle w:val="7"/>
        <w:keepNext w:val="0"/>
        <w:keepLines w:val="0"/>
        <w:pageBreakBefore w:val="0"/>
        <w:kinsoku/>
        <w:wordWrap/>
        <w:overflowPunct/>
        <w:topLinePunct w:val="0"/>
        <w:autoSpaceDE/>
        <w:autoSpaceDN/>
        <w:bidi w:val="0"/>
        <w:adjustRightInd/>
        <w:snapToGrid/>
        <w:spacing w:line="400" w:lineRule="exact"/>
        <w:rPr>
          <w:rFonts w:hint="eastAsia"/>
          <w:lang w:val="en-US" w:eastAsia="zh-CN"/>
        </w:rPr>
      </w:pPr>
    </w:p>
    <w:p w14:paraId="02728306">
      <w:pPr>
        <w:pStyle w:val="7"/>
        <w:keepNext w:val="0"/>
        <w:keepLines w:val="0"/>
        <w:pageBreakBefore w:val="0"/>
        <w:kinsoku/>
        <w:wordWrap/>
        <w:overflowPunct/>
        <w:topLinePunct w:val="0"/>
        <w:autoSpaceDE/>
        <w:autoSpaceDN/>
        <w:bidi w:val="0"/>
        <w:adjustRightInd/>
        <w:snapToGrid/>
        <w:spacing w:line="400" w:lineRule="exact"/>
        <w:rPr>
          <w:rFonts w:hint="eastAsia"/>
          <w:lang w:val="en-US" w:eastAsia="zh-CN"/>
        </w:rPr>
      </w:pPr>
    </w:p>
    <w:p w14:paraId="18DD54A8">
      <w:pPr>
        <w:pStyle w:val="4"/>
        <w:jc w:val="both"/>
        <w:rPr>
          <w:rFonts w:hint="eastAsia"/>
        </w:rPr>
        <w:sectPr>
          <w:pgSz w:w="11906" w:h="16838"/>
          <w:pgMar w:top="1440" w:right="1800" w:bottom="1440" w:left="1800" w:header="851" w:footer="992" w:gutter="0"/>
          <w:cols w:space="425" w:num="1"/>
          <w:docGrid w:type="lines" w:linePitch="312" w:charSpace="0"/>
        </w:sectPr>
      </w:pPr>
    </w:p>
    <w:p w14:paraId="60973495">
      <w:pPr>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rPr>
        <w:t>附件</w:t>
      </w:r>
      <w:r>
        <w:rPr>
          <w:rFonts w:hint="eastAsia" w:ascii="方正黑体_GBK" w:hAnsi="方正黑体_GBK" w:eastAsia="方正黑体_GBK" w:cs="方正黑体_GBK"/>
          <w:color w:val="000000"/>
          <w:sz w:val="32"/>
          <w:szCs w:val="32"/>
          <w:lang w:val="en-US" w:eastAsia="zh-CN"/>
        </w:rPr>
        <w:t>2</w:t>
      </w:r>
    </w:p>
    <w:p w14:paraId="220671B6">
      <w:pPr>
        <w:adjustRightInd w:val="0"/>
        <w:snapToGrid w:val="0"/>
        <w:spacing w:line="360" w:lineRule="auto"/>
        <w:jc w:val="center"/>
        <w:rPr>
          <w:rFonts w:hint="eastAsia" w:ascii="方正小标宋_GBK" w:hAnsi="方正小标宋_GBK" w:eastAsia="方正小标宋_GBK" w:cs="方正小标宋_GBK"/>
          <w:b/>
          <w:bCs/>
          <w:sz w:val="36"/>
          <w:szCs w:val="36"/>
          <w:lang w:val="en-US" w:eastAsia="zh-CN"/>
        </w:rPr>
      </w:pPr>
      <w:r>
        <w:rPr>
          <w:rFonts w:hint="eastAsia" w:ascii="方正小标宋_GBK" w:hAnsi="方正小标宋_GBK" w:eastAsia="方正小标宋_GBK" w:cs="方正小标宋_GBK"/>
          <w:b/>
          <w:bCs/>
          <w:sz w:val="36"/>
          <w:szCs w:val="36"/>
          <w:lang w:val="en-US" w:eastAsia="zh-CN"/>
        </w:rPr>
        <w:t>项目采购需求调查资料</w:t>
      </w:r>
    </w:p>
    <w:p w14:paraId="5510B65E">
      <w:pPr>
        <w:rPr>
          <w:rFonts w:hint="eastAsia" w:ascii="Times New Roman" w:hAnsi="Times New Roman" w:eastAsia="方正仿宋_GBK" w:cs="方正小标宋_GBK"/>
          <w:bCs/>
          <w:sz w:val="28"/>
          <w:szCs w:val="28"/>
          <w:highlight w:val="none"/>
          <w:lang w:val="en-US" w:eastAsia="zh-CN"/>
        </w:rPr>
      </w:pPr>
      <w:r>
        <w:rPr>
          <w:rFonts w:hint="eastAsia" w:ascii="Times New Roman" w:hAnsi="Times New Roman" w:eastAsia="方正仿宋_GBK" w:cs="方正小标宋_GBK"/>
          <w:bCs/>
          <w:sz w:val="28"/>
          <w:szCs w:val="28"/>
          <w:highlight w:val="none"/>
          <w:lang w:val="en-US" w:eastAsia="zh-CN"/>
        </w:rPr>
        <w:t>1、请各供应商仔细阅读并根据自身实际情况填写。</w:t>
      </w:r>
    </w:p>
    <w:p w14:paraId="7147B59F">
      <w:pPr>
        <w:rPr>
          <w:rFonts w:hint="eastAsia" w:ascii="Times New Roman" w:hAnsi="Times New Roman" w:eastAsia="方正仿宋_GBK" w:cs="方正小标宋_GBK"/>
          <w:bCs/>
          <w:sz w:val="28"/>
          <w:szCs w:val="28"/>
          <w:highlight w:val="none"/>
          <w:lang w:val="en-US" w:eastAsia="zh-CN"/>
        </w:rPr>
      </w:pPr>
      <w:r>
        <w:rPr>
          <w:rFonts w:hint="eastAsia" w:ascii="Times New Roman" w:hAnsi="Times New Roman" w:eastAsia="方正仿宋_GBK" w:cs="方正小标宋_GBK"/>
          <w:bCs/>
          <w:sz w:val="28"/>
          <w:szCs w:val="28"/>
          <w:highlight w:val="none"/>
          <w:lang w:val="en-US" w:eastAsia="zh-CN"/>
        </w:rPr>
        <w:t>2、本文件共3部分：</w:t>
      </w:r>
      <w:r>
        <w:rPr>
          <w:rFonts w:hint="eastAsia" w:ascii="Times New Roman" w:hAnsi="Times New Roman" w:eastAsia="方正仿宋_GBK" w:cs="方正小标宋_GBK"/>
          <w:bCs/>
          <w:sz w:val="28"/>
          <w:szCs w:val="28"/>
          <w:highlight w:val="none"/>
          <w:lang w:val="en-US" w:eastAsia="zh-CN"/>
        </w:rPr>
        <w:t>采购需求调查表、供应商营业执照、产品介绍、详细技术参数等，所有内容均需填写。</w:t>
      </w:r>
    </w:p>
    <w:p w14:paraId="18DFA0EF">
      <w:pPr>
        <w:rPr>
          <w:rFonts w:hint="eastAsia" w:ascii="Times New Roman" w:hAnsi="Times New Roman" w:eastAsia="方正仿宋_GBK" w:cs="方正小标宋_GBK"/>
          <w:bCs/>
          <w:sz w:val="28"/>
          <w:szCs w:val="28"/>
          <w:highlight w:val="none"/>
        </w:rPr>
      </w:pPr>
      <w:r>
        <w:rPr>
          <w:rFonts w:hint="eastAsia" w:ascii="Times New Roman" w:hAnsi="Times New Roman" w:eastAsia="方正仿宋_GBK" w:cs="方正小标宋_GBK"/>
          <w:bCs/>
          <w:sz w:val="28"/>
          <w:szCs w:val="28"/>
          <w:highlight w:val="none"/>
          <w:lang w:val="en-US" w:eastAsia="zh-CN"/>
        </w:rPr>
        <w:t>3、反馈资料为本文件所有内容。</w:t>
      </w:r>
      <w:bookmarkStart w:id="0" w:name="_GoBack"/>
      <w:bookmarkEnd w:id="0"/>
      <w:r>
        <w:rPr>
          <w:rFonts w:hint="eastAsia" w:ascii="Times New Roman" w:hAnsi="Times New Roman" w:eastAsia="方正仿宋_GBK" w:cs="方正小标宋_GBK"/>
          <w:bCs/>
          <w:sz w:val="28"/>
          <w:szCs w:val="28"/>
          <w:highlight w:val="none"/>
        </w:rPr>
        <w:br w:type="page"/>
      </w:r>
    </w:p>
    <w:tbl>
      <w:tblPr>
        <w:tblStyle w:val="12"/>
        <w:tblpPr w:leftFromText="180" w:rightFromText="180" w:vertAnchor="text" w:horzAnchor="page" w:tblpX="1988" w:tblpY="237"/>
        <w:tblOverlap w:val="never"/>
        <w:tblW w:w="8642" w:type="dxa"/>
        <w:tblInd w:w="0" w:type="dxa"/>
        <w:tblLayout w:type="fixed"/>
        <w:tblCellMar>
          <w:top w:w="0" w:type="dxa"/>
          <w:left w:w="108" w:type="dxa"/>
          <w:bottom w:w="0" w:type="dxa"/>
          <w:right w:w="108" w:type="dxa"/>
        </w:tblCellMar>
      </w:tblPr>
      <w:tblGrid>
        <w:gridCol w:w="2831"/>
        <w:gridCol w:w="2192"/>
        <w:gridCol w:w="1524"/>
        <w:gridCol w:w="2095"/>
      </w:tblGrid>
      <w:tr w14:paraId="39497BF6">
        <w:tblPrEx>
          <w:tblCellMar>
            <w:top w:w="0" w:type="dxa"/>
            <w:left w:w="108" w:type="dxa"/>
            <w:bottom w:w="0" w:type="dxa"/>
            <w:right w:w="108" w:type="dxa"/>
          </w:tblCellMar>
        </w:tblPrEx>
        <w:trPr>
          <w:trHeight w:val="556" w:hRule="atLeast"/>
        </w:trPr>
        <w:tc>
          <w:tcPr>
            <w:tcW w:w="8642" w:type="dxa"/>
            <w:gridSpan w:val="4"/>
            <w:tcBorders>
              <w:top w:val="nil"/>
              <w:left w:val="nil"/>
              <w:bottom w:val="single" w:color="auto" w:sz="4" w:space="0"/>
              <w:right w:val="nil"/>
            </w:tcBorders>
            <w:shd w:val="clear" w:color="auto" w:fill="auto"/>
            <w:noWrap/>
            <w:vAlign w:val="center"/>
          </w:tcPr>
          <w:p w14:paraId="2FF4BE5F">
            <w:pPr>
              <w:keepNext w:val="0"/>
              <w:keepLines w:val="0"/>
              <w:pageBreakBefore w:val="0"/>
              <w:widowControl w:val="0"/>
              <w:tabs>
                <w:tab w:val="left" w:pos="5311"/>
              </w:tabs>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sz w:val="24"/>
              </w:rPr>
            </w:pPr>
            <w:r>
              <w:rPr>
                <w:rFonts w:hint="eastAsia" w:ascii="方正黑体_GBK" w:hAnsi="方正黑体_GBK" w:eastAsia="方正黑体_GBK" w:cs="方正黑体_GBK"/>
                <w:kern w:val="2"/>
                <w:sz w:val="32"/>
                <w:szCs w:val="32"/>
                <w:lang w:val="en-US" w:eastAsia="zh-CN" w:bidi="ar-SA"/>
              </w:rPr>
              <w:t>一、</w:t>
            </w:r>
            <w:r>
              <w:rPr>
                <w:rFonts w:hint="eastAsia" w:ascii="黑体" w:hAnsi="黑体" w:eastAsia="黑体" w:cs="黑体"/>
                <w:sz w:val="32"/>
                <w:szCs w:val="32"/>
              </w:rPr>
              <w:t>采购需求调查表</w:t>
            </w:r>
          </w:p>
        </w:tc>
      </w:tr>
      <w:tr w14:paraId="3EEB3DCE">
        <w:tblPrEx>
          <w:tblCellMar>
            <w:top w:w="0" w:type="dxa"/>
            <w:left w:w="108" w:type="dxa"/>
            <w:bottom w:w="0" w:type="dxa"/>
            <w:right w:w="108" w:type="dxa"/>
          </w:tblCellMar>
        </w:tblPrEx>
        <w:trPr>
          <w:trHeight w:val="518" w:hRule="atLeast"/>
        </w:trPr>
        <w:tc>
          <w:tcPr>
            <w:tcW w:w="28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C29932">
            <w:pPr>
              <w:widowControl/>
              <w:adjustRightInd w:val="0"/>
              <w:snapToGrid w:val="0"/>
              <w:jc w:val="left"/>
              <w:textAlignment w:val="center"/>
              <w:rPr>
                <w:rFonts w:hint="eastAsia" w:ascii="方正仿宋_GBK" w:hAnsi="方正仿宋_GBK" w:eastAsia="方正仿宋_GBK" w:cs="方正仿宋_GBK"/>
                <w:color w:val="000000"/>
                <w:kern w:val="0"/>
                <w:sz w:val="24"/>
                <w:szCs w:val="24"/>
                <w:lang w:val="en-US" w:eastAsia="zh-CN" w:bidi="ar"/>
              </w:rPr>
            </w:pPr>
            <w:r>
              <w:rPr>
                <w:rFonts w:hint="eastAsia" w:ascii="方正仿宋_GBK" w:hAnsi="方正仿宋_GBK" w:eastAsia="方正仿宋_GBK" w:cs="方正仿宋_GBK"/>
                <w:color w:val="000000"/>
                <w:kern w:val="0"/>
                <w:sz w:val="24"/>
                <w:lang w:bidi="ar"/>
              </w:rPr>
              <w:t>项目</w:t>
            </w:r>
            <w:r>
              <w:rPr>
                <w:rFonts w:hint="eastAsia" w:ascii="方正仿宋_GBK" w:hAnsi="方正仿宋_GBK" w:eastAsia="方正仿宋_GBK" w:cs="方正仿宋_GBK"/>
                <w:color w:val="000000"/>
                <w:kern w:val="0"/>
                <w:sz w:val="24"/>
                <w:lang w:val="en-US" w:eastAsia="zh-CN" w:bidi="ar"/>
              </w:rPr>
              <w:t>名称</w:t>
            </w:r>
          </w:p>
        </w:tc>
        <w:tc>
          <w:tcPr>
            <w:tcW w:w="5811"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B7F330A">
            <w:pPr>
              <w:widowControl/>
              <w:adjustRightInd w:val="0"/>
              <w:snapToGrid w:val="0"/>
              <w:jc w:val="center"/>
              <w:textAlignment w:val="center"/>
              <w:rPr>
                <w:rFonts w:hint="default" w:ascii="方正仿宋_GBK" w:hAnsi="方正仿宋_GBK" w:eastAsia="方正仿宋_GBK" w:cs="方正仿宋_GBK"/>
                <w:color w:val="000000"/>
                <w:kern w:val="0"/>
                <w:sz w:val="24"/>
                <w:szCs w:val="24"/>
                <w:lang w:val="en-US" w:eastAsia="zh-CN" w:bidi="ar"/>
              </w:rPr>
            </w:pPr>
            <w:r>
              <w:rPr>
                <w:rFonts w:hint="eastAsia" w:ascii="方正仿宋_GBK" w:hAnsi="方正仿宋_GBK" w:eastAsia="方正仿宋_GBK" w:cs="方正仿宋_GBK"/>
                <w:color w:val="000000"/>
                <w:kern w:val="0"/>
                <w:sz w:val="24"/>
                <w:szCs w:val="24"/>
                <w:lang w:val="en-US" w:eastAsia="zh-CN" w:bidi="ar"/>
              </w:rPr>
              <w:t>医保控费服务项目</w:t>
            </w:r>
          </w:p>
        </w:tc>
      </w:tr>
      <w:tr w14:paraId="72A284DF">
        <w:tblPrEx>
          <w:tblCellMar>
            <w:top w:w="0" w:type="dxa"/>
            <w:left w:w="108" w:type="dxa"/>
            <w:bottom w:w="0" w:type="dxa"/>
            <w:right w:w="108" w:type="dxa"/>
          </w:tblCellMar>
        </w:tblPrEx>
        <w:trPr>
          <w:trHeight w:val="580" w:hRule="atLeast"/>
        </w:trPr>
        <w:tc>
          <w:tcPr>
            <w:tcW w:w="2831"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20ACE471">
            <w:pPr>
              <w:widowControl/>
              <w:adjustRightInd w:val="0"/>
              <w:snapToGrid w:val="0"/>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供应商名称</w:t>
            </w:r>
          </w:p>
        </w:tc>
        <w:tc>
          <w:tcPr>
            <w:tcW w:w="5811"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14:paraId="25F587A8">
            <w:pPr>
              <w:widowControl/>
              <w:adjustRightInd w:val="0"/>
              <w:snapToGrid w:val="0"/>
              <w:jc w:val="center"/>
              <w:rPr>
                <w:rFonts w:ascii="方正仿宋_GBK" w:hAnsi="方正仿宋_GBK" w:eastAsia="方正仿宋_GBK" w:cs="方正仿宋_GBK"/>
                <w:color w:val="000000"/>
                <w:sz w:val="24"/>
              </w:rPr>
            </w:pPr>
            <w:r>
              <w:rPr>
                <w:rFonts w:ascii="方正仿宋_GBK" w:hAnsi="方正仿宋_GBK" w:eastAsia="方正仿宋_GBK" w:cs="方正仿宋_GBK"/>
                <w:color w:val="000000"/>
                <w:sz w:val="24"/>
              </w:rPr>
              <w:t>（盖章）</w:t>
            </w:r>
          </w:p>
        </w:tc>
      </w:tr>
      <w:tr w14:paraId="1E2C94A4">
        <w:tblPrEx>
          <w:tblCellMar>
            <w:top w:w="0" w:type="dxa"/>
            <w:left w:w="108" w:type="dxa"/>
            <w:bottom w:w="0" w:type="dxa"/>
            <w:right w:w="108" w:type="dxa"/>
          </w:tblCellMar>
        </w:tblPrEx>
        <w:trPr>
          <w:trHeight w:val="650"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824F4">
            <w:pPr>
              <w:widowControl/>
              <w:adjustRightInd w:val="0"/>
              <w:snapToGrid w:val="0"/>
              <w:jc w:val="left"/>
              <w:textAlignment w:val="center"/>
              <w:rPr>
                <w:rFonts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产品品牌</w:t>
            </w:r>
            <w:r>
              <w:rPr>
                <w:rFonts w:hint="eastAsia" w:ascii="方正仿宋_GBK" w:hAnsi="方正仿宋_GBK" w:eastAsia="方正仿宋_GBK" w:cs="方正仿宋_GBK"/>
                <w:color w:val="000000"/>
                <w:kern w:val="0"/>
                <w:sz w:val="24"/>
                <w:lang w:val="en-US" w:eastAsia="zh-CN" w:bidi="ar"/>
              </w:rPr>
              <w:t>名或</w:t>
            </w:r>
            <w:r>
              <w:rPr>
                <w:rFonts w:hint="eastAsia" w:ascii="方正仿宋_GBK" w:hAnsi="方正仿宋_GBK" w:eastAsia="方正仿宋_GBK" w:cs="方正仿宋_GBK"/>
                <w:color w:val="000000"/>
                <w:kern w:val="0"/>
                <w:sz w:val="24"/>
                <w:lang w:bidi="ar"/>
              </w:rPr>
              <w:t>型号</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36ACF">
            <w:pPr>
              <w:widowControl/>
              <w:adjustRightInd w:val="0"/>
              <w:snapToGrid w:val="0"/>
              <w:jc w:val="left"/>
              <w:textAlignment w:val="center"/>
              <w:rPr>
                <w:rFonts w:hint="default" w:ascii="方正仿宋_GBK" w:hAnsi="方正仿宋_GBK" w:eastAsia="方正仿宋_GBK" w:cs="方正仿宋_GBK"/>
                <w:color w:val="FF0000"/>
                <w:kern w:val="0"/>
                <w:sz w:val="24"/>
                <w:lang w:val="en-US" w:eastAsia="zh-CN" w:bidi="ar"/>
              </w:rPr>
            </w:pPr>
          </w:p>
        </w:tc>
      </w:tr>
      <w:tr w14:paraId="0550F4D3">
        <w:tblPrEx>
          <w:tblCellMar>
            <w:top w:w="0" w:type="dxa"/>
            <w:left w:w="108" w:type="dxa"/>
            <w:bottom w:w="0" w:type="dxa"/>
            <w:right w:w="108" w:type="dxa"/>
          </w:tblCellMar>
        </w:tblPrEx>
        <w:trPr>
          <w:trHeight w:val="674"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16E7A">
            <w:pPr>
              <w:widowControl/>
              <w:adjustRightInd w:val="0"/>
              <w:snapToGrid w:val="0"/>
              <w:jc w:val="left"/>
              <w:textAlignment w:val="center"/>
              <w:rPr>
                <w:rFonts w:hint="default" w:ascii="方正仿宋_GBK" w:hAnsi="方正仿宋_GBK" w:eastAsia="方正仿宋_GBK" w:cs="方正仿宋_GBK"/>
                <w:color w:val="000000"/>
                <w:kern w:val="0"/>
                <w:sz w:val="24"/>
                <w:lang w:val="en-US" w:eastAsia="zh-CN" w:bidi="ar"/>
              </w:rPr>
            </w:pPr>
            <w:r>
              <w:rPr>
                <w:rFonts w:hint="eastAsia" w:ascii="方正仿宋_GBK" w:hAnsi="方正仿宋_GBK" w:eastAsia="方正仿宋_GBK" w:cs="方正仿宋_GBK"/>
                <w:color w:val="000000"/>
                <w:kern w:val="0"/>
                <w:sz w:val="24"/>
                <w:lang w:val="en-US" w:eastAsia="zh-CN" w:bidi="ar"/>
              </w:rPr>
              <w:t>项目总报价</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565B7">
            <w:pPr>
              <w:widowControl/>
              <w:adjustRightInd w:val="0"/>
              <w:snapToGrid w:val="0"/>
              <w:jc w:val="center"/>
              <w:textAlignment w:val="center"/>
              <w:rPr>
                <w:rFonts w:hint="eastAsia" w:ascii="方正仿宋_GBK" w:hAnsi="方正仿宋_GBK" w:eastAsia="方正仿宋_GBK" w:cs="方正仿宋_GBK"/>
                <w:color w:val="FF0000"/>
                <w:kern w:val="0"/>
                <w:sz w:val="24"/>
                <w:lang w:eastAsia="zh-CN" w:bidi="ar"/>
              </w:rPr>
            </w:pPr>
            <w:r>
              <w:rPr>
                <w:rFonts w:ascii="方正仿宋_GBK" w:hAnsi="方正仿宋_GBK" w:eastAsia="方正仿宋_GBK" w:cs="方正仿宋_GBK"/>
                <w:kern w:val="0"/>
                <w:sz w:val="24"/>
                <w:lang w:bidi="ar"/>
              </w:rPr>
              <w:t>元</w:t>
            </w:r>
            <w:r>
              <w:rPr>
                <w:rFonts w:hint="eastAsia" w:ascii="方正仿宋_GBK" w:hAnsi="方正仿宋_GBK" w:eastAsia="方正仿宋_GBK" w:cs="方正仿宋_GBK"/>
                <w:kern w:val="0"/>
                <w:sz w:val="24"/>
                <w:lang w:eastAsia="zh-CN" w:bidi="ar"/>
              </w:rPr>
              <w:t>（</w:t>
            </w:r>
            <w:r>
              <w:rPr>
                <w:rFonts w:hint="eastAsia" w:ascii="方正仿宋_GBK" w:hAnsi="方正仿宋_GBK" w:eastAsia="方正仿宋_GBK" w:cs="方正仿宋_GBK"/>
                <w:kern w:val="0"/>
                <w:sz w:val="24"/>
                <w:lang w:val="en-US" w:eastAsia="zh-CN" w:bidi="ar"/>
              </w:rPr>
              <w:t>大写：人民币</w:t>
            </w:r>
            <w:r>
              <w:rPr>
                <w:rFonts w:hint="eastAsia" w:ascii="方正仿宋_GBK" w:hAnsi="方正仿宋_GBK" w:eastAsia="方正仿宋_GBK" w:cs="方正仿宋_GBK"/>
                <w:kern w:val="0"/>
                <w:sz w:val="24"/>
                <w:lang w:eastAsia="zh-CN" w:bidi="ar"/>
              </w:rPr>
              <w:t>）</w:t>
            </w:r>
          </w:p>
        </w:tc>
      </w:tr>
      <w:tr w14:paraId="3D9E8710">
        <w:tblPrEx>
          <w:tblCellMar>
            <w:top w:w="0" w:type="dxa"/>
            <w:left w:w="108" w:type="dxa"/>
            <w:bottom w:w="0" w:type="dxa"/>
            <w:right w:w="108" w:type="dxa"/>
          </w:tblCellMar>
        </w:tblPrEx>
        <w:trPr>
          <w:trHeight w:val="535"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9A90C">
            <w:pPr>
              <w:widowControl/>
              <w:adjustRightInd w:val="0"/>
              <w:snapToGrid w:val="0"/>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供应商联系人</w:t>
            </w:r>
          </w:p>
        </w:tc>
        <w:tc>
          <w:tcPr>
            <w:tcW w:w="2192"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1213791D">
            <w:pPr>
              <w:widowControl/>
              <w:adjustRightInd w:val="0"/>
              <w:snapToGrid w:val="0"/>
              <w:rPr>
                <w:rFonts w:ascii="方正仿宋_GBK" w:hAnsi="方正仿宋_GBK" w:eastAsia="方正仿宋_GBK" w:cs="方正仿宋_GBK"/>
                <w:color w:val="000000"/>
                <w:sz w:val="24"/>
              </w:rPr>
            </w:pPr>
          </w:p>
        </w:tc>
        <w:tc>
          <w:tcPr>
            <w:tcW w:w="1524" w:type="dxa"/>
            <w:tcBorders>
              <w:top w:val="single" w:color="000000" w:sz="4" w:space="0"/>
              <w:left w:val="single" w:color="auto" w:sz="4" w:space="0"/>
              <w:bottom w:val="single" w:color="000000" w:sz="4" w:space="0"/>
              <w:right w:val="single" w:color="auto" w:sz="4" w:space="0"/>
            </w:tcBorders>
            <w:shd w:val="clear" w:color="auto" w:fill="auto"/>
            <w:noWrap/>
            <w:vAlign w:val="center"/>
          </w:tcPr>
          <w:p w14:paraId="370EB346">
            <w:pPr>
              <w:widowControl/>
              <w:adjustRightInd w:val="0"/>
              <w:snapToGrid w:val="0"/>
              <w:jc w:val="center"/>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供应商联系电话</w:t>
            </w:r>
          </w:p>
        </w:tc>
        <w:tc>
          <w:tcPr>
            <w:tcW w:w="2095"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0AA6992">
            <w:pPr>
              <w:widowControl/>
              <w:adjustRightInd w:val="0"/>
              <w:snapToGrid w:val="0"/>
              <w:rPr>
                <w:rFonts w:ascii="方正仿宋_GBK" w:hAnsi="方正仿宋_GBK" w:eastAsia="方正仿宋_GBK" w:cs="方正仿宋_GBK"/>
                <w:color w:val="000000"/>
                <w:sz w:val="24"/>
              </w:rPr>
            </w:pPr>
          </w:p>
        </w:tc>
      </w:tr>
      <w:tr w14:paraId="620C25F7">
        <w:tblPrEx>
          <w:tblCellMar>
            <w:top w:w="0" w:type="dxa"/>
            <w:left w:w="108" w:type="dxa"/>
            <w:bottom w:w="0" w:type="dxa"/>
            <w:right w:w="108" w:type="dxa"/>
          </w:tblCellMar>
        </w:tblPrEx>
        <w:trPr>
          <w:trHeight w:val="581"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F22DA">
            <w:pPr>
              <w:widowControl/>
              <w:adjustRightInd w:val="0"/>
              <w:snapToGrid w:val="0"/>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地址</w:t>
            </w:r>
          </w:p>
        </w:tc>
        <w:tc>
          <w:tcPr>
            <w:tcW w:w="2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41054">
            <w:pPr>
              <w:widowControl/>
              <w:adjustRightInd w:val="0"/>
              <w:snapToGrid w:val="0"/>
              <w:rPr>
                <w:rFonts w:ascii="方正仿宋_GBK" w:hAnsi="方正仿宋_GBK" w:eastAsia="方正仿宋_GBK" w:cs="方正仿宋_GBK"/>
                <w:color w:val="000000"/>
                <w:sz w:val="24"/>
              </w:rPr>
            </w:pP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ABE55">
            <w:pPr>
              <w:widowControl/>
              <w:adjustRightInd w:val="0"/>
              <w:snapToGrid w:val="0"/>
              <w:jc w:val="center"/>
              <w:rPr>
                <w:rFonts w:hint="eastAsia" w:ascii="方正仿宋_GBK" w:hAnsi="方正仿宋_GBK" w:eastAsia="方正仿宋_GBK" w:cs="方正仿宋_GBK"/>
                <w:color w:val="000000"/>
                <w:sz w:val="24"/>
                <w:lang w:val="en-US" w:eastAsia="zh-CN"/>
              </w:rPr>
            </w:pPr>
            <w:r>
              <w:rPr>
                <w:rFonts w:hint="eastAsia" w:ascii="方正仿宋_GBK" w:hAnsi="方正仿宋_GBK" w:eastAsia="方正仿宋_GBK" w:cs="方正仿宋_GBK"/>
                <w:color w:val="000000"/>
                <w:sz w:val="24"/>
                <w:lang w:val="en-US" w:eastAsia="zh-CN"/>
              </w:rPr>
              <w:t>邮箱</w:t>
            </w:r>
          </w:p>
        </w:tc>
        <w:tc>
          <w:tcPr>
            <w:tcW w:w="2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95335">
            <w:pPr>
              <w:widowControl/>
              <w:adjustRightInd w:val="0"/>
              <w:snapToGrid w:val="0"/>
              <w:rPr>
                <w:rFonts w:ascii="方正仿宋_GBK" w:hAnsi="方正仿宋_GBK" w:eastAsia="方正仿宋_GBK" w:cs="方正仿宋_GBK"/>
                <w:color w:val="000000"/>
                <w:sz w:val="24"/>
              </w:rPr>
            </w:pPr>
          </w:p>
        </w:tc>
      </w:tr>
      <w:tr w14:paraId="0EA1AE89">
        <w:tblPrEx>
          <w:tblCellMar>
            <w:top w:w="0" w:type="dxa"/>
            <w:left w:w="108" w:type="dxa"/>
            <w:bottom w:w="0" w:type="dxa"/>
            <w:right w:w="108" w:type="dxa"/>
          </w:tblCellMar>
        </w:tblPrEx>
        <w:trPr>
          <w:trHeight w:val="578"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C1434">
            <w:pPr>
              <w:widowControl/>
              <w:adjustRightInd w:val="0"/>
              <w:snapToGrid w:val="0"/>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供应商规模</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5198F">
            <w:pPr>
              <w:widowControl/>
              <w:adjustRightInd w:val="0"/>
              <w:snapToGrid w:val="0"/>
              <w:jc w:val="center"/>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（大/中/小/微）型企业</w:t>
            </w:r>
          </w:p>
        </w:tc>
      </w:tr>
      <w:tr w14:paraId="7C71A18A">
        <w:tblPrEx>
          <w:tblCellMar>
            <w:top w:w="0" w:type="dxa"/>
            <w:left w:w="108" w:type="dxa"/>
            <w:bottom w:w="0" w:type="dxa"/>
            <w:right w:w="108" w:type="dxa"/>
          </w:tblCellMar>
        </w:tblPrEx>
        <w:trPr>
          <w:trHeight w:val="811"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FF889">
            <w:pPr>
              <w:widowControl/>
              <w:adjustRightInd w:val="0"/>
              <w:snapToGrid w:val="0"/>
              <w:jc w:val="left"/>
              <w:textAlignment w:val="center"/>
              <w:rPr>
                <w:rFonts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供应商所属国民经济行业分类</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767F1">
            <w:pPr>
              <w:widowControl/>
              <w:adjustRightInd w:val="0"/>
              <w:snapToGrid w:val="0"/>
              <w:textAlignment w:val="center"/>
              <w:rPr>
                <w:rFonts w:ascii="方正仿宋_GBK" w:hAnsi="方正仿宋_GBK" w:eastAsia="方正仿宋_GBK" w:cs="方正仿宋_GBK"/>
                <w:color w:val="000000"/>
                <w:kern w:val="0"/>
                <w:sz w:val="24"/>
                <w:lang w:bidi="ar"/>
              </w:rPr>
            </w:pPr>
          </w:p>
        </w:tc>
      </w:tr>
      <w:tr w14:paraId="378CABF8">
        <w:tblPrEx>
          <w:tblCellMar>
            <w:top w:w="0" w:type="dxa"/>
            <w:left w:w="108" w:type="dxa"/>
            <w:bottom w:w="0" w:type="dxa"/>
            <w:right w:w="108" w:type="dxa"/>
          </w:tblCellMar>
        </w:tblPrEx>
        <w:trPr>
          <w:trHeight w:val="1450"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F5063">
            <w:pPr>
              <w:widowControl/>
              <w:adjustRightInd w:val="0"/>
              <w:snapToGrid w:val="0"/>
              <w:jc w:val="left"/>
              <w:textAlignment w:val="center"/>
              <w:rPr>
                <w:rFonts w:hint="eastAsia" w:ascii="方正仿宋_GBK" w:hAnsi="方正仿宋_GBK" w:eastAsia="方正仿宋_GBK" w:cs="方正仿宋_GBK"/>
                <w:color w:val="000000"/>
                <w:kern w:val="0"/>
                <w:sz w:val="24"/>
                <w:lang w:eastAsia="zh-CN" w:bidi="ar"/>
              </w:rPr>
            </w:pPr>
            <w:r>
              <w:rPr>
                <w:rFonts w:hint="eastAsia" w:ascii="方正仿宋_GBK" w:hAnsi="方正仿宋_GBK" w:eastAsia="方正仿宋_GBK" w:cs="方正仿宋_GBK"/>
                <w:color w:val="000000"/>
                <w:kern w:val="0"/>
                <w:sz w:val="24"/>
                <w:lang w:bidi="ar"/>
              </w:rPr>
              <w:t>能否完成附件</w:t>
            </w:r>
            <w:r>
              <w:rPr>
                <w:rFonts w:ascii="方正仿宋_GBK" w:hAnsi="方正仿宋_GBK" w:eastAsia="方正仿宋_GBK" w:cs="方正仿宋_GBK"/>
                <w:color w:val="000000"/>
                <w:kern w:val="0"/>
                <w:sz w:val="24"/>
                <w:lang w:bidi="ar"/>
              </w:rPr>
              <w:t>1</w:t>
            </w:r>
            <w:r>
              <w:rPr>
                <w:rFonts w:hint="eastAsia" w:ascii="方正仿宋_GBK" w:hAnsi="方正仿宋_GBK" w:eastAsia="方正仿宋_GBK" w:cs="方正仿宋_GBK"/>
                <w:color w:val="000000"/>
                <w:kern w:val="0"/>
                <w:sz w:val="24"/>
                <w:lang w:bidi="ar"/>
              </w:rPr>
              <w:t>产品的</w:t>
            </w:r>
            <w:r>
              <w:rPr>
                <w:rFonts w:hint="eastAsia" w:ascii="方正仿宋_GBK" w:hAnsi="方正仿宋_GBK" w:eastAsia="方正仿宋_GBK" w:cs="方正仿宋_GBK"/>
                <w:color w:val="000000"/>
                <w:kern w:val="0"/>
                <w:sz w:val="24"/>
                <w:lang w:val="en-US" w:eastAsia="zh-CN" w:bidi="ar"/>
              </w:rPr>
              <w:t>需求参数</w:t>
            </w:r>
            <w:r>
              <w:rPr>
                <w:rFonts w:hint="eastAsia" w:ascii="Times New Roman" w:hAnsi="Times New Roman" w:eastAsia="方正仿宋_GBK" w:cs="Times New Roman"/>
                <w:color w:val="000000"/>
                <w:kern w:val="0"/>
                <w:sz w:val="24"/>
                <w:lang w:val="en-US" w:eastAsia="zh-CN" w:bidi="ar"/>
              </w:rPr>
              <w:t>（若不能，请说明原因）</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11DD2">
            <w:pPr>
              <w:widowControl/>
              <w:adjustRightInd w:val="0"/>
              <w:snapToGrid w:val="0"/>
              <w:jc w:val="left"/>
              <w:textAlignment w:val="center"/>
              <w:rPr>
                <w:rFonts w:ascii="方正仿宋_GBK" w:hAnsi="方正仿宋_GBK" w:eastAsia="方正仿宋_GBK" w:cs="方正仿宋_GBK"/>
                <w:color w:val="000000"/>
                <w:sz w:val="24"/>
              </w:rPr>
            </w:pPr>
          </w:p>
        </w:tc>
      </w:tr>
      <w:tr w14:paraId="4971ABA0">
        <w:tblPrEx>
          <w:tblCellMar>
            <w:top w:w="0" w:type="dxa"/>
            <w:left w:w="108" w:type="dxa"/>
            <w:bottom w:w="0" w:type="dxa"/>
            <w:right w:w="108" w:type="dxa"/>
          </w:tblCellMar>
        </w:tblPrEx>
        <w:trPr>
          <w:trHeight w:val="1018"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90B8B">
            <w:pPr>
              <w:widowControl/>
              <w:adjustRightInd w:val="0"/>
              <w:snapToGrid w:val="0"/>
              <w:jc w:val="left"/>
              <w:textAlignment w:val="center"/>
              <w:rPr>
                <w:rFonts w:hint="eastAsia" w:ascii="方正仿宋_GBK" w:hAnsi="方正仿宋_GBK" w:eastAsia="方正仿宋_GBK" w:cs="方正仿宋_GBK"/>
                <w:color w:val="000000"/>
                <w:kern w:val="0"/>
                <w:sz w:val="24"/>
                <w:lang w:bidi="ar"/>
              </w:rPr>
            </w:pPr>
            <w:r>
              <w:rPr>
                <w:rFonts w:hint="eastAsia" w:ascii="Times New Roman" w:hAnsi="Times New Roman" w:eastAsia="方正仿宋_GBK" w:cs="Times New Roman"/>
                <w:color w:val="000000"/>
                <w:kern w:val="0"/>
                <w:sz w:val="24"/>
                <w:lang w:val="en-US" w:eastAsia="zh-CN" w:bidi="ar"/>
              </w:rPr>
              <w:t>供应商认为完成本项目应具备的特定资质</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94C65">
            <w:pPr>
              <w:widowControl/>
              <w:adjustRightInd w:val="0"/>
              <w:snapToGrid w:val="0"/>
              <w:jc w:val="left"/>
              <w:textAlignment w:val="center"/>
              <w:rPr>
                <w:rFonts w:ascii="方正仿宋_GBK" w:hAnsi="方正仿宋_GBK" w:eastAsia="方正仿宋_GBK" w:cs="方正仿宋_GBK"/>
                <w:color w:val="000000"/>
                <w:sz w:val="24"/>
              </w:rPr>
            </w:pPr>
          </w:p>
        </w:tc>
      </w:tr>
      <w:tr w14:paraId="67D4A272">
        <w:tblPrEx>
          <w:tblCellMar>
            <w:top w:w="0" w:type="dxa"/>
            <w:left w:w="108" w:type="dxa"/>
            <w:bottom w:w="0" w:type="dxa"/>
            <w:right w:w="108" w:type="dxa"/>
          </w:tblCellMar>
        </w:tblPrEx>
        <w:trPr>
          <w:trHeight w:val="2647"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FEBE2">
            <w:pPr>
              <w:widowControl/>
              <w:adjustRightInd w:val="0"/>
              <w:snapToGrid w:val="0"/>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其他需要注明的事项以及对此次采购的意见与建议</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2C7EF">
            <w:pPr>
              <w:widowControl/>
              <w:adjustRightInd w:val="0"/>
              <w:snapToGrid w:val="0"/>
              <w:jc w:val="left"/>
              <w:rPr>
                <w:rFonts w:ascii="方正仿宋_GBK" w:hAnsi="方正仿宋_GBK" w:eastAsia="方正仿宋_GBK" w:cs="方正仿宋_GBK"/>
                <w:color w:val="000000"/>
                <w:sz w:val="24"/>
              </w:rPr>
            </w:pPr>
          </w:p>
        </w:tc>
      </w:tr>
      <w:tr w14:paraId="5BB44EFF">
        <w:tblPrEx>
          <w:tblCellMar>
            <w:top w:w="0" w:type="dxa"/>
            <w:left w:w="108" w:type="dxa"/>
            <w:bottom w:w="0" w:type="dxa"/>
            <w:right w:w="108" w:type="dxa"/>
          </w:tblCellMar>
        </w:tblPrEx>
        <w:trPr>
          <w:trHeight w:val="288" w:hRule="atLeast"/>
        </w:trPr>
        <w:tc>
          <w:tcPr>
            <w:tcW w:w="6547" w:type="dxa"/>
            <w:gridSpan w:val="3"/>
            <w:tcBorders>
              <w:top w:val="nil"/>
              <w:left w:val="nil"/>
              <w:bottom w:val="nil"/>
              <w:right w:val="nil"/>
            </w:tcBorders>
            <w:shd w:val="clear" w:color="auto" w:fill="auto"/>
            <w:noWrap/>
            <w:vAlign w:val="center"/>
          </w:tcPr>
          <w:p w14:paraId="1B053F44">
            <w:pPr>
              <w:widowControl/>
              <w:adjustRightInd w:val="0"/>
              <w:snapToGrid w:val="0"/>
              <w:jc w:val="right"/>
              <w:textAlignment w:val="center"/>
              <w:rPr>
                <w:rFonts w:ascii="方正仿宋_GBK" w:hAnsi="方正仿宋_GBK" w:eastAsia="方正仿宋_GBK" w:cs="方正仿宋_GBK"/>
                <w:color w:val="000000"/>
                <w:kern w:val="0"/>
                <w:sz w:val="28"/>
                <w:szCs w:val="28"/>
                <w:lang w:bidi="ar"/>
              </w:rPr>
            </w:pPr>
          </w:p>
          <w:p w14:paraId="45E07E49">
            <w:pPr>
              <w:widowControl/>
              <w:adjustRightInd w:val="0"/>
              <w:snapToGrid w:val="0"/>
              <w:jc w:val="right"/>
              <w:textAlignment w:val="center"/>
              <w:rPr>
                <w:rFonts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kern w:val="0"/>
                <w:sz w:val="28"/>
                <w:szCs w:val="28"/>
                <w:lang w:bidi="ar"/>
              </w:rPr>
              <w:t>供应商名称（加盖公章）：</w:t>
            </w:r>
          </w:p>
        </w:tc>
        <w:tc>
          <w:tcPr>
            <w:tcW w:w="2095" w:type="dxa"/>
            <w:tcBorders>
              <w:top w:val="nil"/>
              <w:left w:val="nil"/>
              <w:bottom w:val="nil"/>
              <w:right w:val="nil"/>
            </w:tcBorders>
            <w:shd w:val="clear" w:color="auto" w:fill="auto"/>
            <w:noWrap/>
            <w:vAlign w:val="center"/>
          </w:tcPr>
          <w:p w14:paraId="2880246D">
            <w:pPr>
              <w:widowControl/>
              <w:adjustRightInd w:val="0"/>
              <w:snapToGrid w:val="0"/>
              <w:rPr>
                <w:rFonts w:ascii="方正仿宋_GBK" w:hAnsi="方正仿宋_GBK" w:eastAsia="方正仿宋_GBK" w:cs="方正仿宋_GBK"/>
                <w:color w:val="000000"/>
                <w:sz w:val="28"/>
                <w:szCs w:val="28"/>
              </w:rPr>
            </w:pPr>
          </w:p>
        </w:tc>
      </w:tr>
      <w:tr w14:paraId="66D8B2B5">
        <w:tblPrEx>
          <w:tblCellMar>
            <w:top w:w="0" w:type="dxa"/>
            <w:left w:w="108" w:type="dxa"/>
            <w:bottom w:w="0" w:type="dxa"/>
            <w:right w:w="108" w:type="dxa"/>
          </w:tblCellMar>
        </w:tblPrEx>
        <w:trPr>
          <w:trHeight w:val="288" w:hRule="atLeast"/>
        </w:trPr>
        <w:tc>
          <w:tcPr>
            <w:tcW w:w="8642" w:type="dxa"/>
            <w:gridSpan w:val="4"/>
            <w:tcBorders>
              <w:top w:val="nil"/>
              <w:left w:val="nil"/>
              <w:bottom w:val="nil"/>
              <w:right w:val="nil"/>
            </w:tcBorders>
            <w:shd w:val="clear" w:color="auto" w:fill="auto"/>
            <w:noWrap/>
            <w:vAlign w:val="center"/>
          </w:tcPr>
          <w:p w14:paraId="05E1E86F">
            <w:pPr>
              <w:widowControl/>
              <w:adjustRightInd w:val="0"/>
              <w:snapToGrid w:val="0"/>
              <w:jc w:val="right"/>
              <w:textAlignment w:val="center"/>
              <w:rPr>
                <w:rFonts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kern w:val="0"/>
                <w:sz w:val="28"/>
                <w:szCs w:val="28"/>
                <w:lang w:bidi="ar"/>
              </w:rPr>
              <w:t>年    月     日</w:t>
            </w:r>
          </w:p>
        </w:tc>
      </w:tr>
    </w:tbl>
    <w:p w14:paraId="65A48AEF">
      <w:pPr>
        <w:rPr>
          <w:rFonts w:hint="eastAsia" w:ascii="方正黑体_GBK" w:hAnsi="方正黑体_GBK" w:eastAsia="方正黑体_GBK" w:cs="方正黑体_GBK"/>
          <w:color w:val="000000"/>
          <w:sz w:val="28"/>
          <w:szCs w:val="28"/>
          <w:lang w:val="en-US" w:eastAsia="zh-CN"/>
        </w:rPr>
      </w:pPr>
    </w:p>
    <w:p w14:paraId="1D360FE5">
      <w:pPr>
        <w:rPr>
          <w:rFonts w:hint="eastAsia" w:ascii="方正黑体_GBK" w:hAnsi="方正黑体_GBK" w:eastAsia="方正黑体_GBK" w:cs="方正黑体_GBK"/>
          <w:color w:val="000000"/>
          <w:sz w:val="32"/>
          <w:szCs w:val="32"/>
          <w:lang w:val="en-US" w:eastAsia="zh-CN"/>
        </w:rPr>
        <w:sectPr>
          <w:pgSz w:w="11906" w:h="16838"/>
          <w:pgMar w:top="1440" w:right="1800" w:bottom="1440" w:left="1800" w:header="851" w:footer="992" w:gutter="0"/>
          <w:cols w:space="425" w:num="1"/>
          <w:docGrid w:type="lines" w:linePitch="312" w:charSpace="0"/>
        </w:sectPr>
      </w:pPr>
    </w:p>
    <w:p w14:paraId="759FC0D1">
      <w:pPr>
        <w:tabs>
          <w:tab w:val="left" w:pos="5311"/>
        </w:tabs>
        <w:bidi w:val="0"/>
        <w:jc w:val="center"/>
        <w:outlineLvl w:val="9"/>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二、</w:t>
      </w:r>
      <w:r>
        <w:rPr>
          <w:rFonts w:hint="eastAsia" w:ascii="黑体" w:hAnsi="黑体" w:eastAsia="黑体" w:cs="黑体"/>
          <w:sz w:val="32"/>
          <w:szCs w:val="32"/>
        </w:rPr>
        <w:t>供应商营业执照</w:t>
      </w:r>
      <w:r>
        <w:rPr>
          <w:rFonts w:hint="eastAsia" w:ascii="方正仿宋_GBK" w:hAnsi="方正仿宋_GBK" w:eastAsia="方正仿宋_GBK" w:cs="方正仿宋_GBK"/>
          <w:color w:val="000000"/>
          <w:kern w:val="0"/>
          <w:sz w:val="24"/>
          <w:szCs w:val="24"/>
          <w:lang w:bidi="ar"/>
        </w:rPr>
        <w:t>（加盖公章）</w:t>
      </w:r>
    </w:p>
    <w:p w14:paraId="04657AD8">
      <w:pPr>
        <w:pStyle w:val="3"/>
        <w:rPr>
          <w:rFonts w:hint="eastAsia"/>
          <w:lang w:val="en-US" w:eastAsia="zh-CN"/>
        </w:rPr>
      </w:pPr>
    </w:p>
    <w:p w14:paraId="30314F0B">
      <w:pPr>
        <w:rPr>
          <w:rFonts w:hint="eastAsia"/>
          <w:lang w:val="en-US" w:eastAsia="zh-CN"/>
        </w:rPr>
      </w:pPr>
    </w:p>
    <w:p w14:paraId="283E9B41">
      <w:pPr>
        <w:pStyle w:val="3"/>
        <w:rPr>
          <w:rFonts w:hint="eastAsia"/>
          <w:lang w:val="en-US" w:eastAsia="zh-CN"/>
        </w:rPr>
      </w:pPr>
    </w:p>
    <w:p w14:paraId="33D25A32">
      <w:pPr>
        <w:rPr>
          <w:rFonts w:hint="eastAsia"/>
          <w:lang w:val="en-US" w:eastAsia="zh-CN"/>
        </w:rPr>
      </w:pPr>
    </w:p>
    <w:p w14:paraId="189357BD">
      <w:pPr>
        <w:pStyle w:val="3"/>
        <w:rPr>
          <w:rFonts w:hint="eastAsia"/>
          <w:lang w:val="en-US" w:eastAsia="zh-CN"/>
        </w:rPr>
      </w:pPr>
    </w:p>
    <w:p w14:paraId="644E796B">
      <w:pPr>
        <w:rPr>
          <w:rFonts w:hint="eastAsia"/>
          <w:lang w:val="en-US" w:eastAsia="zh-CN"/>
        </w:rPr>
      </w:pPr>
    </w:p>
    <w:p w14:paraId="762C18C4">
      <w:pPr>
        <w:pStyle w:val="3"/>
        <w:rPr>
          <w:rFonts w:hint="eastAsia"/>
          <w:lang w:val="en-US" w:eastAsia="zh-CN"/>
        </w:rPr>
      </w:pPr>
    </w:p>
    <w:p w14:paraId="70FFFA10">
      <w:pPr>
        <w:rPr>
          <w:rFonts w:hint="eastAsia"/>
          <w:lang w:val="en-US" w:eastAsia="zh-CN"/>
        </w:rPr>
      </w:pPr>
    </w:p>
    <w:p w14:paraId="2F11F3AB">
      <w:pPr>
        <w:pStyle w:val="3"/>
        <w:rPr>
          <w:rFonts w:hint="eastAsia"/>
          <w:lang w:val="en-US" w:eastAsia="zh-CN"/>
        </w:rPr>
      </w:pPr>
    </w:p>
    <w:p w14:paraId="0E6501D1">
      <w:pPr>
        <w:rPr>
          <w:rFonts w:hint="eastAsia"/>
          <w:lang w:val="en-US" w:eastAsia="zh-CN"/>
        </w:rPr>
      </w:pPr>
    </w:p>
    <w:p w14:paraId="32BB1DA8">
      <w:pPr>
        <w:pStyle w:val="3"/>
        <w:rPr>
          <w:rFonts w:hint="eastAsia"/>
          <w:lang w:val="en-US" w:eastAsia="zh-CN"/>
        </w:rPr>
      </w:pPr>
    </w:p>
    <w:p w14:paraId="67AE3B88">
      <w:pPr>
        <w:rPr>
          <w:rFonts w:hint="eastAsia"/>
          <w:lang w:val="en-US" w:eastAsia="zh-CN"/>
        </w:rPr>
      </w:pPr>
    </w:p>
    <w:p w14:paraId="11F29547">
      <w:pPr>
        <w:pStyle w:val="3"/>
        <w:rPr>
          <w:rFonts w:hint="eastAsia"/>
          <w:lang w:val="en-US" w:eastAsia="zh-CN"/>
        </w:rPr>
      </w:pPr>
    </w:p>
    <w:p w14:paraId="7CEFE5D9">
      <w:pPr>
        <w:rPr>
          <w:rFonts w:hint="eastAsia"/>
          <w:lang w:val="en-US" w:eastAsia="zh-CN"/>
        </w:rPr>
      </w:pPr>
    </w:p>
    <w:p w14:paraId="3B8B68A4">
      <w:pPr>
        <w:pStyle w:val="3"/>
        <w:rPr>
          <w:rFonts w:hint="eastAsia"/>
          <w:lang w:val="en-US" w:eastAsia="zh-CN"/>
        </w:rPr>
      </w:pPr>
    </w:p>
    <w:p w14:paraId="3BF35429">
      <w:pPr>
        <w:rPr>
          <w:rFonts w:hint="eastAsia"/>
          <w:lang w:val="en-US" w:eastAsia="zh-CN"/>
        </w:rPr>
      </w:pPr>
    </w:p>
    <w:p w14:paraId="787CEBCF">
      <w:pPr>
        <w:pStyle w:val="3"/>
        <w:rPr>
          <w:rFonts w:hint="eastAsia"/>
          <w:lang w:val="en-US" w:eastAsia="zh-CN"/>
        </w:rPr>
      </w:pPr>
    </w:p>
    <w:p w14:paraId="78F214EB">
      <w:pPr>
        <w:rPr>
          <w:rFonts w:hint="eastAsia"/>
          <w:lang w:val="en-US" w:eastAsia="zh-CN"/>
        </w:rPr>
      </w:pPr>
    </w:p>
    <w:p w14:paraId="6AD85742">
      <w:pPr>
        <w:pStyle w:val="3"/>
        <w:rPr>
          <w:rFonts w:hint="eastAsia"/>
          <w:lang w:val="en-US" w:eastAsia="zh-CN"/>
        </w:rPr>
      </w:pPr>
    </w:p>
    <w:p w14:paraId="7247037C">
      <w:pPr>
        <w:rPr>
          <w:rFonts w:hint="eastAsia"/>
          <w:lang w:val="en-US" w:eastAsia="zh-CN"/>
        </w:rPr>
      </w:pPr>
    </w:p>
    <w:p w14:paraId="4A4375DC">
      <w:pPr>
        <w:pStyle w:val="3"/>
        <w:rPr>
          <w:rFonts w:hint="eastAsia"/>
          <w:lang w:val="en-US" w:eastAsia="zh-CN"/>
        </w:rPr>
      </w:pPr>
    </w:p>
    <w:p w14:paraId="550A6016">
      <w:pPr>
        <w:rPr>
          <w:rFonts w:hint="eastAsia"/>
          <w:lang w:val="en-US" w:eastAsia="zh-CN"/>
        </w:rPr>
      </w:pPr>
    </w:p>
    <w:p w14:paraId="71E1CA60">
      <w:pPr>
        <w:pStyle w:val="3"/>
        <w:rPr>
          <w:rFonts w:hint="eastAsia"/>
          <w:lang w:val="en-US" w:eastAsia="zh-CN"/>
        </w:rPr>
      </w:pPr>
    </w:p>
    <w:p w14:paraId="52A18FD4">
      <w:pPr>
        <w:rPr>
          <w:rFonts w:hint="eastAsia"/>
          <w:lang w:val="en-US" w:eastAsia="zh-CN"/>
        </w:rPr>
      </w:pPr>
    </w:p>
    <w:p w14:paraId="2A81E6DD">
      <w:pPr>
        <w:pStyle w:val="3"/>
        <w:rPr>
          <w:rFonts w:hint="eastAsia"/>
          <w:lang w:val="en-US" w:eastAsia="zh-CN"/>
        </w:rPr>
      </w:pPr>
    </w:p>
    <w:p w14:paraId="37C6A0F9">
      <w:pPr>
        <w:rPr>
          <w:rFonts w:hint="eastAsia"/>
          <w:lang w:val="en-US" w:eastAsia="zh-CN"/>
        </w:rPr>
      </w:pPr>
    </w:p>
    <w:p w14:paraId="2E364484">
      <w:pPr>
        <w:pStyle w:val="3"/>
        <w:rPr>
          <w:rFonts w:hint="eastAsia"/>
          <w:lang w:val="en-US" w:eastAsia="zh-CN"/>
        </w:rPr>
      </w:pPr>
    </w:p>
    <w:p w14:paraId="6472F6B9">
      <w:pPr>
        <w:rPr>
          <w:rFonts w:hint="eastAsia"/>
          <w:lang w:val="en-US" w:eastAsia="zh-CN"/>
        </w:rPr>
      </w:pPr>
    </w:p>
    <w:p w14:paraId="08361134">
      <w:pPr>
        <w:pStyle w:val="3"/>
        <w:rPr>
          <w:rFonts w:hint="eastAsia"/>
          <w:lang w:val="en-US" w:eastAsia="zh-CN"/>
        </w:rPr>
      </w:pPr>
    </w:p>
    <w:p w14:paraId="6BC8FA90">
      <w:pPr>
        <w:rPr>
          <w:rFonts w:hint="eastAsia"/>
          <w:lang w:val="en-US" w:eastAsia="zh-CN"/>
        </w:rPr>
      </w:pPr>
    </w:p>
    <w:p w14:paraId="03D17036">
      <w:pPr>
        <w:pStyle w:val="3"/>
        <w:rPr>
          <w:rFonts w:hint="eastAsia"/>
          <w:lang w:val="en-US" w:eastAsia="zh-CN"/>
        </w:rPr>
      </w:pPr>
    </w:p>
    <w:p w14:paraId="5AEE765C">
      <w:pPr>
        <w:rPr>
          <w:rFonts w:hint="eastAsia"/>
          <w:lang w:val="en-US" w:eastAsia="zh-CN"/>
        </w:rPr>
      </w:pPr>
    </w:p>
    <w:p w14:paraId="1F7E0C0A">
      <w:pPr>
        <w:pStyle w:val="3"/>
        <w:rPr>
          <w:rFonts w:hint="eastAsia"/>
          <w:lang w:val="en-US" w:eastAsia="zh-CN"/>
        </w:rPr>
      </w:pPr>
    </w:p>
    <w:p w14:paraId="7708E2B2">
      <w:pPr>
        <w:rPr>
          <w:rFonts w:hint="eastAsia"/>
          <w:lang w:val="en-US" w:eastAsia="zh-CN"/>
        </w:rPr>
        <w:sectPr>
          <w:pgSz w:w="11906" w:h="16838"/>
          <w:pgMar w:top="1440" w:right="1800" w:bottom="1440" w:left="1800" w:header="851" w:footer="992" w:gutter="0"/>
          <w:cols w:space="425" w:num="1"/>
          <w:docGrid w:type="lines" w:linePitch="312" w:charSpace="0"/>
        </w:sectPr>
      </w:pPr>
    </w:p>
    <w:p w14:paraId="0804B25F">
      <w:pPr>
        <w:tabs>
          <w:tab w:val="left" w:pos="5311"/>
        </w:tabs>
        <w:bidi w:val="0"/>
        <w:jc w:val="center"/>
        <w:outlineLvl w:val="9"/>
        <w:rPr>
          <w:rFonts w:hint="default" w:ascii="方正黑体_GBK" w:hAnsi="方正黑体_GBK" w:eastAsia="方正黑体_GBK" w:cs="方正黑体_GBK"/>
          <w:kern w:val="2"/>
          <w:sz w:val="32"/>
          <w:szCs w:val="32"/>
          <w:lang w:val="en-US" w:eastAsia="zh-CN" w:bidi="ar-SA"/>
        </w:rPr>
      </w:pPr>
      <w:r>
        <w:rPr>
          <w:rFonts w:hint="default" w:ascii="方正黑体_GBK" w:hAnsi="方正黑体_GBK" w:eastAsia="方正黑体_GBK" w:cs="方正黑体_GBK"/>
          <w:kern w:val="2"/>
          <w:sz w:val="32"/>
          <w:szCs w:val="32"/>
          <w:lang w:val="en-US" w:eastAsia="zh-CN" w:bidi="ar-SA"/>
        </w:rPr>
        <w:t>三、产品介绍、详细技术参数等</w:t>
      </w:r>
    </w:p>
    <w:p w14:paraId="5EDB6272">
      <w:pPr>
        <w:pStyle w:val="3"/>
        <w:rPr>
          <w:rFonts w:hint="eastAsia"/>
          <w:lang w:val="en-US" w:eastAsia="zh-CN"/>
        </w:rPr>
      </w:pPr>
    </w:p>
    <w:p w14:paraId="2EC73EE4">
      <w:pPr>
        <w:rPr>
          <w:rFonts w:hint="eastAsia"/>
          <w:lang w:val="en-US" w:eastAsia="zh-CN"/>
        </w:rPr>
      </w:pPr>
    </w:p>
    <w:p w14:paraId="60708873">
      <w:pPr>
        <w:pStyle w:val="3"/>
        <w:rPr>
          <w:rFonts w:hint="eastAsia"/>
          <w:lang w:val="en-US" w:eastAsia="zh-CN"/>
        </w:rPr>
      </w:pPr>
    </w:p>
    <w:p w14:paraId="01976A9E">
      <w:pPr>
        <w:rPr>
          <w:rFonts w:hint="eastAsia"/>
          <w:lang w:val="en-US" w:eastAsia="zh-CN"/>
        </w:rPr>
      </w:pPr>
    </w:p>
    <w:p w14:paraId="7CF858A7">
      <w:pPr>
        <w:pStyle w:val="3"/>
        <w:rPr>
          <w:rFonts w:hint="eastAsia"/>
          <w:lang w:val="en-US" w:eastAsia="zh-CN"/>
        </w:rPr>
      </w:pPr>
    </w:p>
    <w:p w14:paraId="30EEA2C4">
      <w:pPr>
        <w:rPr>
          <w:rFonts w:hint="eastAsia"/>
          <w:lang w:val="en-US" w:eastAsia="zh-CN"/>
        </w:rPr>
      </w:pPr>
    </w:p>
    <w:p w14:paraId="37205C15">
      <w:pPr>
        <w:pStyle w:val="3"/>
        <w:rPr>
          <w:rFonts w:hint="eastAsia"/>
          <w:lang w:val="en-US" w:eastAsia="zh-CN"/>
        </w:rPr>
      </w:pPr>
    </w:p>
    <w:p w14:paraId="688E7D30">
      <w:pPr>
        <w:rPr>
          <w:rFonts w:hint="eastAsia"/>
          <w:lang w:val="en-US" w:eastAsia="zh-CN"/>
        </w:rPr>
      </w:pPr>
    </w:p>
    <w:p w14:paraId="5F960021">
      <w:pPr>
        <w:pStyle w:val="3"/>
        <w:rPr>
          <w:rFonts w:hint="eastAsia"/>
          <w:lang w:val="en-US" w:eastAsia="zh-CN"/>
        </w:rPr>
      </w:pPr>
    </w:p>
    <w:p w14:paraId="49FC1CB4">
      <w:pPr>
        <w:rPr>
          <w:rFonts w:hint="eastAsia"/>
          <w:lang w:val="en-US" w:eastAsia="zh-CN"/>
        </w:rPr>
      </w:pPr>
    </w:p>
    <w:p w14:paraId="69F6F583">
      <w:pPr>
        <w:pStyle w:val="3"/>
        <w:rPr>
          <w:rFonts w:hint="eastAsia"/>
          <w:lang w:val="en-US" w:eastAsia="zh-CN"/>
        </w:rPr>
      </w:pPr>
    </w:p>
    <w:p w14:paraId="2D352596">
      <w:pPr>
        <w:rPr>
          <w:rFonts w:hint="eastAsia"/>
          <w:lang w:val="en-US" w:eastAsia="zh-CN"/>
        </w:rPr>
      </w:pPr>
    </w:p>
    <w:p w14:paraId="71990A32">
      <w:pPr>
        <w:pStyle w:val="3"/>
        <w:rPr>
          <w:rFonts w:hint="eastAsia"/>
          <w:lang w:val="en-US" w:eastAsia="zh-CN"/>
        </w:rPr>
      </w:pPr>
    </w:p>
    <w:p w14:paraId="1D9AD557">
      <w:pPr>
        <w:rPr>
          <w:rFonts w:hint="eastAsia"/>
          <w:lang w:val="en-US" w:eastAsia="zh-CN"/>
        </w:rPr>
      </w:pPr>
    </w:p>
    <w:p w14:paraId="4778A151">
      <w:pPr>
        <w:pStyle w:val="3"/>
        <w:rPr>
          <w:rFonts w:hint="eastAsia"/>
          <w:lang w:val="en-US" w:eastAsia="zh-CN"/>
        </w:rPr>
      </w:pPr>
    </w:p>
    <w:p w14:paraId="35B62C5F">
      <w:pPr>
        <w:rPr>
          <w:rFonts w:hint="eastAsia"/>
          <w:lang w:val="en-US" w:eastAsia="zh-CN"/>
        </w:rPr>
      </w:pPr>
    </w:p>
    <w:p w14:paraId="11785B73">
      <w:pPr>
        <w:pStyle w:val="3"/>
        <w:rPr>
          <w:rFonts w:hint="eastAsia"/>
          <w:lang w:val="en-US" w:eastAsia="zh-CN"/>
        </w:rPr>
      </w:pPr>
    </w:p>
    <w:p w14:paraId="05B7B008">
      <w:pPr>
        <w:rPr>
          <w:rFonts w:hint="eastAsia"/>
          <w:lang w:val="en-US" w:eastAsia="zh-CN"/>
        </w:rPr>
      </w:pPr>
    </w:p>
    <w:p w14:paraId="3746460D">
      <w:pPr>
        <w:pStyle w:val="3"/>
        <w:rPr>
          <w:rFonts w:hint="eastAsia"/>
          <w:lang w:val="en-US" w:eastAsia="zh-CN"/>
        </w:rPr>
      </w:pPr>
    </w:p>
    <w:p w14:paraId="213AC928">
      <w:pPr>
        <w:rPr>
          <w:rFonts w:hint="eastAsia"/>
          <w:lang w:val="en-US" w:eastAsia="zh-CN"/>
        </w:rPr>
      </w:pPr>
    </w:p>
    <w:p w14:paraId="4DE14189">
      <w:pPr>
        <w:pStyle w:val="3"/>
        <w:rPr>
          <w:rFonts w:hint="eastAsia"/>
          <w:lang w:val="en-US" w:eastAsia="zh-CN"/>
        </w:rPr>
      </w:pPr>
    </w:p>
    <w:p w14:paraId="3FD542E8">
      <w:pPr>
        <w:rPr>
          <w:rFonts w:hint="eastAsia"/>
          <w:lang w:val="en-US" w:eastAsia="zh-CN"/>
        </w:rPr>
      </w:pPr>
    </w:p>
    <w:p w14:paraId="3F4C6E9F">
      <w:pPr>
        <w:rPr>
          <w:rFonts w:hint="eastAsia"/>
          <w:lang w:val="en-US" w:eastAsia="zh-CN"/>
        </w:rPr>
      </w:pPr>
    </w:p>
    <w:p w14:paraId="248FB11A">
      <w:pPr>
        <w:rPr>
          <w:rFonts w:hint="eastAsia"/>
          <w:lang w:val="en-US" w:eastAsia="zh-CN"/>
        </w:rPr>
      </w:pPr>
    </w:p>
    <w:p w14:paraId="15123E11">
      <w:pPr>
        <w:rPr>
          <w:rFonts w:hint="eastAsia"/>
          <w:lang w:val="en-US" w:eastAsia="zh-CN"/>
        </w:rPr>
      </w:pPr>
    </w:p>
    <w:p w14:paraId="0AB4DCED">
      <w:pPr>
        <w:rPr>
          <w:rFonts w:hint="eastAsia"/>
          <w:lang w:val="en-US" w:eastAsia="zh-CN"/>
        </w:rPr>
      </w:pPr>
    </w:p>
    <w:p w14:paraId="515EE155">
      <w:pPr>
        <w:rPr>
          <w:rFonts w:hint="eastAsia"/>
          <w:lang w:val="en-US" w:eastAsia="zh-CN"/>
        </w:rPr>
      </w:pPr>
    </w:p>
    <w:p w14:paraId="7FAA8C0F">
      <w:pPr>
        <w:pStyle w:val="3"/>
        <w:rPr>
          <w:rFonts w:hint="eastAsia"/>
          <w:lang w:val="en-US" w:eastAsia="zh-CN"/>
        </w:rPr>
      </w:pPr>
    </w:p>
    <w:p w14:paraId="10571A2A">
      <w:pPr>
        <w:rPr>
          <w:rFonts w:hint="eastAsia"/>
          <w:lang w:val="en-US" w:eastAsia="zh-CN"/>
        </w:rPr>
      </w:pPr>
    </w:p>
    <w:p w14:paraId="515FFD98">
      <w:pPr>
        <w:pStyle w:val="3"/>
        <w:rPr>
          <w:rFonts w:hint="eastAsia"/>
          <w:lang w:val="en-US" w:eastAsia="zh-CN"/>
        </w:rPr>
      </w:pPr>
    </w:p>
    <w:p w14:paraId="2D04B289">
      <w:pPr>
        <w:rPr>
          <w:rFonts w:hint="eastAsia"/>
          <w:lang w:val="en-US" w:eastAsia="zh-CN"/>
        </w:rPr>
      </w:pPr>
    </w:p>
    <w:p w14:paraId="399CF820">
      <w:pPr>
        <w:pStyle w:val="3"/>
        <w:rPr>
          <w:rFonts w:hint="eastAsia"/>
          <w:lang w:val="en-US" w:eastAsia="zh-CN"/>
        </w:rPr>
      </w:pPr>
    </w:p>
    <w:p w14:paraId="5D3E79C6">
      <w:pPr>
        <w:rPr>
          <w:rFonts w:hint="eastAsia"/>
          <w:lang w:val="en-US" w:eastAsia="zh-CN"/>
        </w:rPr>
      </w:pPr>
    </w:p>
    <w:p w14:paraId="57EBA3F3">
      <w:pPr>
        <w:pStyle w:val="3"/>
        <w:rPr>
          <w:rFonts w:hint="eastAsia"/>
          <w:lang w:val="en-US" w:eastAsia="zh-CN"/>
        </w:rPr>
      </w:pPr>
    </w:p>
    <w:p w14:paraId="5F378FD3">
      <w:pPr>
        <w:rPr>
          <w:rFonts w:hint="eastAsia"/>
          <w:lang w:val="en-US" w:eastAsia="zh-CN"/>
        </w:rPr>
      </w:pPr>
    </w:p>
    <w:p w14:paraId="171A8B7F">
      <w:pPr>
        <w:pStyle w:val="3"/>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D51B9B"/>
    <w:multiLevelType w:val="singleLevel"/>
    <w:tmpl w:val="9BD51B9B"/>
    <w:lvl w:ilvl="0" w:tentative="0">
      <w:start w:val="1"/>
      <w:numFmt w:val="decimal"/>
      <w:suff w:val="nothing"/>
      <w:lvlText w:val="（%1）"/>
      <w:lvlJc w:val="left"/>
    </w:lvl>
  </w:abstractNum>
  <w:abstractNum w:abstractNumId="1">
    <w:nsid w:val="AE8D1196"/>
    <w:multiLevelType w:val="singleLevel"/>
    <w:tmpl w:val="AE8D1196"/>
    <w:lvl w:ilvl="0" w:tentative="0">
      <w:start w:val="1"/>
      <w:numFmt w:val="decimal"/>
      <w:suff w:val="nothing"/>
      <w:lvlText w:val="（%1）"/>
      <w:lvlJc w:val="left"/>
    </w:lvl>
  </w:abstractNum>
  <w:abstractNum w:abstractNumId="2">
    <w:nsid w:val="B8DFA74E"/>
    <w:multiLevelType w:val="singleLevel"/>
    <w:tmpl w:val="B8DFA74E"/>
    <w:lvl w:ilvl="0" w:tentative="0">
      <w:start w:val="1"/>
      <w:numFmt w:val="decimal"/>
      <w:suff w:val="nothing"/>
      <w:lvlText w:val="（%1）"/>
      <w:lvlJc w:val="left"/>
    </w:lvl>
  </w:abstractNum>
  <w:abstractNum w:abstractNumId="3">
    <w:nsid w:val="E15E3F30"/>
    <w:multiLevelType w:val="singleLevel"/>
    <w:tmpl w:val="E15E3F30"/>
    <w:lvl w:ilvl="0" w:tentative="0">
      <w:start w:val="1"/>
      <w:numFmt w:val="decimal"/>
      <w:suff w:val="nothing"/>
      <w:lvlText w:val="（%1）"/>
      <w:lvlJc w:val="left"/>
    </w:lvl>
  </w:abstractNum>
  <w:abstractNum w:abstractNumId="4">
    <w:nsid w:val="12319659"/>
    <w:multiLevelType w:val="singleLevel"/>
    <w:tmpl w:val="12319659"/>
    <w:lvl w:ilvl="0" w:tentative="0">
      <w:start w:val="1"/>
      <w:numFmt w:val="chineseCounting"/>
      <w:suff w:val="nothing"/>
      <w:lvlText w:val="%1、"/>
      <w:lvlJc w:val="left"/>
      <w:pPr>
        <w:ind w:left="0" w:firstLine="420"/>
      </w:pPr>
      <w:rPr>
        <w:rFonts w:hint="eastAsia"/>
      </w:rPr>
    </w:lvl>
  </w:abstractNum>
  <w:abstractNum w:abstractNumId="5">
    <w:nsid w:val="1BACDD58"/>
    <w:multiLevelType w:val="singleLevel"/>
    <w:tmpl w:val="1BACDD58"/>
    <w:lvl w:ilvl="0" w:tentative="0">
      <w:start w:val="1"/>
      <w:numFmt w:val="decimal"/>
      <w:suff w:val="nothing"/>
      <w:lvlText w:val="（%1）"/>
      <w:lvlJc w:val="left"/>
    </w:lvl>
  </w:abstractNum>
  <w:abstractNum w:abstractNumId="6">
    <w:nsid w:val="1CFB74E9"/>
    <w:multiLevelType w:val="singleLevel"/>
    <w:tmpl w:val="1CFB74E9"/>
    <w:lvl w:ilvl="0" w:tentative="0">
      <w:start w:val="1"/>
      <w:numFmt w:val="chineseCounting"/>
      <w:suff w:val="nothing"/>
      <w:lvlText w:val="%1、"/>
      <w:lvlJc w:val="left"/>
      <w:rPr>
        <w:rFonts w:hint="eastAsia"/>
      </w:rPr>
    </w:lvl>
  </w:abstractNum>
  <w:abstractNum w:abstractNumId="7">
    <w:nsid w:val="3DAA1B63"/>
    <w:multiLevelType w:val="singleLevel"/>
    <w:tmpl w:val="3DAA1B63"/>
    <w:lvl w:ilvl="0" w:tentative="0">
      <w:start w:val="1"/>
      <w:numFmt w:val="decimal"/>
      <w:suff w:val="nothing"/>
      <w:lvlText w:val="（%1）"/>
      <w:lvlJc w:val="left"/>
    </w:lvl>
  </w:abstractNum>
  <w:abstractNum w:abstractNumId="8">
    <w:nsid w:val="6341DC8C"/>
    <w:multiLevelType w:val="singleLevel"/>
    <w:tmpl w:val="6341DC8C"/>
    <w:lvl w:ilvl="0" w:tentative="0">
      <w:start w:val="1"/>
      <w:numFmt w:val="decimal"/>
      <w:suff w:val="nothing"/>
      <w:lvlText w:val="（%1）"/>
      <w:lvlJc w:val="left"/>
    </w:lvl>
  </w:abstractNum>
  <w:abstractNum w:abstractNumId="9">
    <w:nsid w:val="6A9CCB49"/>
    <w:multiLevelType w:val="singleLevel"/>
    <w:tmpl w:val="6A9CCB49"/>
    <w:lvl w:ilvl="0" w:tentative="0">
      <w:start w:val="1"/>
      <w:numFmt w:val="decimal"/>
      <w:suff w:val="nothing"/>
      <w:lvlText w:val="（%1）"/>
      <w:lvlJc w:val="left"/>
    </w:lvl>
  </w:abstractNum>
  <w:abstractNum w:abstractNumId="10">
    <w:nsid w:val="7BA999F8"/>
    <w:multiLevelType w:val="singleLevel"/>
    <w:tmpl w:val="7BA999F8"/>
    <w:lvl w:ilvl="0" w:tentative="0">
      <w:start w:val="1"/>
      <w:numFmt w:val="decimal"/>
      <w:suff w:val="nothing"/>
      <w:lvlText w:val="（%1）"/>
      <w:lvlJc w:val="left"/>
    </w:lvl>
  </w:abstractNum>
  <w:abstractNum w:abstractNumId="11">
    <w:nsid w:val="7E4CC41F"/>
    <w:multiLevelType w:val="singleLevel"/>
    <w:tmpl w:val="7E4CC41F"/>
    <w:lvl w:ilvl="0" w:tentative="0">
      <w:start w:val="1"/>
      <w:numFmt w:val="decimal"/>
      <w:suff w:val="nothing"/>
      <w:lvlText w:val="（%1）"/>
      <w:lvlJc w:val="left"/>
    </w:lvl>
  </w:abstractNum>
  <w:num w:numId="1">
    <w:abstractNumId w:val="6"/>
  </w:num>
  <w:num w:numId="2">
    <w:abstractNumId w:val="4"/>
  </w:num>
  <w:num w:numId="3">
    <w:abstractNumId w:val="3"/>
  </w:num>
  <w:num w:numId="4">
    <w:abstractNumId w:val="1"/>
  </w:num>
  <w:num w:numId="5">
    <w:abstractNumId w:val="5"/>
  </w:num>
  <w:num w:numId="6">
    <w:abstractNumId w:val="11"/>
  </w:num>
  <w:num w:numId="7">
    <w:abstractNumId w:val="10"/>
  </w:num>
  <w:num w:numId="8">
    <w:abstractNumId w:val="7"/>
  </w:num>
  <w:num w:numId="9">
    <w:abstractNumId w:val="8"/>
  </w:num>
  <w:num w:numId="10">
    <w:abstractNumId w:val="9"/>
  </w:num>
  <w:num w:numId="11">
    <w:abstractNumId w:val="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hODc5OTljNDJiZTI1YzdhYmMzZWE3YmU1YWYyNDcifQ=="/>
  </w:docVars>
  <w:rsids>
    <w:rsidRoot w:val="00000000"/>
    <w:rsid w:val="009A7605"/>
    <w:rsid w:val="00B13186"/>
    <w:rsid w:val="00FF56BA"/>
    <w:rsid w:val="01347A59"/>
    <w:rsid w:val="01505F15"/>
    <w:rsid w:val="01685AF7"/>
    <w:rsid w:val="018D0F17"/>
    <w:rsid w:val="0192652E"/>
    <w:rsid w:val="01B6046E"/>
    <w:rsid w:val="01E46D89"/>
    <w:rsid w:val="02587777"/>
    <w:rsid w:val="028D5673"/>
    <w:rsid w:val="02E66B31"/>
    <w:rsid w:val="0334789D"/>
    <w:rsid w:val="048E7480"/>
    <w:rsid w:val="04DF3C4E"/>
    <w:rsid w:val="05AA2098"/>
    <w:rsid w:val="05AC4062"/>
    <w:rsid w:val="066606B5"/>
    <w:rsid w:val="07640484"/>
    <w:rsid w:val="077B0190"/>
    <w:rsid w:val="08234384"/>
    <w:rsid w:val="08307EB8"/>
    <w:rsid w:val="08B60D54"/>
    <w:rsid w:val="08D613F6"/>
    <w:rsid w:val="0922463B"/>
    <w:rsid w:val="09FE29B2"/>
    <w:rsid w:val="0B642CE9"/>
    <w:rsid w:val="0BF24799"/>
    <w:rsid w:val="0BFF44F8"/>
    <w:rsid w:val="0C594818"/>
    <w:rsid w:val="0CDB347F"/>
    <w:rsid w:val="0D0E115E"/>
    <w:rsid w:val="0D211A66"/>
    <w:rsid w:val="0E686F94"/>
    <w:rsid w:val="0E71409B"/>
    <w:rsid w:val="0F474DFC"/>
    <w:rsid w:val="0F953DB9"/>
    <w:rsid w:val="10401F77"/>
    <w:rsid w:val="10C04E65"/>
    <w:rsid w:val="10C1473A"/>
    <w:rsid w:val="113868AB"/>
    <w:rsid w:val="11643A43"/>
    <w:rsid w:val="11D5049D"/>
    <w:rsid w:val="120E39AF"/>
    <w:rsid w:val="12CD4BAE"/>
    <w:rsid w:val="14EF1875"/>
    <w:rsid w:val="154C316C"/>
    <w:rsid w:val="15C471A6"/>
    <w:rsid w:val="16B70AB9"/>
    <w:rsid w:val="17005FBC"/>
    <w:rsid w:val="170A508C"/>
    <w:rsid w:val="17921499"/>
    <w:rsid w:val="17B02605"/>
    <w:rsid w:val="17C808EC"/>
    <w:rsid w:val="18413BC7"/>
    <w:rsid w:val="18CD2CE4"/>
    <w:rsid w:val="1A642D06"/>
    <w:rsid w:val="1A810220"/>
    <w:rsid w:val="1BB455C7"/>
    <w:rsid w:val="1C2E0579"/>
    <w:rsid w:val="1C6D6F36"/>
    <w:rsid w:val="1CC01D49"/>
    <w:rsid w:val="1CD04682"/>
    <w:rsid w:val="1CEE03EC"/>
    <w:rsid w:val="1D0E51AB"/>
    <w:rsid w:val="1D503F4B"/>
    <w:rsid w:val="1DB95116"/>
    <w:rsid w:val="1DFD6643"/>
    <w:rsid w:val="1E0740D4"/>
    <w:rsid w:val="1EAF02C7"/>
    <w:rsid w:val="1F417171"/>
    <w:rsid w:val="1F645556"/>
    <w:rsid w:val="1FB578D4"/>
    <w:rsid w:val="1FCF6E73"/>
    <w:rsid w:val="1FFE76C5"/>
    <w:rsid w:val="20016901"/>
    <w:rsid w:val="20407429"/>
    <w:rsid w:val="20BC4F1C"/>
    <w:rsid w:val="20E71F9A"/>
    <w:rsid w:val="21AD0AEE"/>
    <w:rsid w:val="226118D9"/>
    <w:rsid w:val="226A4C31"/>
    <w:rsid w:val="22E04EF3"/>
    <w:rsid w:val="232F19D7"/>
    <w:rsid w:val="233A0AA7"/>
    <w:rsid w:val="23B51EDC"/>
    <w:rsid w:val="23C91E2B"/>
    <w:rsid w:val="2409047A"/>
    <w:rsid w:val="246F29D3"/>
    <w:rsid w:val="24C90335"/>
    <w:rsid w:val="24F42ED8"/>
    <w:rsid w:val="25076767"/>
    <w:rsid w:val="25592D3B"/>
    <w:rsid w:val="26AC3A6A"/>
    <w:rsid w:val="2734580E"/>
    <w:rsid w:val="28215D92"/>
    <w:rsid w:val="285D4F91"/>
    <w:rsid w:val="28B9421C"/>
    <w:rsid w:val="290F02E0"/>
    <w:rsid w:val="29E10ED5"/>
    <w:rsid w:val="2A756066"/>
    <w:rsid w:val="2AB845D9"/>
    <w:rsid w:val="2BAE2291"/>
    <w:rsid w:val="2BEE0681"/>
    <w:rsid w:val="2CA90A4C"/>
    <w:rsid w:val="2E3031D3"/>
    <w:rsid w:val="2E7941B2"/>
    <w:rsid w:val="2EA4771D"/>
    <w:rsid w:val="2EF35FAE"/>
    <w:rsid w:val="2F9E416C"/>
    <w:rsid w:val="2FBA72A2"/>
    <w:rsid w:val="305E54D0"/>
    <w:rsid w:val="30843362"/>
    <w:rsid w:val="30CD2F5B"/>
    <w:rsid w:val="30FA3624"/>
    <w:rsid w:val="311D3236"/>
    <w:rsid w:val="312863E3"/>
    <w:rsid w:val="312B5ED3"/>
    <w:rsid w:val="313F372D"/>
    <w:rsid w:val="325B4596"/>
    <w:rsid w:val="32873747"/>
    <w:rsid w:val="32AE2918"/>
    <w:rsid w:val="32BD2B5B"/>
    <w:rsid w:val="334750CE"/>
    <w:rsid w:val="34155C30"/>
    <w:rsid w:val="343C3BE2"/>
    <w:rsid w:val="34D1580F"/>
    <w:rsid w:val="35301D0A"/>
    <w:rsid w:val="35CD1307"/>
    <w:rsid w:val="35D30719"/>
    <w:rsid w:val="364D069A"/>
    <w:rsid w:val="36557C1C"/>
    <w:rsid w:val="37472C35"/>
    <w:rsid w:val="37DD15AA"/>
    <w:rsid w:val="38AC16A8"/>
    <w:rsid w:val="38B95B73"/>
    <w:rsid w:val="38F60B75"/>
    <w:rsid w:val="39461AFC"/>
    <w:rsid w:val="39CB45DC"/>
    <w:rsid w:val="39F23A32"/>
    <w:rsid w:val="3A2D0CD8"/>
    <w:rsid w:val="3A3F02FA"/>
    <w:rsid w:val="3A995C5C"/>
    <w:rsid w:val="3AF70469"/>
    <w:rsid w:val="3B4200A1"/>
    <w:rsid w:val="3B443E1A"/>
    <w:rsid w:val="3B64626A"/>
    <w:rsid w:val="3B852D3F"/>
    <w:rsid w:val="3DF5589F"/>
    <w:rsid w:val="3EA6303D"/>
    <w:rsid w:val="3F47037C"/>
    <w:rsid w:val="3F4A7E6C"/>
    <w:rsid w:val="409C64A6"/>
    <w:rsid w:val="40E37C31"/>
    <w:rsid w:val="40F57964"/>
    <w:rsid w:val="422C5607"/>
    <w:rsid w:val="425D3A13"/>
    <w:rsid w:val="42725710"/>
    <w:rsid w:val="42FF4ACA"/>
    <w:rsid w:val="432E3DDB"/>
    <w:rsid w:val="437E00E5"/>
    <w:rsid w:val="43835804"/>
    <w:rsid w:val="43FD725B"/>
    <w:rsid w:val="445A2900"/>
    <w:rsid w:val="448259B3"/>
    <w:rsid w:val="45356EC9"/>
    <w:rsid w:val="469F284C"/>
    <w:rsid w:val="46F26E20"/>
    <w:rsid w:val="47017063"/>
    <w:rsid w:val="478D4D9A"/>
    <w:rsid w:val="479733DA"/>
    <w:rsid w:val="48217291"/>
    <w:rsid w:val="48233009"/>
    <w:rsid w:val="48AE6D76"/>
    <w:rsid w:val="49211C3E"/>
    <w:rsid w:val="4A865963"/>
    <w:rsid w:val="4AA30431"/>
    <w:rsid w:val="4B374382"/>
    <w:rsid w:val="4C2F4672"/>
    <w:rsid w:val="4C35155C"/>
    <w:rsid w:val="4C4109BC"/>
    <w:rsid w:val="4C716A38"/>
    <w:rsid w:val="4C7622A1"/>
    <w:rsid w:val="4CEE1E37"/>
    <w:rsid w:val="4CFA4C80"/>
    <w:rsid w:val="4D981DA3"/>
    <w:rsid w:val="4DC42B98"/>
    <w:rsid w:val="4E1276A7"/>
    <w:rsid w:val="4E773B5A"/>
    <w:rsid w:val="4EA053B3"/>
    <w:rsid w:val="4F7F321A"/>
    <w:rsid w:val="4FA964E9"/>
    <w:rsid w:val="4FDC68BF"/>
    <w:rsid w:val="4FE40AF7"/>
    <w:rsid w:val="50412BC6"/>
    <w:rsid w:val="50B27620"/>
    <w:rsid w:val="5160707C"/>
    <w:rsid w:val="51FE0D6E"/>
    <w:rsid w:val="52382C50"/>
    <w:rsid w:val="52BF62C6"/>
    <w:rsid w:val="52CF6267"/>
    <w:rsid w:val="530A54F1"/>
    <w:rsid w:val="53635D9D"/>
    <w:rsid w:val="53884C19"/>
    <w:rsid w:val="53BD6A07"/>
    <w:rsid w:val="53D6609D"/>
    <w:rsid w:val="541A0123"/>
    <w:rsid w:val="542B571F"/>
    <w:rsid w:val="551B1C37"/>
    <w:rsid w:val="55412C40"/>
    <w:rsid w:val="55472A2C"/>
    <w:rsid w:val="555E7D76"/>
    <w:rsid w:val="561D553B"/>
    <w:rsid w:val="5689497F"/>
    <w:rsid w:val="569C6DA8"/>
    <w:rsid w:val="57392849"/>
    <w:rsid w:val="57D85BBE"/>
    <w:rsid w:val="57F05998"/>
    <w:rsid w:val="581035A9"/>
    <w:rsid w:val="58705DF6"/>
    <w:rsid w:val="58726012"/>
    <w:rsid w:val="587A4EC7"/>
    <w:rsid w:val="58A21967"/>
    <w:rsid w:val="58B32187"/>
    <w:rsid w:val="590D7C9E"/>
    <w:rsid w:val="594B0611"/>
    <w:rsid w:val="59F12F67"/>
    <w:rsid w:val="5A403EEE"/>
    <w:rsid w:val="5A861664"/>
    <w:rsid w:val="5AC661A1"/>
    <w:rsid w:val="5AE825BC"/>
    <w:rsid w:val="5BD14DFE"/>
    <w:rsid w:val="5C761E49"/>
    <w:rsid w:val="5CBB7301"/>
    <w:rsid w:val="5D437F7D"/>
    <w:rsid w:val="5D731EE5"/>
    <w:rsid w:val="5E72377C"/>
    <w:rsid w:val="5E7C30F9"/>
    <w:rsid w:val="5FE5531C"/>
    <w:rsid w:val="601A54E4"/>
    <w:rsid w:val="6089214B"/>
    <w:rsid w:val="609E5A0A"/>
    <w:rsid w:val="60E21690"/>
    <w:rsid w:val="622D6B06"/>
    <w:rsid w:val="62467BC8"/>
    <w:rsid w:val="628A03FC"/>
    <w:rsid w:val="62976675"/>
    <w:rsid w:val="62A74C2A"/>
    <w:rsid w:val="633A3BD0"/>
    <w:rsid w:val="63C4329E"/>
    <w:rsid w:val="64502F80"/>
    <w:rsid w:val="64B33C3A"/>
    <w:rsid w:val="64D94D23"/>
    <w:rsid w:val="64F34037"/>
    <w:rsid w:val="65044496"/>
    <w:rsid w:val="654E3963"/>
    <w:rsid w:val="65AB2B63"/>
    <w:rsid w:val="66042274"/>
    <w:rsid w:val="66822AB6"/>
    <w:rsid w:val="680E2F36"/>
    <w:rsid w:val="68CA77A4"/>
    <w:rsid w:val="6962178B"/>
    <w:rsid w:val="69670B4F"/>
    <w:rsid w:val="6A55309E"/>
    <w:rsid w:val="6A664983"/>
    <w:rsid w:val="6A687275"/>
    <w:rsid w:val="6ADE5F45"/>
    <w:rsid w:val="6CAE6A95"/>
    <w:rsid w:val="6D0A6AB5"/>
    <w:rsid w:val="6DBA1171"/>
    <w:rsid w:val="6DC76061"/>
    <w:rsid w:val="6E5269DE"/>
    <w:rsid w:val="6EF763A3"/>
    <w:rsid w:val="6F2C3D0E"/>
    <w:rsid w:val="6F343BCA"/>
    <w:rsid w:val="6FA40C91"/>
    <w:rsid w:val="6FAA0A87"/>
    <w:rsid w:val="6FCF744E"/>
    <w:rsid w:val="704936A5"/>
    <w:rsid w:val="70585696"/>
    <w:rsid w:val="70710506"/>
    <w:rsid w:val="70BA3C5B"/>
    <w:rsid w:val="717464FF"/>
    <w:rsid w:val="71AC3EEB"/>
    <w:rsid w:val="71C14E75"/>
    <w:rsid w:val="72422C3F"/>
    <w:rsid w:val="7249173A"/>
    <w:rsid w:val="72916C3D"/>
    <w:rsid w:val="72C708B1"/>
    <w:rsid w:val="72EB27F1"/>
    <w:rsid w:val="737305B5"/>
    <w:rsid w:val="737C78ED"/>
    <w:rsid w:val="73AF5389"/>
    <w:rsid w:val="73E536E4"/>
    <w:rsid w:val="74624D35"/>
    <w:rsid w:val="747405C4"/>
    <w:rsid w:val="755D08C7"/>
    <w:rsid w:val="759A01D3"/>
    <w:rsid w:val="760A11E0"/>
    <w:rsid w:val="765E32DA"/>
    <w:rsid w:val="768216BE"/>
    <w:rsid w:val="76A258BD"/>
    <w:rsid w:val="76AD7DBE"/>
    <w:rsid w:val="76AF7FDA"/>
    <w:rsid w:val="770C7295"/>
    <w:rsid w:val="77AA11D0"/>
    <w:rsid w:val="77AE203F"/>
    <w:rsid w:val="77CD0717"/>
    <w:rsid w:val="7811647C"/>
    <w:rsid w:val="788F00C3"/>
    <w:rsid w:val="79DD09BA"/>
    <w:rsid w:val="7A195E96"/>
    <w:rsid w:val="7A1A39BC"/>
    <w:rsid w:val="7AC322A6"/>
    <w:rsid w:val="7B935143"/>
    <w:rsid w:val="7BA774D1"/>
    <w:rsid w:val="7C980EEF"/>
    <w:rsid w:val="7CB73744"/>
    <w:rsid w:val="7CF566CD"/>
    <w:rsid w:val="7D7F279B"/>
    <w:rsid w:val="7D80447E"/>
    <w:rsid w:val="7E2A4F52"/>
    <w:rsid w:val="7E5A0741"/>
    <w:rsid w:val="7F5B485B"/>
    <w:rsid w:val="7FE174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qFormat/>
    <w:uiPriority w:val="0"/>
    <w:pPr>
      <w:keepNext/>
      <w:keepLines/>
      <w:spacing w:before="260" w:after="260" w:line="413" w:lineRule="auto"/>
      <w:jc w:val="center"/>
      <w:outlineLvl w:val="2"/>
    </w:pPr>
    <w:rPr>
      <w:b/>
      <w:sz w:val="44"/>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4"/>
    <w:autoRedefine/>
    <w:unhideWhenUsed/>
    <w:qFormat/>
    <w:uiPriority w:val="99"/>
    <w:pPr>
      <w:spacing w:after="120"/>
    </w:pPr>
  </w:style>
  <w:style w:type="paragraph" w:styleId="4">
    <w:name w:val="Subtitle"/>
    <w:basedOn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5">
    <w:name w:val="Body Text Indent"/>
    <w:basedOn w:val="1"/>
    <w:next w:val="6"/>
    <w:autoRedefine/>
    <w:qFormat/>
    <w:uiPriority w:val="0"/>
    <w:pPr>
      <w:spacing w:line="700" w:lineRule="exact"/>
      <w:ind w:left="960"/>
    </w:pPr>
    <w:rPr>
      <w:sz w:val="44"/>
    </w:rPr>
  </w:style>
  <w:style w:type="paragraph" w:styleId="6">
    <w:name w:val="envelope return"/>
    <w:basedOn w:val="1"/>
    <w:autoRedefine/>
    <w:unhideWhenUsed/>
    <w:qFormat/>
    <w:uiPriority w:val="99"/>
    <w:pPr>
      <w:snapToGrid w:val="0"/>
    </w:pPr>
    <w:rPr>
      <w:rFonts w:ascii="Arial" w:hAnsi="Arial"/>
    </w:rPr>
  </w:style>
  <w:style w:type="paragraph" w:styleId="7">
    <w:name w:val="Balloon Text"/>
    <w:basedOn w:val="1"/>
    <w:autoRedefine/>
    <w:qFormat/>
    <w:uiPriority w:val="0"/>
    <w:rPr>
      <w:sz w:val="18"/>
      <w:szCs w:val="18"/>
    </w:r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w:basedOn w:val="3"/>
    <w:autoRedefine/>
    <w:qFormat/>
    <w:uiPriority w:val="0"/>
    <w:pPr>
      <w:spacing w:line="360" w:lineRule="auto"/>
      <w:ind w:firstLine="420"/>
    </w:pPr>
    <w:rPr>
      <w:rFonts w:ascii="宋体" w:hAnsi="宋体"/>
      <w:sz w:val="24"/>
    </w:rPr>
  </w:style>
  <w:style w:type="paragraph" w:styleId="11">
    <w:name w:val="Body Text First Indent 2"/>
    <w:basedOn w:val="5"/>
    <w:next w:val="10"/>
    <w:autoRedefine/>
    <w:qFormat/>
    <w:uiPriority w:val="0"/>
    <w:pPr>
      <w:spacing w:after="120" w:afterLines="0" w:afterAutospacing="0" w:line="240" w:lineRule="auto"/>
      <w:ind w:left="420" w:leftChars="200" w:firstLine="420" w:firstLineChars="200"/>
    </w:pPr>
    <w:rPr>
      <w:sz w:val="21"/>
    </w:rPr>
  </w:style>
  <w:style w:type="table" w:styleId="13">
    <w:name w:val="Table Grid"/>
    <w:basedOn w:val="12"/>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Default"/>
    <w:autoRedefine/>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16">
    <w:name w:val="font21"/>
    <w:basedOn w:val="14"/>
    <w:autoRedefine/>
    <w:qFormat/>
    <w:uiPriority w:val="0"/>
    <w:rPr>
      <w:rFonts w:hint="default" w:ascii="Times New Roman" w:hAnsi="Times New Roman" w:cs="Times New Roman"/>
      <w:color w:val="000000"/>
      <w:sz w:val="21"/>
      <w:szCs w:val="21"/>
      <w:u w:val="none"/>
    </w:rPr>
  </w:style>
  <w:style w:type="character" w:customStyle="1" w:styleId="17">
    <w:name w:val="font31"/>
    <w:basedOn w:val="14"/>
    <w:autoRedefine/>
    <w:qFormat/>
    <w:uiPriority w:val="0"/>
    <w:rPr>
      <w:rFonts w:hint="eastAsia" w:ascii="方正仿宋_GBK" w:hAnsi="方正仿宋_GBK" w:eastAsia="方正仿宋_GBK" w:cs="方正仿宋_GBK"/>
      <w:color w:val="000000"/>
      <w:sz w:val="21"/>
      <w:szCs w:val="21"/>
      <w:u w:val="none"/>
    </w:rPr>
  </w:style>
  <w:style w:type="character" w:customStyle="1" w:styleId="18">
    <w:name w:val="font41"/>
    <w:basedOn w:val="14"/>
    <w:autoRedefine/>
    <w:qFormat/>
    <w:uiPriority w:val="0"/>
    <w:rPr>
      <w:rFonts w:hint="eastAsia" w:ascii="宋体" w:hAnsi="宋体" w:eastAsia="宋体" w:cs="宋体"/>
      <w:color w:val="000000"/>
      <w:sz w:val="21"/>
      <w:szCs w:val="21"/>
      <w:u w:val="none"/>
    </w:rPr>
  </w:style>
  <w:style w:type="character" w:customStyle="1" w:styleId="19">
    <w:name w:val="font11"/>
    <w:basedOn w:val="14"/>
    <w:qFormat/>
    <w:uiPriority w:val="0"/>
    <w:rPr>
      <w:rFonts w:hint="eastAsia" w:ascii="方正黑体_GBK" w:hAnsi="方正黑体_GBK" w:eastAsia="方正黑体_GBK" w:cs="方正黑体_GBK"/>
      <w:color w:val="000000"/>
      <w:sz w:val="24"/>
      <w:szCs w:val="24"/>
      <w:u w:val="none"/>
    </w:rPr>
  </w:style>
  <w:style w:type="character" w:customStyle="1" w:styleId="20">
    <w:name w:val="font51"/>
    <w:basedOn w:val="14"/>
    <w:qFormat/>
    <w:uiPriority w:val="0"/>
    <w:rPr>
      <w:rFonts w:ascii="方正仿宋_GBK" w:hAnsi="方正仿宋_GBK" w:eastAsia="方正仿宋_GBK" w:cs="方正仿宋_GBK"/>
      <w:color w:val="000000"/>
      <w:sz w:val="20"/>
      <w:szCs w:val="20"/>
      <w:u w:val="none"/>
    </w:rPr>
  </w:style>
  <w:style w:type="character" w:customStyle="1" w:styleId="21">
    <w:name w:val="font61"/>
    <w:basedOn w:val="14"/>
    <w:qFormat/>
    <w:uiPriority w:val="0"/>
    <w:rPr>
      <w:rFonts w:hint="eastAsia" w:ascii="方正仿宋_GBK" w:hAnsi="方正仿宋_GBK" w:eastAsia="方正仿宋_GBK" w:cs="方正仿宋_GBK"/>
      <w:color w:val="000000"/>
      <w:sz w:val="24"/>
      <w:szCs w:val="24"/>
      <w:u w:val="none"/>
    </w:rPr>
  </w:style>
  <w:style w:type="character" w:customStyle="1" w:styleId="22">
    <w:name w:val="font71"/>
    <w:basedOn w:val="14"/>
    <w:qFormat/>
    <w:uiPriority w:val="0"/>
    <w:rPr>
      <w:rFonts w:hint="eastAsia" w:ascii="方正仿宋_GBK" w:hAnsi="方正仿宋_GBK" w:eastAsia="方正仿宋_GBK" w:cs="方正仿宋_GBK"/>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4424</Words>
  <Characters>5204</Characters>
  <Lines>0</Lines>
  <Paragraphs>0</Paragraphs>
  <TotalTime>1</TotalTime>
  <ScaleCrop>false</ScaleCrop>
  <LinksUpToDate>false</LinksUpToDate>
  <CharactersWithSpaces>5361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2023-12-15T03:32:00Z</dcterms:created>
  <dc:creator>Administrator</dc:creator>
  <cp:lastModifiedBy>Hunter＆B</cp:lastModifiedBy>
  <dcterms:modified xsi:type="dcterms:W3CDTF">2025-11-28T01:11:08Z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EBD4ED04BCE648278954C78F4897BB27_13</vt:lpwstr>
  </property>
  <property fmtid="{D5CDD505-2E9C-101B-9397-08002B2CF9AE}" pid="4" name="KSOTemplateDocerSaveRecord">
    <vt:lpwstr>eyJoZGlkIjoiNjRiMzYyZDk0YWU1M2M2NmExZGI0MTliMjcwOTM3OWIiLCJ1c2VySWQiOiIyMTYyMDc4MDIifQ==</vt:lpwstr>
  </property>
</Properties>
</file>