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imes New Roman"/>
          <w:kern w:val="2"/>
          <w:sz w:val="21"/>
          <w:lang w:val="en-US" w:eastAsia="zh-CN" w:bidi="ar-SA"/>
        </w:rPr>
        <w:id w:val="147476487"/>
        <w15:color w:val="DBDBDB"/>
        <w:docPartObj>
          <w:docPartGallery w:val="Table of Contents"/>
          <w:docPartUnique/>
        </w:docPartObj>
      </w:sdtPr>
      <w:sdtContent>
        <w:p w14:paraId="51061E9C">
          <w:pPr>
            <w:spacing w:before="0" w:beforeLines="0" w:after="0" w:afterLines="0" w:line="240" w:lineRule="auto"/>
            <w:ind w:left="0" w:leftChars="0" w:right="0" w:rightChars="0" w:firstLine="0" w:firstLineChars="0"/>
            <w:jc w:val="center"/>
            <w:rPr>
              <w:sz w:val="44"/>
              <w:szCs w:val="44"/>
            </w:rPr>
          </w:pPr>
          <w:r>
            <w:rPr>
              <w:rFonts w:ascii="宋体" w:hAnsi="宋体" w:eastAsia="宋体"/>
              <w:sz w:val="44"/>
              <w:szCs w:val="44"/>
            </w:rPr>
            <w:t>目录</w:t>
          </w:r>
        </w:p>
        <w:p w14:paraId="164E8138">
          <w:pPr>
            <w:pStyle w:val="10"/>
            <w:tabs>
              <w:tab w:val="right" w:leader="dot" w:pos="8306"/>
            </w:tabs>
          </w:pPr>
          <w:r>
            <w:fldChar w:fldCharType="begin"/>
          </w:r>
          <w:r>
            <w:instrText xml:space="preserve">TOC \o "1-1" \h \u </w:instrText>
          </w:r>
          <w:r>
            <w:fldChar w:fldCharType="separate"/>
          </w:r>
          <w:r>
            <w:fldChar w:fldCharType="begin"/>
          </w:r>
          <w:r>
            <w:instrText xml:space="preserve"> HYPERLINK \l _Toc20515 </w:instrText>
          </w:r>
          <w:r>
            <w:fldChar w:fldCharType="separate"/>
          </w:r>
          <w:r>
            <w:rPr>
              <w:rFonts w:hint="eastAsia"/>
              <w:highlight w:val="none"/>
              <w:lang w:val="en-US" w:eastAsia="zh-CN"/>
            </w:rPr>
            <w:t>第一篇  询价邀请书</w:t>
          </w:r>
          <w:r>
            <w:tab/>
          </w:r>
          <w:r>
            <w:fldChar w:fldCharType="begin"/>
          </w:r>
          <w:r>
            <w:instrText xml:space="preserve"> PAGEREF _Toc20515 \h </w:instrText>
          </w:r>
          <w:r>
            <w:fldChar w:fldCharType="separate"/>
          </w:r>
          <w:r>
            <w:t>2</w:t>
          </w:r>
          <w:r>
            <w:fldChar w:fldCharType="end"/>
          </w:r>
          <w:r>
            <w:fldChar w:fldCharType="end"/>
          </w:r>
        </w:p>
        <w:p w14:paraId="648DAF76">
          <w:pPr>
            <w:pStyle w:val="10"/>
            <w:tabs>
              <w:tab w:val="right" w:leader="dot" w:pos="8306"/>
            </w:tabs>
          </w:pPr>
          <w:r>
            <w:fldChar w:fldCharType="begin"/>
          </w:r>
          <w:r>
            <w:instrText xml:space="preserve"> HYPERLINK \l _Toc8915 </w:instrText>
          </w:r>
          <w:r>
            <w:fldChar w:fldCharType="separate"/>
          </w:r>
          <w:r>
            <w:rPr>
              <w:rFonts w:hint="eastAsia"/>
              <w:highlight w:val="none"/>
              <w:lang w:val="en-US" w:eastAsia="zh-CN"/>
            </w:rPr>
            <w:t>第二篇 技术（服务）要求</w:t>
          </w:r>
          <w:r>
            <w:tab/>
          </w:r>
          <w:r>
            <w:fldChar w:fldCharType="begin"/>
          </w:r>
          <w:r>
            <w:instrText xml:space="preserve"> PAGEREF _Toc8915 \h </w:instrText>
          </w:r>
          <w:r>
            <w:fldChar w:fldCharType="separate"/>
          </w:r>
          <w:r>
            <w:t>3</w:t>
          </w:r>
          <w:r>
            <w:fldChar w:fldCharType="end"/>
          </w:r>
          <w:r>
            <w:fldChar w:fldCharType="end"/>
          </w:r>
        </w:p>
        <w:p w14:paraId="2B148158">
          <w:pPr>
            <w:pStyle w:val="10"/>
            <w:tabs>
              <w:tab w:val="right" w:leader="dot" w:pos="8306"/>
            </w:tabs>
          </w:pPr>
          <w:r>
            <w:fldChar w:fldCharType="begin"/>
          </w:r>
          <w:r>
            <w:instrText xml:space="preserve"> HYPERLINK \l _Toc21069 </w:instrText>
          </w:r>
          <w:r>
            <w:fldChar w:fldCharType="separate"/>
          </w:r>
          <w:r>
            <w:rPr>
              <w:rFonts w:hint="eastAsia"/>
              <w:highlight w:val="none"/>
              <w:lang w:val="en-US" w:eastAsia="zh-CN"/>
            </w:rPr>
            <w:t>第三篇 项目商务要求</w:t>
          </w:r>
          <w:r>
            <w:tab/>
          </w:r>
          <w:r>
            <w:fldChar w:fldCharType="begin"/>
          </w:r>
          <w:r>
            <w:instrText xml:space="preserve"> PAGEREF _Toc21069 \h </w:instrText>
          </w:r>
          <w:r>
            <w:fldChar w:fldCharType="separate"/>
          </w:r>
          <w:r>
            <w:t>4</w:t>
          </w:r>
          <w:r>
            <w:fldChar w:fldCharType="end"/>
          </w:r>
          <w:r>
            <w:fldChar w:fldCharType="end"/>
          </w:r>
        </w:p>
        <w:p w14:paraId="6368DF93">
          <w:pPr>
            <w:pStyle w:val="10"/>
            <w:tabs>
              <w:tab w:val="right" w:leader="dot" w:pos="8306"/>
            </w:tabs>
          </w:pPr>
          <w:r>
            <w:fldChar w:fldCharType="begin"/>
          </w:r>
          <w:r>
            <w:instrText xml:space="preserve"> HYPERLINK \l _Toc8625 </w:instrText>
          </w:r>
          <w:r>
            <w:fldChar w:fldCharType="separate"/>
          </w:r>
          <w:r>
            <w:rPr>
              <w:rFonts w:hint="eastAsia"/>
              <w:highlight w:val="none"/>
              <w:lang w:val="en-US" w:eastAsia="zh-CN"/>
            </w:rPr>
            <w:t>第四篇供应商市场报价</w:t>
          </w:r>
          <w:r>
            <w:tab/>
          </w:r>
          <w:r>
            <w:fldChar w:fldCharType="begin"/>
          </w:r>
          <w:r>
            <w:instrText xml:space="preserve"> PAGEREF _Toc8625 \h </w:instrText>
          </w:r>
          <w:r>
            <w:fldChar w:fldCharType="separate"/>
          </w:r>
          <w:r>
            <w:t>6</w:t>
          </w:r>
          <w:r>
            <w:fldChar w:fldCharType="end"/>
          </w:r>
          <w:r>
            <w:fldChar w:fldCharType="end"/>
          </w:r>
        </w:p>
        <w:p w14:paraId="160E4054">
          <w:r>
            <w:fldChar w:fldCharType="end"/>
          </w:r>
        </w:p>
      </w:sdtContent>
    </w:sdt>
    <w:p w14:paraId="301646B8"/>
    <w:p w14:paraId="565895C7">
      <w:pPr>
        <w:rPr>
          <w:rFonts w:hint="eastAsia"/>
          <w:lang w:val="en-US" w:eastAsia="zh-CN"/>
        </w:rPr>
      </w:pPr>
      <w:r>
        <w:rPr>
          <w:rFonts w:hint="eastAsia"/>
          <w:lang w:val="en-US" w:eastAsia="zh-CN"/>
        </w:rPr>
        <w:br w:type="page"/>
      </w:r>
    </w:p>
    <w:p w14:paraId="665B2422">
      <w:pPr>
        <w:pStyle w:val="2"/>
        <w:rPr>
          <w:rFonts w:hint="eastAsia"/>
          <w:lang w:val="en-US" w:eastAsia="zh-CN"/>
        </w:rPr>
      </w:pPr>
    </w:p>
    <w:p w14:paraId="559D9686">
      <w:pPr>
        <w:pStyle w:val="4"/>
        <w:bidi w:val="0"/>
        <w:rPr>
          <w:rFonts w:hint="default"/>
          <w:color w:val="auto"/>
          <w:highlight w:val="none"/>
          <w:lang w:val="en-US" w:eastAsia="zh-CN"/>
        </w:rPr>
      </w:pPr>
      <w:bookmarkStart w:id="0" w:name="_Toc20515"/>
      <w:r>
        <w:rPr>
          <w:rFonts w:hint="eastAsia"/>
          <w:color w:val="auto"/>
          <w:highlight w:val="none"/>
          <w:lang w:val="en-US" w:eastAsia="zh-CN"/>
        </w:rPr>
        <w:t>第一篇  询价邀请书</w:t>
      </w:r>
      <w:bookmarkEnd w:id="0"/>
    </w:p>
    <w:p w14:paraId="2BCAD07F">
      <w:pPr>
        <w:keepNext w:val="0"/>
        <w:keepLines w:val="0"/>
        <w:pageBreakBefore w:val="0"/>
        <w:widowControl w:val="0"/>
        <w:kinsoku/>
        <w:wordWrap/>
        <w:overflowPunct/>
        <w:topLinePunct w:val="0"/>
        <w:autoSpaceDE/>
        <w:autoSpaceDN/>
        <w:bidi w:val="0"/>
        <w:adjustRightInd/>
        <w:snapToGrid/>
        <w:spacing w:line="480" w:lineRule="exact"/>
        <w:ind w:left="0" w:leftChars="0" w:right="-218" w:rightChars="-104" w:firstLine="480" w:firstLineChars="200"/>
        <w:textAlignment w:val="auto"/>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江苏省人民医院重庆医院</w:t>
      </w:r>
      <w:r>
        <w:rPr>
          <w:rFonts w:hint="eastAsia" w:ascii="方正仿宋_GBK" w:hAnsi="方正仿宋_GBK" w:eastAsia="方正仿宋_GBK" w:cs="方正仿宋_GBK"/>
          <w:color w:val="auto"/>
          <w:sz w:val="24"/>
          <w:szCs w:val="24"/>
          <w:highlight w:val="none"/>
        </w:rPr>
        <w:t>对</w:t>
      </w:r>
      <w:r>
        <w:rPr>
          <w:rFonts w:hint="eastAsia" w:ascii="方正仿宋_GBK" w:hAnsi="方正仿宋_GBK" w:eastAsia="方正仿宋_GBK" w:cs="方正仿宋_GBK"/>
          <w:color w:val="auto"/>
          <w:sz w:val="24"/>
          <w:szCs w:val="24"/>
          <w:highlight w:val="none"/>
          <w:lang w:val="en-US" w:eastAsia="zh-CN"/>
        </w:rPr>
        <w:t>“3号楼1号电梯、3号楼2号电梯、5号楼1号电梯主机曳引轮及轴承更换”进行市场询价</w:t>
      </w:r>
      <w:r>
        <w:rPr>
          <w:rFonts w:hint="eastAsia" w:ascii="方正仿宋_GBK" w:hAnsi="方正仿宋_GBK" w:eastAsia="方正仿宋_GBK" w:cs="方正仿宋_GBK"/>
          <w:color w:val="auto"/>
          <w:sz w:val="24"/>
          <w:szCs w:val="24"/>
          <w:highlight w:val="none"/>
        </w:rPr>
        <w:t>。</w:t>
      </w:r>
    </w:p>
    <w:p w14:paraId="5611D7EA">
      <w:pPr>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我院3号楼1号电梯、3号楼2号电梯， 5号楼1号电梯均使用15年，于2025年8月19日电梯常规巡查时发现3台电梯主机曳引轮磨损严重，钢丝绳与曳引轮槽齐平，存在安全隐患，需要进行采购更换。</w:t>
      </w:r>
    </w:p>
    <w:p w14:paraId="0C2BDB09">
      <w:pPr>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br w:type="page"/>
      </w:r>
    </w:p>
    <w:p w14:paraId="4ED09C0E">
      <w:pPr>
        <w:pStyle w:val="2"/>
        <w:rPr>
          <w:rFonts w:hint="eastAsia"/>
          <w:lang w:val="en-US" w:eastAsia="zh-CN"/>
        </w:rPr>
      </w:pPr>
    </w:p>
    <w:p w14:paraId="546C432B">
      <w:pPr>
        <w:pStyle w:val="4"/>
        <w:bidi w:val="0"/>
        <w:rPr>
          <w:rFonts w:hint="default"/>
          <w:color w:val="auto"/>
          <w:highlight w:val="none"/>
          <w:lang w:val="en-US" w:eastAsia="zh-CN"/>
        </w:rPr>
      </w:pPr>
      <w:bookmarkStart w:id="1" w:name="_Toc8915"/>
      <w:r>
        <w:rPr>
          <w:rFonts w:hint="eastAsia"/>
          <w:color w:val="auto"/>
          <w:highlight w:val="none"/>
          <w:lang w:val="en-US" w:eastAsia="zh-CN"/>
        </w:rPr>
        <w:t>第二篇 技术（服务）要求</w:t>
      </w:r>
      <w:bookmarkEnd w:id="1"/>
    </w:p>
    <w:p w14:paraId="6E8EB161">
      <w:pPr>
        <w:pStyle w:val="6"/>
        <w:rPr>
          <w:rFonts w:hint="default"/>
          <w:b w:val="0"/>
          <w:bCs w:val="0"/>
          <w:color w:val="auto"/>
          <w:highlight w:val="none"/>
          <w:lang w:val="en-US" w:eastAsia="zh-CN"/>
        </w:rPr>
      </w:pPr>
    </w:p>
    <w:p w14:paraId="5B37E3AC">
      <w:pPr>
        <w:kinsoku/>
        <w:wordWrap/>
        <w:overflowPunct/>
        <w:topLinePunct w:val="0"/>
        <w:autoSpaceDE/>
        <w:autoSpaceDN/>
        <w:bidi w:val="0"/>
        <w:snapToGrid w:val="0"/>
        <w:spacing w:line="480" w:lineRule="exact"/>
        <w:ind w:firstLine="720" w:firstLineChars="300"/>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一、需更换产品</w:t>
      </w:r>
    </w:p>
    <w:tbl>
      <w:tblPr>
        <w:tblStyle w:val="11"/>
        <w:tblW w:w="93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86"/>
        <w:gridCol w:w="2128"/>
        <w:gridCol w:w="2128"/>
        <w:gridCol w:w="2128"/>
        <w:gridCol w:w="2128"/>
      </w:tblGrid>
      <w:tr w14:paraId="7DF38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9" w:hRule="atLeast"/>
        </w:trPr>
        <w:tc>
          <w:tcPr>
            <w:tcW w:w="8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9111D33">
            <w:pPr>
              <w:keepNext w:val="0"/>
              <w:keepLines w:val="0"/>
              <w:widowControl/>
              <w:suppressLineNumbers w:val="0"/>
              <w:jc w:val="center"/>
              <w:textAlignment w:val="center"/>
              <w:rPr>
                <w:rFonts w:ascii="方正仿宋_GBK" w:hAnsi="方正仿宋_GBK" w:eastAsia="方正仿宋_GBK" w:cs="方正仿宋_GBK"/>
                <w:i w:val="0"/>
                <w:iCs w:val="0"/>
                <w:color w:val="000000"/>
                <w:sz w:val="24"/>
                <w:szCs w:val="24"/>
                <w:u w:val="none"/>
              </w:rPr>
            </w:pPr>
            <w:bookmarkStart w:id="14" w:name="_GoBack"/>
            <w:r>
              <w:rPr>
                <w:rFonts w:hint="eastAsia" w:ascii="方正仿宋_GBK" w:hAnsi="方正仿宋_GBK" w:eastAsia="方正仿宋_GBK" w:cs="方正仿宋_GBK"/>
                <w:i w:val="0"/>
                <w:iCs w:val="0"/>
                <w:color w:val="000000"/>
                <w:kern w:val="0"/>
                <w:sz w:val="24"/>
                <w:szCs w:val="24"/>
                <w:u w:val="none"/>
                <w:lang w:val="en-US" w:eastAsia="zh-CN" w:bidi="ar"/>
              </w:rPr>
              <w:t>序号</w:t>
            </w:r>
          </w:p>
        </w:tc>
        <w:tc>
          <w:tcPr>
            <w:tcW w:w="2128" w:type="dxa"/>
            <w:tcBorders>
              <w:top w:val="single" w:color="000000" w:sz="8" w:space="0"/>
              <w:left w:val="nil"/>
              <w:bottom w:val="single" w:color="000000" w:sz="8" w:space="0"/>
              <w:right w:val="single" w:color="000000" w:sz="8" w:space="0"/>
            </w:tcBorders>
            <w:shd w:val="clear" w:color="auto" w:fill="auto"/>
            <w:vAlign w:val="center"/>
          </w:tcPr>
          <w:p w14:paraId="2052A40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标的名称</w:t>
            </w:r>
          </w:p>
        </w:tc>
        <w:tc>
          <w:tcPr>
            <w:tcW w:w="2128" w:type="dxa"/>
            <w:tcBorders>
              <w:top w:val="single" w:color="000000" w:sz="8" w:space="0"/>
              <w:left w:val="nil"/>
              <w:bottom w:val="single" w:color="000000" w:sz="8" w:space="0"/>
              <w:right w:val="single" w:color="000000" w:sz="8" w:space="0"/>
            </w:tcBorders>
            <w:shd w:val="clear" w:color="auto" w:fill="auto"/>
            <w:vAlign w:val="center"/>
          </w:tcPr>
          <w:p w14:paraId="0B92495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单位</w:t>
            </w:r>
          </w:p>
        </w:tc>
        <w:tc>
          <w:tcPr>
            <w:tcW w:w="2128" w:type="dxa"/>
            <w:tcBorders>
              <w:top w:val="single" w:color="000000" w:sz="8" w:space="0"/>
              <w:left w:val="nil"/>
              <w:bottom w:val="single" w:color="000000" w:sz="8" w:space="0"/>
              <w:right w:val="single" w:color="000000" w:sz="8" w:space="0"/>
            </w:tcBorders>
            <w:shd w:val="clear" w:color="auto" w:fill="auto"/>
            <w:vAlign w:val="top"/>
          </w:tcPr>
          <w:p w14:paraId="4AAFA88B">
            <w:pPr>
              <w:keepNext w:val="0"/>
              <w:keepLines w:val="0"/>
              <w:widowControl/>
              <w:suppressLineNumbers w:val="0"/>
              <w:jc w:val="center"/>
              <w:textAlignment w:val="top"/>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型号或规格</w:t>
            </w:r>
          </w:p>
        </w:tc>
        <w:tc>
          <w:tcPr>
            <w:tcW w:w="2128" w:type="dxa"/>
            <w:tcBorders>
              <w:top w:val="single" w:color="000000" w:sz="8" w:space="0"/>
              <w:left w:val="nil"/>
              <w:bottom w:val="single" w:color="000000" w:sz="8" w:space="0"/>
              <w:right w:val="single" w:color="000000" w:sz="8" w:space="0"/>
            </w:tcBorders>
            <w:shd w:val="clear" w:color="auto" w:fill="auto"/>
            <w:vAlign w:val="center"/>
          </w:tcPr>
          <w:p w14:paraId="7A2FB8F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数量</w:t>
            </w:r>
          </w:p>
        </w:tc>
      </w:tr>
      <w:tr w14:paraId="1A1D1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886" w:type="dxa"/>
            <w:tcBorders>
              <w:top w:val="nil"/>
              <w:left w:val="single" w:color="000000" w:sz="8" w:space="0"/>
              <w:bottom w:val="single" w:color="000000" w:sz="8" w:space="0"/>
              <w:right w:val="single" w:color="000000" w:sz="8" w:space="0"/>
            </w:tcBorders>
            <w:shd w:val="clear" w:color="auto" w:fill="auto"/>
            <w:vAlign w:val="center"/>
          </w:tcPr>
          <w:p w14:paraId="2522180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128" w:type="dxa"/>
            <w:tcBorders>
              <w:top w:val="nil"/>
              <w:left w:val="nil"/>
              <w:bottom w:val="single" w:color="000000" w:sz="8" w:space="0"/>
              <w:right w:val="single" w:color="000000" w:sz="8" w:space="0"/>
            </w:tcBorders>
            <w:shd w:val="clear" w:color="auto" w:fill="auto"/>
            <w:vAlign w:val="center"/>
          </w:tcPr>
          <w:p w14:paraId="038832E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主机轴承</w:t>
            </w:r>
          </w:p>
        </w:tc>
        <w:tc>
          <w:tcPr>
            <w:tcW w:w="2128" w:type="dxa"/>
            <w:tcBorders>
              <w:top w:val="nil"/>
              <w:left w:val="nil"/>
              <w:bottom w:val="single" w:color="000000" w:sz="8" w:space="0"/>
              <w:right w:val="single" w:color="000000" w:sz="8" w:space="0"/>
            </w:tcBorders>
            <w:shd w:val="clear" w:color="auto" w:fill="auto"/>
            <w:vAlign w:val="center"/>
          </w:tcPr>
          <w:p w14:paraId="0F143E9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2128" w:type="dxa"/>
            <w:tcBorders>
              <w:top w:val="nil"/>
              <w:left w:val="nil"/>
              <w:bottom w:val="single" w:color="000000" w:sz="8" w:space="0"/>
              <w:right w:val="single" w:color="000000" w:sz="8" w:space="0"/>
            </w:tcBorders>
            <w:shd w:val="clear" w:color="auto" w:fill="auto"/>
            <w:vAlign w:val="center"/>
          </w:tcPr>
          <w:p w14:paraId="4CA138A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33216</w:t>
            </w:r>
          </w:p>
        </w:tc>
        <w:tc>
          <w:tcPr>
            <w:tcW w:w="2128" w:type="dxa"/>
            <w:tcBorders>
              <w:top w:val="nil"/>
              <w:left w:val="nil"/>
              <w:bottom w:val="single" w:color="000000" w:sz="8" w:space="0"/>
              <w:right w:val="single" w:color="000000" w:sz="8" w:space="0"/>
            </w:tcBorders>
            <w:shd w:val="clear" w:color="auto" w:fill="auto"/>
            <w:vAlign w:val="center"/>
          </w:tcPr>
          <w:p w14:paraId="1008EA5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r>
      <w:tr w14:paraId="3866D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9" w:hRule="atLeast"/>
        </w:trPr>
        <w:tc>
          <w:tcPr>
            <w:tcW w:w="886" w:type="dxa"/>
            <w:tcBorders>
              <w:top w:val="nil"/>
              <w:left w:val="single" w:color="000000" w:sz="8" w:space="0"/>
              <w:bottom w:val="single" w:color="000000" w:sz="8" w:space="0"/>
              <w:right w:val="single" w:color="000000" w:sz="8" w:space="0"/>
            </w:tcBorders>
            <w:shd w:val="clear" w:color="auto" w:fill="auto"/>
            <w:vAlign w:val="center"/>
          </w:tcPr>
          <w:p w14:paraId="797B15E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128" w:type="dxa"/>
            <w:tcBorders>
              <w:top w:val="nil"/>
              <w:left w:val="nil"/>
              <w:bottom w:val="single" w:color="000000" w:sz="8" w:space="0"/>
              <w:right w:val="single" w:color="000000" w:sz="8" w:space="0"/>
            </w:tcBorders>
            <w:shd w:val="clear" w:color="auto" w:fill="auto"/>
            <w:vAlign w:val="center"/>
          </w:tcPr>
          <w:p w14:paraId="646C870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主机轴承</w:t>
            </w:r>
          </w:p>
        </w:tc>
        <w:tc>
          <w:tcPr>
            <w:tcW w:w="2128" w:type="dxa"/>
            <w:tcBorders>
              <w:top w:val="nil"/>
              <w:left w:val="nil"/>
              <w:bottom w:val="single" w:color="000000" w:sz="8" w:space="0"/>
              <w:right w:val="single" w:color="000000" w:sz="8" w:space="0"/>
            </w:tcBorders>
            <w:shd w:val="clear" w:color="auto" w:fill="auto"/>
            <w:vAlign w:val="center"/>
          </w:tcPr>
          <w:p w14:paraId="51DBD03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2128" w:type="dxa"/>
            <w:tcBorders>
              <w:top w:val="nil"/>
              <w:left w:val="nil"/>
              <w:bottom w:val="single" w:color="000000" w:sz="8" w:space="0"/>
              <w:right w:val="single" w:color="000000" w:sz="8" w:space="0"/>
            </w:tcBorders>
            <w:shd w:val="clear" w:color="auto" w:fill="auto"/>
            <w:vAlign w:val="center"/>
          </w:tcPr>
          <w:p w14:paraId="3264994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21316</w:t>
            </w:r>
          </w:p>
        </w:tc>
        <w:tc>
          <w:tcPr>
            <w:tcW w:w="2128" w:type="dxa"/>
            <w:tcBorders>
              <w:top w:val="nil"/>
              <w:left w:val="nil"/>
              <w:bottom w:val="single" w:color="000000" w:sz="8" w:space="0"/>
              <w:right w:val="single" w:color="000000" w:sz="8" w:space="0"/>
            </w:tcBorders>
            <w:shd w:val="clear" w:color="auto" w:fill="auto"/>
            <w:vAlign w:val="center"/>
          </w:tcPr>
          <w:p w14:paraId="6559AF4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r>
      <w:tr w14:paraId="2E907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9" w:hRule="atLeast"/>
        </w:trPr>
        <w:tc>
          <w:tcPr>
            <w:tcW w:w="886" w:type="dxa"/>
            <w:tcBorders>
              <w:top w:val="nil"/>
              <w:left w:val="single" w:color="000000" w:sz="8" w:space="0"/>
              <w:bottom w:val="single" w:color="000000" w:sz="8" w:space="0"/>
              <w:right w:val="single" w:color="000000" w:sz="8" w:space="0"/>
            </w:tcBorders>
            <w:shd w:val="clear" w:color="auto" w:fill="auto"/>
            <w:vAlign w:val="center"/>
          </w:tcPr>
          <w:p w14:paraId="6B6736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128" w:type="dxa"/>
            <w:tcBorders>
              <w:top w:val="nil"/>
              <w:left w:val="nil"/>
              <w:bottom w:val="single" w:color="000000" w:sz="8" w:space="0"/>
              <w:right w:val="single" w:color="000000" w:sz="8" w:space="0"/>
            </w:tcBorders>
            <w:shd w:val="clear" w:color="auto" w:fill="auto"/>
            <w:vAlign w:val="center"/>
          </w:tcPr>
          <w:p w14:paraId="0246713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主机轴承</w:t>
            </w:r>
          </w:p>
        </w:tc>
        <w:tc>
          <w:tcPr>
            <w:tcW w:w="2128" w:type="dxa"/>
            <w:tcBorders>
              <w:top w:val="nil"/>
              <w:left w:val="nil"/>
              <w:bottom w:val="single" w:color="000000" w:sz="8" w:space="0"/>
              <w:right w:val="single" w:color="000000" w:sz="8" w:space="0"/>
            </w:tcBorders>
            <w:shd w:val="clear" w:color="auto" w:fill="auto"/>
            <w:vAlign w:val="center"/>
          </w:tcPr>
          <w:p w14:paraId="73EA810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2128" w:type="dxa"/>
            <w:tcBorders>
              <w:top w:val="nil"/>
              <w:left w:val="nil"/>
              <w:bottom w:val="single" w:color="000000" w:sz="8" w:space="0"/>
              <w:right w:val="single" w:color="000000" w:sz="8" w:space="0"/>
            </w:tcBorders>
            <w:shd w:val="clear" w:color="auto" w:fill="auto"/>
            <w:vAlign w:val="center"/>
          </w:tcPr>
          <w:p w14:paraId="23B2B92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32221</w:t>
            </w:r>
          </w:p>
        </w:tc>
        <w:tc>
          <w:tcPr>
            <w:tcW w:w="2128" w:type="dxa"/>
            <w:tcBorders>
              <w:top w:val="nil"/>
              <w:left w:val="nil"/>
              <w:bottom w:val="single" w:color="000000" w:sz="8" w:space="0"/>
              <w:right w:val="single" w:color="000000" w:sz="8" w:space="0"/>
            </w:tcBorders>
            <w:shd w:val="clear" w:color="auto" w:fill="auto"/>
            <w:vAlign w:val="center"/>
          </w:tcPr>
          <w:p w14:paraId="153D8B0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r>
      <w:tr w14:paraId="4218E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9" w:hRule="atLeast"/>
        </w:trPr>
        <w:tc>
          <w:tcPr>
            <w:tcW w:w="886" w:type="dxa"/>
            <w:tcBorders>
              <w:top w:val="nil"/>
              <w:left w:val="single" w:color="000000" w:sz="8" w:space="0"/>
              <w:bottom w:val="single" w:color="000000" w:sz="8" w:space="0"/>
              <w:right w:val="single" w:color="000000" w:sz="8" w:space="0"/>
            </w:tcBorders>
            <w:shd w:val="clear" w:color="auto" w:fill="auto"/>
            <w:vAlign w:val="center"/>
          </w:tcPr>
          <w:p w14:paraId="0832BB3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128" w:type="dxa"/>
            <w:tcBorders>
              <w:top w:val="nil"/>
              <w:left w:val="nil"/>
              <w:bottom w:val="single" w:color="000000" w:sz="8" w:space="0"/>
              <w:right w:val="single" w:color="000000" w:sz="8" w:space="0"/>
            </w:tcBorders>
            <w:shd w:val="clear" w:color="auto" w:fill="auto"/>
            <w:vAlign w:val="center"/>
          </w:tcPr>
          <w:p w14:paraId="0810C00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主机曳引轮</w:t>
            </w:r>
          </w:p>
        </w:tc>
        <w:tc>
          <w:tcPr>
            <w:tcW w:w="2128" w:type="dxa"/>
            <w:tcBorders>
              <w:top w:val="nil"/>
              <w:left w:val="nil"/>
              <w:bottom w:val="single" w:color="000000" w:sz="8" w:space="0"/>
              <w:right w:val="single" w:color="000000" w:sz="8" w:space="0"/>
            </w:tcBorders>
            <w:shd w:val="clear" w:color="auto" w:fill="auto"/>
            <w:vAlign w:val="center"/>
          </w:tcPr>
          <w:p w14:paraId="55794F1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2128" w:type="dxa"/>
            <w:tcBorders>
              <w:top w:val="nil"/>
              <w:left w:val="nil"/>
              <w:bottom w:val="single" w:color="000000" w:sz="8" w:space="0"/>
              <w:right w:val="single" w:color="000000" w:sz="8" w:space="0"/>
            </w:tcBorders>
            <w:shd w:val="clear" w:color="auto" w:fill="auto"/>
            <w:vAlign w:val="center"/>
          </w:tcPr>
          <w:p w14:paraId="14F9D5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槽数5/轮宽16.3cm</w:t>
            </w:r>
          </w:p>
        </w:tc>
        <w:tc>
          <w:tcPr>
            <w:tcW w:w="2128" w:type="dxa"/>
            <w:tcBorders>
              <w:top w:val="nil"/>
              <w:left w:val="nil"/>
              <w:bottom w:val="single" w:color="000000" w:sz="8" w:space="0"/>
              <w:right w:val="single" w:color="000000" w:sz="8" w:space="0"/>
            </w:tcBorders>
            <w:shd w:val="clear" w:color="auto" w:fill="auto"/>
            <w:vAlign w:val="center"/>
          </w:tcPr>
          <w:p w14:paraId="5FC32C1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r>
      <w:tr w14:paraId="2DFE8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1" w:hRule="atLeast"/>
        </w:trPr>
        <w:tc>
          <w:tcPr>
            <w:tcW w:w="886" w:type="dxa"/>
            <w:tcBorders>
              <w:top w:val="nil"/>
              <w:left w:val="single" w:color="000000" w:sz="8" w:space="0"/>
              <w:bottom w:val="single" w:color="000000" w:sz="8" w:space="0"/>
              <w:right w:val="single" w:color="000000" w:sz="8" w:space="0"/>
            </w:tcBorders>
            <w:shd w:val="clear" w:color="auto" w:fill="auto"/>
            <w:vAlign w:val="center"/>
          </w:tcPr>
          <w:p w14:paraId="6D2B080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128" w:type="dxa"/>
            <w:tcBorders>
              <w:top w:val="nil"/>
              <w:left w:val="nil"/>
              <w:bottom w:val="single" w:color="000000" w:sz="8" w:space="0"/>
              <w:right w:val="single" w:color="000000" w:sz="8" w:space="0"/>
            </w:tcBorders>
            <w:shd w:val="clear" w:color="auto" w:fill="auto"/>
            <w:vAlign w:val="center"/>
          </w:tcPr>
          <w:p w14:paraId="0CD7E40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更换人工费</w:t>
            </w:r>
          </w:p>
        </w:tc>
        <w:tc>
          <w:tcPr>
            <w:tcW w:w="2128" w:type="dxa"/>
            <w:tcBorders>
              <w:top w:val="nil"/>
              <w:left w:val="nil"/>
              <w:bottom w:val="single" w:color="000000" w:sz="8" w:space="0"/>
              <w:right w:val="single" w:color="000000" w:sz="8" w:space="0"/>
            </w:tcBorders>
            <w:shd w:val="clear" w:color="auto" w:fill="auto"/>
            <w:vAlign w:val="center"/>
          </w:tcPr>
          <w:p w14:paraId="00C6FA6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台</w:t>
            </w:r>
          </w:p>
        </w:tc>
        <w:tc>
          <w:tcPr>
            <w:tcW w:w="2128" w:type="dxa"/>
            <w:tcBorders>
              <w:top w:val="nil"/>
              <w:left w:val="nil"/>
              <w:bottom w:val="single" w:color="000000" w:sz="8" w:space="0"/>
              <w:right w:val="single" w:color="000000" w:sz="8" w:space="0"/>
            </w:tcBorders>
            <w:shd w:val="clear" w:color="auto" w:fill="auto"/>
            <w:vAlign w:val="center"/>
          </w:tcPr>
          <w:p w14:paraId="4B53D7A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通力电梯</w:t>
            </w:r>
          </w:p>
        </w:tc>
        <w:tc>
          <w:tcPr>
            <w:tcW w:w="2128" w:type="dxa"/>
            <w:tcBorders>
              <w:top w:val="nil"/>
              <w:left w:val="nil"/>
              <w:bottom w:val="single" w:color="000000" w:sz="8" w:space="0"/>
              <w:right w:val="single" w:color="000000" w:sz="8" w:space="0"/>
            </w:tcBorders>
            <w:shd w:val="clear" w:color="auto" w:fill="auto"/>
            <w:vAlign w:val="center"/>
          </w:tcPr>
          <w:p w14:paraId="1E37E7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r>
      <w:bookmarkEnd w:id="14"/>
    </w:tbl>
    <w:p w14:paraId="4D564CD4">
      <w:pPr>
        <w:kinsoku/>
        <w:wordWrap/>
        <w:overflowPunct/>
        <w:topLinePunct w:val="0"/>
        <w:autoSpaceDE/>
        <w:autoSpaceDN/>
        <w:bidi w:val="0"/>
        <w:snapToGrid w:val="0"/>
        <w:spacing w:line="480" w:lineRule="exact"/>
        <w:rPr>
          <w:rFonts w:hint="eastAsia" w:ascii="方正仿宋_GBK" w:hAnsi="宋体" w:eastAsia="方正仿宋_GBK" w:cs="宋体"/>
          <w:color w:val="auto"/>
          <w:kern w:val="0"/>
          <w:sz w:val="24"/>
          <w:szCs w:val="24"/>
          <w:highlight w:val="none"/>
          <w:lang w:val="en-US" w:eastAsia="zh-CN"/>
        </w:rPr>
      </w:pPr>
    </w:p>
    <w:p w14:paraId="427784C5">
      <w:pPr>
        <w:kinsoku/>
        <w:wordWrap/>
        <w:overflowPunct/>
        <w:topLinePunct w:val="0"/>
        <w:autoSpaceDE/>
        <w:autoSpaceDN/>
        <w:bidi w:val="0"/>
        <w:snapToGrid w:val="0"/>
        <w:spacing w:line="480" w:lineRule="exact"/>
        <w:ind w:firstLine="480" w:firstLineChars="200"/>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二、技术要求</w:t>
      </w:r>
    </w:p>
    <w:p w14:paraId="7C5E9872">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（一）更换3号楼1号电梯、3号楼2号电梯， 5号楼1号电梯的主机曳引轮，主机曳引轮规格为槽数5/轮宽16.3cm. 共计3个，</w:t>
      </w:r>
      <w:r>
        <w:rPr>
          <w:rFonts w:hint="eastAsia" w:ascii="方正仿宋_GBK" w:hAnsi="宋体" w:eastAsia="方正仿宋_GBK" w:cs="宋体"/>
          <w:b/>
          <w:bCs/>
          <w:color w:val="auto"/>
          <w:kern w:val="0"/>
          <w:sz w:val="24"/>
          <w:szCs w:val="24"/>
          <w:highlight w:val="none"/>
          <w:lang w:val="en-US" w:eastAsia="zh-CN"/>
        </w:rPr>
        <w:t>提供产品合格证</w:t>
      </w:r>
      <w:r>
        <w:rPr>
          <w:rFonts w:hint="eastAsia" w:ascii="方正仿宋_GBK" w:hAnsi="宋体" w:eastAsia="方正仿宋_GBK" w:cs="宋体"/>
          <w:color w:val="auto"/>
          <w:kern w:val="0"/>
          <w:sz w:val="24"/>
          <w:szCs w:val="24"/>
          <w:highlight w:val="none"/>
          <w:lang w:val="en-US" w:eastAsia="zh-CN"/>
        </w:rPr>
        <w:t>。</w:t>
      </w:r>
    </w:p>
    <w:p w14:paraId="227DB16D">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（二）更换3号楼1号电梯、3号楼2号电梯， 5号楼1号电梯的主机轴承，轴承型号33216的3个、轴承型号21316的3个、轴承型号32221的3个，共计9个，</w:t>
      </w:r>
      <w:r>
        <w:rPr>
          <w:rFonts w:hint="eastAsia" w:ascii="方正仿宋_GBK" w:hAnsi="宋体" w:eastAsia="方正仿宋_GBK" w:cs="宋体"/>
          <w:b/>
          <w:bCs/>
          <w:color w:val="auto"/>
          <w:kern w:val="0"/>
          <w:sz w:val="24"/>
          <w:szCs w:val="24"/>
          <w:highlight w:val="none"/>
          <w:lang w:val="en-US" w:eastAsia="zh-CN"/>
        </w:rPr>
        <w:t>提供产品合格证</w:t>
      </w:r>
      <w:r>
        <w:rPr>
          <w:rFonts w:hint="eastAsia" w:ascii="方正仿宋_GBK" w:hAnsi="宋体" w:eastAsia="方正仿宋_GBK" w:cs="宋体"/>
          <w:color w:val="auto"/>
          <w:kern w:val="0"/>
          <w:sz w:val="24"/>
          <w:szCs w:val="24"/>
          <w:highlight w:val="none"/>
          <w:lang w:val="en-US" w:eastAsia="zh-CN"/>
        </w:rPr>
        <w:t>。</w:t>
      </w:r>
    </w:p>
    <w:p w14:paraId="406E3946">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（三）主机曳引轮和轴承更换完成后进行试运行2小时，保证更换后的电梯安全运行。</w:t>
      </w:r>
    </w:p>
    <w:p w14:paraId="180E93E8">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（四）此次更换3号楼1号电梯、3号楼2号电梯， 5号楼1号电梯的主机曳引轮及轴承项目需提供主机曳引轮和轴承的产品合格证，包含材料费、人工费和税率。</w:t>
      </w:r>
    </w:p>
    <w:p w14:paraId="5ABE831A">
      <w:pPr>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br w:type="page"/>
      </w:r>
    </w:p>
    <w:p w14:paraId="3431F1BE">
      <w:pPr>
        <w:pStyle w:val="4"/>
        <w:bidi w:val="0"/>
        <w:rPr>
          <w:rFonts w:hint="eastAsia"/>
          <w:color w:val="auto"/>
          <w:highlight w:val="none"/>
          <w:lang w:val="en-US" w:eastAsia="zh-CN"/>
        </w:rPr>
      </w:pPr>
      <w:bookmarkStart w:id="2" w:name="_Toc21069"/>
      <w:r>
        <w:rPr>
          <w:rFonts w:hint="eastAsia"/>
          <w:color w:val="auto"/>
          <w:highlight w:val="none"/>
          <w:lang w:val="en-US" w:eastAsia="zh-CN"/>
        </w:rPr>
        <w:t>第三篇 项目商务要求</w:t>
      </w:r>
      <w:bookmarkEnd w:id="2"/>
    </w:p>
    <w:p w14:paraId="2F30B6BC">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方正仿宋_GBK" w:hAnsi="方正仿宋_GBK" w:eastAsia="方正仿宋_GBK" w:cs="方正仿宋_GBK"/>
          <w:color w:val="auto"/>
          <w:kern w:val="2"/>
          <w:sz w:val="28"/>
          <w:szCs w:val="28"/>
          <w:highlight w:val="none"/>
          <w:lang w:val="en-US" w:eastAsia="zh-CN" w:bidi="ar-SA"/>
        </w:rPr>
      </w:pPr>
      <w:bookmarkStart w:id="3" w:name="_Toc441065666"/>
      <w:bookmarkStart w:id="4" w:name="_Toc267320049"/>
    </w:p>
    <w:bookmarkEnd w:id="3"/>
    <w:bookmarkEnd w:id="4"/>
    <w:p w14:paraId="59D5C691">
      <w:pPr>
        <w:keepNext w:val="0"/>
        <w:keepLines w:val="0"/>
        <w:pageBreakBefore w:val="0"/>
        <w:widowControl w:val="0"/>
        <w:numPr>
          <w:ilvl w:val="0"/>
          <w:numId w:val="1"/>
        </w:numPr>
        <w:kinsoku/>
        <w:wordWrap/>
        <w:overflowPunct/>
        <w:topLinePunct w:val="0"/>
        <w:autoSpaceDE/>
        <w:autoSpaceDN/>
        <w:bidi w:val="0"/>
        <w:adjustRightInd/>
        <w:snapToGrid w:val="0"/>
        <w:spacing w:line="480" w:lineRule="exact"/>
        <w:ind w:firstLine="420"/>
        <w:textAlignment w:val="auto"/>
        <w:rPr>
          <w:rFonts w:hint="eastAsia" w:ascii="方正仿宋_GBK" w:hAnsi="方正仿宋_GBK" w:eastAsia="方正仿宋_GBK" w:cs="方正仿宋_GBK"/>
          <w:b/>
          <w:bCs/>
          <w:color w:val="auto"/>
          <w:kern w:val="2"/>
          <w:sz w:val="24"/>
          <w:szCs w:val="24"/>
          <w:highlight w:val="none"/>
          <w:lang w:val="en-US" w:eastAsia="zh-CN" w:bidi="ar-SA"/>
        </w:rPr>
      </w:pPr>
      <w:r>
        <w:rPr>
          <w:rFonts w:hint="eastAsia" w:ascii="方正仿宋_GBK" w:hAnsi="方正仿宋_GBK" w:eastAsia="方正仿宋_GBK" w:cs="方正仿宋_GBK"/>
          <w:b/>
          <w:bCs/>
          <w:color w:val="auto"/>
          <w:kern w:val="2"/>
          <w:sz w:val="24"/>
          <w:szCs w:val="24"/>
          <w:highlight w:val="none"/>
          <w:lang w:val="en-US" w:eastAsia="zh-CN" w:bidi="ar-SA"/>
        </w:rPr>
        <w:t>服务地点等</w:t>
      </w:r>
    </w:p>
    <w:p w14:paraId="07E439D2">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（一）合同期限：1年。</w:t>
      </w:r>
    </w:p>
    <w:p w14:paraId="7EFEB555">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（二）服务地点：采购人指定地点。</w:t>
      </w:r>
    </w:p>
    <w:p w14:paraId="58EF88F2">
      <w:pPr>
        <w:spacing w:line="560" w:lineRule="exact"/>
        <w:ind w:firstLine="480" w:firstLineChars="200"/>
        <w:jc w:val="left"/>
        <w:rPr>
          <w:rFonts w:hint="default"/>
          <w:lang w:val="en-US" w:eastAsia="zh-CN"/>
        </w:rPr>
      </w:pPr>
      <w:r>
        <w:rPr>
          <w:rFonts w:hint="eastAsia" w:ascii="方正仿宋_GBK" w:hAnsi="宋体" w:eastAsia="方正仿宋_GBK" w:cs="宋体"/>
          <w:color w:val="auto"/>
          <w:kern w:val="0"/>
          <w:sz w:val="24"/>
          <w:szCs w:val="24"/>
          <w:highlight w:val="none"/>
          <w:lang w:val="en-US" w:eastAsia="zh-CN"/>
        </w:rPr>
        <w:t>（三）交付实施时间：合同签订后25个工作日。</w:t>
      </w:r>
    </w:p>
    <w:p w14:paraId="207C6245">
      <w:pPr>
        <w:kinsoku/>
        <w:wordWrap/>
        <w:overflowPunct/>
        <w:topLinePunct w:val="0"/>
        <w:autoSpaceDE/>
        <w:autoSpaceDN/>
        <w:bidi w:val="0"/>
        <w:snapToGrid w:val="0"/>
        <w:spacing w:line="480" w:lineRule="exact"/>
        <w:ind w:firstLine="480" w:firstLineChars="200"/>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（四）验收：</w:t>
      </w:r>
      <w:r>
        <w:rPr>
          <w:rFonts w:hint="default" w:ascii="方正仿宋_GBK" w:hAnsi="宋体" w:eastAsia="方正仿宋_GBK" w:cs="宋体"/>
          <w:color w:val="auto"/>
          <w:kern w:val="0"/>
          <w:sz w:val="24"/>
          <w:szCs w:val="24"/>
          <w:highlight w:val="none"/>
          <w:lang w:val="en-US" w:eastAsia="zh-CN"/>
        </w:rPr>
        <w:t xml:space="preserve"> </w:t>
      </w:r>
    </w:p>
    <w:p w14:paraId="4F8DF669">
      <w:pPr>
        <w:numPr>
          <w:ilvl w:val="0"/>
          <w:numId w:val="0"/>
        </w:num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1、更换后的曳引轮直径、绳槽形状及材质要与原曳引轮一致，无裂纹。</w:t>
      </w:r>
    </w:p>
    <w:p w14:paraId="2046E720">
      <w:pPr>
        <w:numPr>
          <w:ilvl w:val="0"/>
          <w:numId w:val="0"/>
        </w:numPr>
        <w:kinsoku/>
        <w:wordWrap/>
        <w:overflowPunct/>
        <w:topLinePunct w:val="0"/>
        <w:autoSpaceDE/>
        <w:autoSpaceDN/>
        <w:bidi w:val="0"/>
        <w:snapToGrid w:val="0"/>
        <w:spacing w:line="480" w:lineRule="exact"/>
        <w:ind w:firstLine="480" w:firstLineChars="200"/>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2、更换后的轴承无异响。</w:t>
      </w:r>
    </w:p>
    <w:p w14:paraId="0D9F192D">
      <w:pPr>
        <w:numPr>
          <w:ilvl w:val="0"/>
          <w:numId w:val="0"/>
        </w:numPr>
        <w:kinsoku/>
        <w:wordWrap/>
        <w:overflowPunct/>
        <w:topLinePunct w:val="0"/>
        <w:autoSpaceDE/>
        <w:autoSpaceDN/>
        <w:bidi w:val="0"/>
        <w:snapToGrid w:val="0"/>
        <w:spacing w:line="480" w:lineRule="exact"/>
        <w:ind w:firstLine="480" w:firstLineChars="200"/>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 xml:space="preserve">3、符合电梯安全运行相关标准。  </w:t>
      </w:r>
    </w:p>
    <w:p w14:paraId="4FF91295">
      <w:pPr>
        <w:pStyle w:val="7"/>
        <w:ind w:firstLine="480" w:firstLineChars="200"/>
        <w:rPr>
          <w:rFonts w:hint="default" w:ascii="方正仿宋_GBK" w:hAnsi="宋体" w:eastAsia="方正仿宋_GBK" w:cs="宋体"/>
          <w:color w:val="auto"/>
          <w:kern w:val="0"/>
          <w:sz w:val="24"/>
          <w:szCs w:val="24"/>
          <w:highlight w:val="none"/>
          <w:lang w:val="en-US" w:eastAsia="zh-CN" w:bidi="ar-SA"/>
        </w:rPr>
      </w:pPr>
      <w:r>
        <w:rPr>
          <w:rFonts w:hint="eastAsia" w:ascii="方正仿宋_GBK" w:hAnsi="宋体" w:eastAsia="方正仿宋_GBK" w:cs="宋体"/>
          <w:color w:val="auto"/>
          <w:kern w:val="0"/>
          <w:sz w:val="24"/>
          <w:szCs w:val="24"/>
          <w:highlight w:val="none"/>
          <w:lang w:val="en-US" w:eastAsia="zh-CN" w:bidi="ar-SA"/>
        </w:rPr>
        <w:t>质保：质保期一年。</w:t>
      </w:r>
    </w:p>
    <w:p w14:paraId="54595AE4">
      <w:pPr>
        <w:kinsoku/>
        <w:wordWrap/>
        <w:overflowPunct/>
        <w:topLinePunct w:val="0"/>
        <w:autoSpaceDE/>
        <w:autoSpaceDN/>
        <w:bidi w:val="0"/>
        <w:snapToGrid w:val="0"/>
        <w:spacing w:line="480" w:lineRule="exact"/>
        <w:ind w:firstLine="482" w:firstLineChars="200"/>
        <w:rPr>
          <w:rFonts w:hint="eastAsia" w:ascii="方正仿宋_GBK" w:eastAsia="方正仿宋_GBK"/>
          <w:b/>
          <w:color w:val="auto"/>
          <w:sz w:val="24"/>
          <w:szCs w:val="24"/>
          <w:highlight w:val="none"/>
          <w:lang w:eastAsia="zh-CN"/>
        </w:rPr>
      </w:pPr>
      <w:bookmarkStart w:id="5" w:name="_Toc441065667"/>
      <w:bookmarkStart w:id="6" w:name="_Toc267320050"/>
      <w:r>
        <w:rPr>
          <w:rFonts w:hint="eastAsia" w:ascii="方正仿宋_GBK" w:eastAsia="方正仿宋_GBK"/>
          <w:b/>
          <w:color w:val="auto"/>
          <w:sz w:val="24"/>
          <w:szCs w:val="24"/>
          <w:highlight w:val="none"/>
          <w:lang w:eastAsia="zh-CN"/>
        </w:rPr>
        <w:t>二、报价要求</w:t>
      </w:r>
      <w:bookmarkEnd w:id="5"/>
    </w:p>
    <w:bookmarkEnd w:id="6"/>
    <w:p w14:paraId="5390E2E4">
      <w:pPr>
        <w:pStyle w:val="14"/>
        <w:spacing w:line="560" w:lineRule="exact"/>
        <w:ind w:left="0" w:leftChars="0" w:firstLine="480" w:firstLineChars="200"/>
        <w:rPr>
          <w:rFonts w:hint="eastAsia" w:ascii="方正仿宋_GBK" w:hAnsi="宋体" w:eastAsia="方正仿宋_GBK" w:cs="宋体"/>
          <w:color w:val="auto"/>
          <w:kern w:val="0"/>
          <w:sz w:val="24"/>
          <w:szCs w:val="24"/>
          <w:highlight w:val="none"/>
          <w:lang w:val="en-US" w:eastAsia="zh-CN"/>
        </w:rPr>
      </w:pPr>
      <w:bookmarkStart w:id="7" w:name="_Toc441065669"/>
      <w:bookmarkStart w:id="8" w:name="_Toc267320051"/>
      <w:r>
        <w:rPr>
          <w:rFonts w:hint="eastAsia" w:ascii="方正仿宋_GBK" w:hAnsi="宋体" w:eastAsia="方正仿宋_GBK" w:cs="宋体"/>
          <w:color w:val="auto"/>
          <w:kern w:val="0"/>
          <w:sz w:val="24"/>
          <w:szCs w:val="24"/>
          <w:highlight w:val="none"/>
          <w:lang w:val="en-US" w:eastAsia="zh-CN"/>
        </w:rPr>
        <w:t>（一）报价须为人民币报价，</w:t>
      </w:r>
      <w:r>
        <w:rPr>
          <w:rFonts w:hint="default" w:ascii="方正仿宋_GBK" w:hAnsi="宋体" w:eastAsia="方正仿宋_GBK" w:cs="宋体"/>
          <w:color w:val="auto"/>
          <w:kern w:val="0"/>
          <w:sz w:val="24"/>
          <w:szCs w:val="24"/>
          <w:highlight w:val="none"/>
          <w:lang w:val="en-US" w:eastAsia="zh-CN"/>
        </w:rPr>
        <w:t>成交供应商报价不超过本项目最高限价，报价</w:t>
      </w:r>
      <w:r>
        <w:rPr>
          <w:rFonts w:hint="eastAsia" w:ascii="方正仿宋_GBK" w:hAnsi="宋体" w:eastAsia="方正仿宋_GBK" w:cs="宋体"/>
          <w:color w:val="auto"/>
          <w:kern w:val="0"/>
          <w:sz w:val="24"/>
          <w:szCs w:val="24"/>
          <w:highlight w:val="none"/>
          <w:lang w:val="en-US" w:eastAsia="zh-CN"/>
        </w:rPr>
        <w:t>含服务费、人工费、交通费、培训费、辅助工具费、</w:t>
      </w:r>
      <w:r>
        <w:rPr>
          <w:rFonts w:hint="default" w:ascii="方正仿宋_GBK" w:hAnsi="宋体" w:eastAsia="方正仿宋_GBK" w:cs="宋体"/>
          <w:color w:val="auto"/>
          <w:kern w:val="0"/>
          <w:sz w:val="24"/>
          <w:szCs w:val="24"/>
          <w:highlight w:val="none"/>
          <w:lang w:val="en-US" w:eastAsia="zh-CN"/>
        </w:rPr>
        <w:t>税费、安装费、运输费、</w:t>
      </w:r>
      <w:r>
        <w:rPr>
          <w:rFonts w:hint="eastAsia" w:ascii="方正仿宋_GBK" w:hAnsi="宋体" w:eastAsia="方正仿宋_GBK" w:cs="宋体"/>
          <w:color w:val="auto"/>
          <w:kern w:val="0"/>
          <w:sz w:val="24"/>
          <w:szCs w:val="24"/>
          <w:highlight w:val="none"/>
          <w:lang w:val="en-US" w:eastAsia="zh-CN"/>
        </w:rPr>
        <w:t>施工安全</w:t>
      </w:r>
      <w:r>
        <w:rPr>
          <w:rFonts w:hint="default" w:ascii="方正仿宋_GBK" w:hAnsi="宋体" w:eastAsia="方正仿宋_GBK" w:cs="宋体"/>
          <w:color w:val="auto"/>
          <w:kern w:val="0"/>
          <w:sz w:val="24"/>
          <w:szCs w:val="24"/>
          <w:highlight w:val="none"/>
          <w:lang w:val="en-US" w:eastAsia="zh-CN"/>
        </w:rPr>
        <w:t>等本项目所需</w:t>
      </w:r>
      <w:r>
        <w:rPr>
          <w:rFonts w:hint="eastAsia" w:ascii="方正仿宋_GBK" w:hAnsi="宋体" w:eastAsia="方正仿宋_GBK" w:cs="宋体"/>
          <w:color w:val="auto"/>
          <w:kern w:val="0"/>
          <w:sz w:val="24"/>
          <w:szCs w:val="24"/>
          <w:highlight w:val="none"/>
          <w:lang w:val="en-US" w:eastAsia="zh-CN"/>
        </w:rPr>
        <w:t>全部</w:t>
      </w:r>
      <w:r>
        <w:rPr>
          <w:rFonts w:hint="default" w:ascii="方正仿宋_GBK" w:hAnsi="宋体" w:eastAsia="方正仿宋_GBK" w:cs="宋体"/>
          <w:color w:val="auto"/>
          <w:kern w:val="0"/>
          <w:sz w:val="24"/>
          <w:szCs w:val="24"/>
          <w:highlight w:val="none"/>
          <w:lang w:val="en-US" w:eastAsia="zh-CN"/>
        </w:rPr>
        <w:t>费用</w:t>
      </w:r>
      <w:r>
        <w:rPr>
          <w:rFonts w:hint="eastAsia" w:ascii="方正仿宋_GBK" w:hAnsi="宋体" w:eastAsia="方正仿宋_GBK" w:cs="宋体"/>
          <w:color w:val="auto"/>
          <w:kern w:val="0"/>
          <w:sz w:val="24"/>
          <w:szCs w:val="24"/>
          <w:highlight w:val="none"/>
          <w:lang w:val="en-US" w:eastAsia="zh-CN"/>
        </w:rPr>
        <w:t>。因成交供应商自身原因造成漏报、少报皆由其自行承担责任，采购人不再补偿。</w:t>
      </w:r>
    </w:p>
    <w:p w14:paraId="38CF0B9A">
      <w:pPr>
        <w:kinsoku/>
        <w:wordWrap/>
        <w:overflowPunct/>
        <w:topLinePunct w:val="0"/>
        <w:autoSpaceDE/>
        <w:autoSpaceDN/>
        <w:bidi w:val="0"/>
        <w:snapToGrid w:val="0"/>
        <w:spacing w:line="480" w:lineRule="exact"/>
        <w:ind w:firstLine="480" w:firstLineChars="200"/>
        <w:rPr>
          <w:rFonts w:hint="default" w:ascii="方正仿宋_GBK" w:hAnsi="宋体" w:eastAsia="方正仿宋_GBK" w:cs="宋体"/>
          <w:color w:val="auto"/>
          <w:kern w:val="0"/>
          <w:sz w:val="24"/>
          <w:szCs w:val="24"/>
          <w:highlight w:val="none"/>
          <w:lang w:val="en-US" w:eastAsia="zh-CN"/>
        </w:rPr>
      </w:pPr>
      <w:r>
        <w:rPr>
          <w:rFonts w:hint="eastAsia" w:ascii="方正仿宋_GBK" w:hAnsi="宋体" w:eastAsia="方正仿宋_GBK" w:cs="宋体"/>
          <w:color w:val="auto"/>
          <w:kern w:val="0"/>
          <w:sz w:val="24"/>
          <w:szCs w:val="24"/>
          <w:highlight w:val="none"/>
          <w:lang w:val="en-US" w:eastAsia="zh-CN"/>
        </w:rPr>
        <w:t>（二）本次报价有效期为90天。</w:t>
      </w:r>
    </w:p>
    <w:p w14:paraId="5C8C8A01">
      <w:pPr>
        <w:pStyle w:val="5"/>
        <w:kinsoku/>
        <w:wordWrap/>
        <w:overflowPunct/>
        <w:topLinePunct w:val="0"/>
        <w:autoSpaceDE/>
        <w:autoSpaceDN/>
        <w:bidi w:val="0"/>
        <w:spacing w:line="480" w:lineRule="exact"/>
        <w:ind w:firstLine="241" w:firstLineChars="100"/>
        <w:rPr>
          <w:rFonts w:hint="eastAsia" w:ascii="方正仿宋_GBK" w:eastAsia="方正仿宋_GBK"/>
          <w:b/>
          <w:color w:val="auto"/>
          <w:sz w:val="24"/>
          <w:szCs w:val="24"/>
          <w:highlight w:val="none"/>
        </w:rPr>
      </w:pPr>
      <w:r>
        <w:rPr>
          <w:rFonts w:hint="eastAsia" w:ascii="方正仿宋_GBK" w:eastAsia="方正仿宋_GBK"/>
          <w:b/>
          <w:color w:val="auto"/>
          <w:sz w:val="24"/>
          <w:szCs w:val="24"/>
          <w:highlight w:val="none"/>
          <w:lang w:val="en-US" w:eastAsia="zh-CN"/>
        </w:rPr>
        <w:t>三</w:t>
      </w:r>
      <w:r>
        <w:rPr>
          <w:rFonts w:hint="eastAsia" w:ascii="方正仿宋_GBK" w:eastAsia="方正仿宋_GBK"/>
          <w:b/>
          <w:color w:val="auto"/>
          <w:sz w:val="24"/>
          <w:szCs w:val="24"/>
          <w:highlight w:val="none"/>
        </w:rPr>
        <w:t>、付款方式</w:t>
      </w:r>
      <w:bookmarkEnd w:id="7"/>
      <w:bookmarkEnd w:id="8"/>
    </w:p>
    <w:p w14:paraId="25A37F90">
      <w:pPr>
        <w:spacing w:line="560" w:lineRule="exact"/>
        <w:ind w:firstLine="480" w:firstLineChars="200"/>
        <w:jc w:val="left"/>
        <w:rPr>
          <w:rFonts w:hint="eastAsia" w:ascii="方正仿宋_GBK" w:hAnsi="宋体" w:eastAsia="方正仿宋_GBK" w:cs="宋体"/>
          <w:color w:val="auto"/>
          <w:kern w:val="0"/>
          <w:sz w:val="24"/>
          <w:szCs w:val="24"/>
          <w:highlight w:val="none"/>
          <w:lang w:val="en-US" w:eastAsia="zh-CN" w:bidi="ar-SA"/>
        </w:rPr>
      </w:pPr>
      <w:bookmarkStart w:id="9" w:name="_Toc441065670"/>
      <w:bookmarkStart w:id="10" w:name="_Toc267320052"/>
      <w:r>
        <w:rPr>
          <w:rFonts w:hint="eastAsia" w:ascii="方正仿宋_GBK" w:hAnsi="宋体" w:eastAsia="方正仿宋_GBK" w:cs="宋体"/>
          <w:color w:val="auto"/>
          <w:kern w:val="0"/>
          <w:sz w:val="24"/>
          <w:szCs w:val="24"/>
          <w:highlight w:val="none"/>
          <w:lang w:val="en-US" w:eastAsia="zh-CN"/>
        </w:rPr>
        <w:t xml:space="preserve">更换完成经采购方验收合格后支付合同总金额的95%。质保期满一年后支付合同总金额的5%。 </w:t>
      </w:r>
      <w:r>
        <w:rPr>
          <w:rFonts w:hint="eastAsia" w:ascii="方正仿宋_GBK" w:hAnsi="宋体" w:eastAsia="方正仿宋_GBK" w:cs="宋体"/>
          <w:color w:val="auto"/>
          <w:kern w:val="0"/>
          <w:sz w:val="24"/>
          <w:szCs w:val="24"/>
          <w:highlight w:val="none"/>
          <w:lang w:val="en-US" w:eastAsia="zh-CN" w:bidi="ar-SA"/>
        </w:rPr>
        <w:t xml:space="preserve">  </w:t>
      </w:r>
    </w:p>
    <w:p w14:paraId="237F6D9C">
      <w:pPr>
        <w:pStyle w:val="5"/>
        <w:kinsoku/>
        <w:wordWrap/>
        <w:overflowPunct/>
        <w:topLinePunct w:val="0"/>
        <w:autoSpaceDE/>
        <w:autoSpaceDN/>
        <w:bidi w:val="0"/>
        <w:spacing w:line="480" w:lineRule="exact"/>
        <w:ind w:firstLine="320" w:firstLineChars="100"/>
        <w:rPr>
          <w:rFonts w:hint="eastAsia" w:ascii="方正仿宋_GBK" w:eastAsia="方正仿宋_GBK"/>
          <w:b/>
          <w:color w:val="auto"/>
          <w:sz w:val="24"/>
          <w:szCs w:val="24"/>
          <w:highlight w:val="none"/>
        </w:rPr>
      </w:pPr>
      <w:r>
        <w:rPr>
          <w:rFonts w:hint="eastAsia" w:eastAsia="方正仿宋_GBK"/>
          <w:sz w:val="32"/>
          <w:szCs w:val="32"/>
        </w:rPr>
        <w:t xml:space="preserve"> </w:t>
      </w:r>
      <w:r>
        <w:rPr>
          <w:rFonts w:hint="eastAsia" w:ascii="方正仿宋_GBK" w:eastAsia="方正仿宋_GBK"/>
          <w:b/>
          <w:color w:val="auto"/>
          <w:sz w:val="24"/>
          <w:szCs w:val="24"/>
          <w:highlight w:val="none"/>
          <w:lang w:val="en-US" w:eastAsia="zh-CN"/>
        </w:rPr>
        <w:t>四</w:t>
      </w:r>
      <w:r>
        <w:rPr>
          <w:rFonts w:hint="eastAsia" w:ascii="方正仿宋_GBK" w:eastAsia="方正仿宋_GBK"/>
          <w:b/>
          <w:color w:val="auto"/>
          <w:sz w:val="24"/>
          <w:szCs w:val="24"/>
          <w:highlight w:val="none"/>
        </w:rPr>
        <w:t>、知识产权</w:t>
      </w:r>
      <w:bookmarkEnd w:id="9"/>
      <w:bookmarkEnd w:id="10"/>
    </w:p>
    <w:p w14:paraId="2EB8AEFD">
      <w:pPr>
        <w:kinsoku/>
        <w:wordWrap/>
        <w:overflowPunct/>
        <w:topLinePunct w:val="0"/>
        <w:autoSpaceDE/>
        <w:autoSpaceDN/>
        <w:bidi w:val="0"/>
        <w:snapToGrid w:val="0"/>
        <w:spacing w:line="480" w:lineRule="exact"/>
        <w:ind w:firstLine="480" w:firstLineChars="200"/>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采购人在中华人民共和国境内使用</w:t>
      </w:r>
      <w:r>
        <w:rPr>
          <w:rFonts w:hint="eastAsia" w:ascii="方正仿宋_GBK" w:hAnsi="宋体" w:eastAsia="方正仿宋_GBK" w:cs="宋体"/>
          <w:color w:val="auto"/>
          <w:kern w:val="0"/>
          <w:sz w:val="24"/>
          <w:szCs w:val="24"/>
          <w:highlight w:val="none"/>
          <w:lang w:val="en-US" w:eastAsia="zh-CN"/>
        </w:rPr>
        <w:t>投标人</w:t>
      </w:r>
      <w:r>
        <w:rPr>
          <w:rFonts w:hint="eastAsia" w:ascii="方正仿宋_GBK" w:hAnsi="宋体" w:eastAsia="方正仿宋_GBK" w:cs="宋体"/>
          <w:color w:val="auto"/>
          <w:kern w:val="0"/>
          <w:sz w:val="24"/>
          <w:szCs w:val="24"/>
          <w:highlight w:val="none"/>
        </w:rPr>
        <w:t>提供的货物及服务时免受第三方提出的侵犯其专利权或其它知识产权的起诉。如果第三方提出侵权指控，</w:t>
      </w:r>
      <w:r>
        <w:rPr>
          <w:rFonts w:hint="eastAsia" w:ascii="方正仿宋_GBK" w:hAnsi="宋体" w:eastAsia="方正仿宋_GBK" w:cs="宋体"/>
          <w:color w:val="auto"/>
          <w:kern w:val="0"/>
          <w:sz w:val="24"/>
          <w:szCs w:val="24"/>
          <w:highlight w:val="none"/>
          <w:lang w:val="en-US" w:eastAsia="zh-CN"/>
        </w:rPr>
        <w:t>成交供应商</w:t>
      </w:r>
      <w:r>
        <w:rPr>
          <w:rFonts w:hint="eastAsia" w:ascii="方正仿宋_GBK" w:hAnsi="宋体" w:eastAsia="方正仿宋_GBK" w:cs="宋体"/>
          <w:color w:val="auto"/>
          <w:kern w:val="0"/>
          <w:sz w:val="24"/>
          <w:szCs w:val="24"/>
          <w:highlight w:val="none"/>
        </w:rPr>
        <w:t>应承担由此而引起的一切法律责任和费用。</w:t>
      </w:r>
    </w:p>
    <w:p w14:paraId="041CA81C">
      <w:pPr>
        <w:numPr>
          <w:ilvl w:val="0"/>
          <w:numId w:val="0"/>
        </w:numPr>
        <w:kinsoku/>
        <w:wordWrap/>
        <w:overflowPunct/>
        <w:topLinePunct w:val="0"/>
        <w:autoSpaceDE/>
        <w:autoSpaceDN/>
        <w:bidi w:val="0"/>
        <w:spacing w:line="480" w:lineRule="exact"/>
        <w:rPr>
          <w:rFonts w:hint="eastAsia" w:ascii="方正仿宋_GBK" w:eastAsia="方正仿宋_GBK" w:cs="Times New Roman"/>
          <w:b/>
          <w:color w:val="auto"/>
          <w:sz w:val="24"/>
          <w:szCs w:val="24"/>
          <w:highlight w:val="none"/>
          <w:lang w:val="en-US" w:eastAsia="zh-CN"/>
        </w:rPr>
      </w:pPr>
      <w:bookmarkStart w:id="11" w:name="_Toc441065672"/>
      <w:bookmarkStart w:id="12" w:name="_Toc267320054"/>
      <w:r>
        <w:rPr>
          <w:rFonts w:hint="eastAsia" w:ascii="方正仿宋_GBK" w:eastAsia="方正仿宋_GBK" w:cs="Times New Roman"/>
          <w:b/>
          <w:color w:val="auto"/>
          <w:sz w:val="24"/>
          <w:szCs w:val="24"/>
          <w:highlight w:val="none"/>
          <w:lang w:val="en-US" w:eastAsia="zh-CN"/>
        </w:rPr>
        <w:t>五、售后服务要求</w:t>
      </w:r>
    </w:p>
    <w:p w14:paraId="0066F541">
      <w:pPr>
        <w:kinsoku/>
        <w:wordWrap/>
        <w:overflowPunct/>
        <w:topLinePunct w:val="0"/>
        <w:autoSpaceDE/>
        <w:autoSpaceDN/>
        <w:bidi w:val="0"/>
        <w:spacing w:line="480" w:lineRule="exact"/>
        <w:ind w:firstLine="405"/>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质保期内更换配件如因产品质量问题由中标方免费更换，处理时间在收到采购方报修2小时内到达现场。</w:t>
      </w:r>
    </w:p>
    <w:p w14:paraId="1CBD0297">
      <w:pPr>
        <w:kinsoku/>
        <w:wordWrap/>
        <w:overflowPunct/>
        <w:topLinePunct w:val="0"/>
        <w:autoSpaceDE/>
        <w:autoSpaceDN/>
        <w:bidi w:val="0"/>
        <w:spacing w:line="480" w:lineRule="exact"/>
        <w:ind w:firstLine="405"/>
        <w:rPr>
          <w:rFonts w:hint="default" w:ascii="方正仿宋_GBK" w:hAnsi="Times New Roman" w:eastAsia="方正仿宋_GBK" w:cs="Times New Roman"/>
          <w:b/>
          <w:color w:val="auto"/>
          <w:sz w:val="24"/>
          <w:szCs w:val="24"/>
          <w:highlight w:val="none"/>
          <w:lang w:val="en-US" w:eastAsia="zh-CN"/>
        </w:rPr>
      </w:pPr>
      <w:r>
        <w:rPr>
          <w:rFonts w:hint="eastAsia" w:ascii="方正仿宋_GBK" w:eastAsia="方正仿宋_GBK" w:cs="Times New Roman"/>
          <w:b/>
          <w:color w:val="auto"/>
          <w:sz w:val="24"/>
          <w:szCs w:val="24"/>
          <w:highlight w:val="none"/>
          <w:lang w:val="en-US" w:eastAsia="zh-CN"/>
        </w:rPr>
        <w:t>六、</w:t>
      </w:r>
      <w:bookmarkEnd w:id="11"/>
      <w:bookmarkEnd w:id="12"/>
      <w:r>
        <w:rPr>
          <w:rFonts w:hint="eastAsia" w:ascii="方正仿宋_GBK" w:hAnsi="Times New Roman" w:eastAsia="方正仿宋_GBK" w:cs="Times New Roman"/>
          <w:b/>
          <w:color w:val="auto"/>
          <w:sz w:val="24"/>
          <w:szCs w:val="24"/>
          <w:highlight w:val="none"/>
          <w:lang w:val="en-US" w:eastAsia="zh-CN"/>
        </w:rPr>
        <w:t>其他</w:t>
      </w:r>
    </w:p>
    <w:p w14:paraId="3E4121BD">
      <w:pPr>
        <w:kinsoku/>
        <w:wordWrap/>
        <w:overflowPunct/>
        <w:topLinePunct w:val="0"/>
        <w:autoSpaceDE/>
        <w:autoSpaceDN/>
        <w:bidi w:val="0"/>
        <w:spacing w:line="480" w:lineRule="exact"/>
        <w:ind w:firstLine="405"/>
        <w:rPr>
          <w:rFonts w:hint="eastAsia" w:ascii="方正仿宋_GBK" w:eastAsia="方正仿宋_GBK" w:cs="Times New Roman"/>
          <w:b w:val="0"/>
          <w:bCs/>
          <w:color w:val="auto"/>
          <w:sz w:val="24"/>
          <w:szCs w:val="24"/>
          <w:highlight w:val="none"/>
          <w:lang w:val="en-US" w:eastAsia="zh-CN"/>
        </w:rPr>
      </w:pPr>
      <w:r>
        <w:rPr>
          <w:rFonts w:hint="eastAsia" w:ascii="方正仿宋_GBK" w:eastAsia="方正仿宋_GBK" w:cs="Times New Roman"/>
          <w:b w:val="0"/>
          <w:bCs/>
          <w:color w:val="auto"/>
          <w:sz w:val="24"/>
          <w:szCs w:val="24"/>
          <w:highlight w:val="none"/>
          <w:lang w:val="en-US" w:eastAsia="zh-CN"/>
        </w:rPr>
        <w:t>未尽事宜，双方在合同中约定。</w:t>
      </w:r>
    </w:p>
    <w:p w14:paraId="735D9D2B">
      <w:r>
        <w:br w:type="page"/>
      </w:r>
    </w:p>
    <w:p w14:paraId="01631167">
      <w:pPr>
        <w:pStyle w:val="4"/>
        <w:bidi w:val="0"/>
        <w:rPr>
          <w:rFonts w:hint="eastAsia"/>
          <w:color w:val="auto"/>
          <w:highlight w:val="none"/>
          <w:lang w:val="en-US" w:eastAsia="zh-CN"/>
        </w:rPr>
      </w:pPr>
      <w:bookmarkStart w:id="13" w:name="_Toc8625"/>
      <w:r>
        <w:rPr>
          <w:rFonts w:hint="eastAsia"/>
          <w:color w:val="auto"/>
          <w:highlight w:val="none"/>
          <w:lang w:val="en-US" w:eastAsia="zh-CN"/>
        </w:rPr>
        <w:t>第四篇供应商市场报价</w:t>
      </w:r>
      <w:bookmarkEnd w:id="13"/>
    </w:p>
    <w:p w14:paraId="31CC6C28">
      <w:pPr>
        <w:rPr>
          <w:rFonts w:hint="default"/>
          <w:lang w:val="en-US" w:eastAsia="zh-CN"/>
        </w:rPr>
      </w:pPr>
    </w:p>
    <w:tbl>
      <w:tblPr>
        <w:tblStyle w:val="11"/>
        <w:tblW w:w="8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5"/>
        <w:gridCol w:w="3151"/>
        <w:gridCol w:w="2086"/>
        <w:gridCol w:w="1416"/>
      </w:tblGrid>
      <w:tr w14:paraId="1EDE5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505" w:type="dxa"/>
            <w:noWrap w:val="0"/>
            <w:vAlign w:val="center"/>
          </w:tcPr>
          <w:p w14:paraId="6C3408BE">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default" w:ascii="方正仿宋_GBK" w:hAnsi="方正仿宋_GBK" w:eastAsia="方正仿宋_GBK" w:cs="方正仿宋_GBK"/>
                <w:bCs w:val="0"/>
                <w:color w:val="auto"/>
                <w:kern w:val="2"/>
                <w:sz w:val="24"/>
                <w:szCs w:val="24"/>
                <w:highlight w:val="none"/>
                <w:lang w:val="en-US" w:eastAsia="zh-CN" w:bidi="ar-SA"/>
              </w:rPr>
              <w:t>序号</w:t>
            </w:r>
          </w:p>
        </w:tc>
        <w:tc>
          <w:tcPr>
            <w:tcW w:w="3151" w:type="dxa"/>
            <w:noWrap w:val="0"/>
            <w:vAlign w:val="center"/>
          </w:tcPr>
          <w:p w14:paraId="0861E6D8">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eastAsia" w:ascii="方正仿宋_GBK" w:hAnsi="方正仿宋_GBK" w:eastAsia="方正仿宋_GBK" w:cs="方正仿宋_GBK"/>
                <w:bCs w:val="0"/>
                <w:color w:val="auto"/>
                <w:kern w:val="2"/>
                <w:sz w:val="24"/>
                <w:szCs w:val="24"/>
                <w:highlight w:val="none"/>
                <w:lang w:val="en-US" w:eastAsia="zh-CN" w:bidi="ar-SA"/>
              </w:rPr>
              <w:t>项目</w:t>
            </w:r>
            <w:r>
              <w:rPr>
                <w:rFonts w:hint="default" w:ascii="方正仿宋_GBK" w:hAnsi="方正仿宋_GBK" w:eastAsia="方正仿宋_GBK" w:cs="方正仿宋_GBK"/>
                <w:bCs w:val="0"/>
                <w:color w:val="auto"/>
                <w:kern w:val="2"/>
                <w:sz w:val="24"/>
                <w:szCs w:val="24"/>
                <w:highlight w:val="none"/>
                <w:lang w:val="en-US" w:eastAsia="zh-CN" w:bidi="ar-SA"/>
              </w:rPr>
              <w:t>名称</w:t>
            </w:r>
          </w:p>
        </w:tc>
        <w:tc>
          <w:tcPr>
            <w:tcW w:w="2086" w:type="dxa"/>
            <w:noWrap w:val="0"/>
            <w:vAlign w:val="center"/>
          </w:tcPr>
          <w:p w14:paraId="7BEA75C5">
            <w:pPr>
              <w:pStyle w:val="15"/>
              <w:rPr>
                <w:rFonts w:hint="eastAsia" w:ascii="方正仿宋_GBK" w:hAnsi="方正仿宋_GBK" w:eastAsia="方正仿宋_GBK" w:cs="方正仿宋_GBK"/>
                <w:bCs w:val="0"/>
                <w:color w:val="auto"/>
                <w:kern w:val="2"/>
                <w:sz w:val="24"/>
                <w:szCs w:val="24"/>
                <w:highlight w:val="none"/>
                <w:lang w:val="en-US" w:eastAsia="zh-CN" w:bidi="ar-SA"/>
              </w:rPr>
            </w:pPr>
            <w:r>
              <w:rPr>
                <w:rFonts w:hint="eastAsia" w:ascii="方正仿宋_GBK" w:hAnsi="方正仿宋_GBK" w:eastAsia="方正仿宋_GBK" w:cs="方正仿宋_GBK"/>
                <w:bCs w:val="0"/>
                <w:color w:val="auto"/>
                <w:kern w:val="2"/>
                <w:sz w:val="24"/>
                <w:szCs w:val="24"/>
                <w:highlight w:val="none"/>
                <w:lang w:val="en-US" w:eastAsia="zh-CN" w:bidi="ar-SA"/>
              </w:rPr>
              <w:t>最高限价</w:t>
            </w:r>
          </w:p>
          <w:p w14:paraId="26AA7659">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eastAsia" w:ascii="方正仿宋_GBK" w:hAnsi="方正仿宋_GBK" w:eastAsia="方正仿宋_GBK" w:cs="方正仿宋_GBK"/>
                <w:bCs w:val="0"/>
                <w:color w:val="auto"/>
                <w:kern w:val="2"/>
                <w:sz w:val="24"/>
                <w:szCs w:val="24"/>
                <w:highlight w:val="none"/>
                <w:lang w:val="en-US" w:eastAsia="zh-CN" w:bidi="ar-SA"/>
              </w:rPr>
              <w:t>（万元）</w:t>
            </w:r>
          </w:p>
        </w:tc>
        <w:tc>
          <w:tcPr>
            <w:tcW w:w="1416" w:type="dxa"/>
            <w:noWrap w:val="0"/>
            <w:vAlign w:val="center"/>
          </w:tcPr>
          <w:p w14:paraId="2D3E79E7">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eastAsia" w:ascii="方正仿宋_GBK" w:hAnsi="方正仿宋_GBK" w:eastAsia="方正仿宋_GBK" w:cs="方正仿宋_GBK"/>
                <w:bCs w:val="0"/>
                <w:color w:val="auto"/>
                <w:kern w:val="2"/>
                <w:sz w:val="24"/>
                <w:szCs w:val="24"/>
                <w:highlight w:val="none"/>
                <w:lang w:val="en-US" w:eastAsia="zh-CN" w:bidi="ar-SA"/>
              </w:rPr>
              <w:t>供应商市场报价（万元）</w:t>
            </w:r>
          </w:p>
        </w:tc>
      </w:tr>
      <w:tr w14:paraId="1FA9E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1505" w:type="dxa"/>
            <w:noWrap w:val="0"/>
            <w:vAlign w:val="center"/>
          </w:tcPr>
          <w:p w14:paraId="322A8F74">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default" w:ascii="方正仿宋_GBK" w:hAnsi="方正仿宋_GBK" w:eastAsia="方正仿宋_GBK" w:cs="方正仿宋_GBK"/>
                <w:bCs w:val="0"/>
                <w:color w:val="auto"/>
                <w:kern w:val="2"/>
                <w:sz w:val="24"/>
                <w:szCs w:val="24"/>
                <w:highlight w:val="none"/>
                <w:lang w:val="en-US" w:eastAsia="zh-CN" w:bidi="ar-SA"/>
              </w:rPr>
              <w:t>1</w:t>
            </w:r>
          </w:p>
        </w:tc>
        <w:tc>
          <w:tcPr>
            <w:tcW w:w="3151" w:type="dxa"/>
            <w:noWrap w:val="0"/>
            <w:vAlign w:val="center"/>
          </w:tcPr>
          <w:p w14:paraId="1F7411B3">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eastAsia" w:ascii="方正仿宋_GBK" w:hAnsi="方正仿宋_GBK" w:eastAsia="方正仿宋_GBK" w:cs="方正仿宋_GBK"/>
                <w:color w:val="auto"/>
                <w:sz w:val="24"/>
                <w:szCs w:val="24"/>
                <w:highlight w:val="none"/>
                <w:lang w:val="en-US" w:eastAsia="zh-CN"/>
              </w:rPr>
              <w:t>3号楼1号电梯、3号楼2号电梯、5号楼1号电梯主机曳引轮及轴承更换</w:t>
            </w:r>
          </w:p>
        </w:tc>
        <w:tc>
          <w:tcPr>
            <w:tcW w:w="2086" w:type="dxa"/>
            <w:noWrap w:val="0"/>
            <w:vAlign w:val="center"/>
          </w:tcPr>
          <w:p w14:paraId="3907D165">
            <w:pPr>
              <w:pStyle w:val="15"/>
              <w:rPr>
                <w:rFonts w:hint="default" w:ascii="方正仿宋_GBK" w:hAnsi="方正仿宋_GBK" w:eastAsia="方正仿宋_GBK" w:cs="方正仿宋_GBK"/>
                <w:bCs w:val="0"/>
                <w:color w:val="auto"/>
                <w:kern w:val="2"/>
                <w:sz w:val="24"/>
                <w:szCs w:val="24"/>
                <w:highlight w:val="none"/>
                <w:lang w:val="en-US" w:eastAsia="zh-CN" w:bidi="ar-SA"/>
              </w:rPr>
            </w:pPr>
            <w:r>
              <w:rPr>
                <w:rFonts w:hint="eastAsia" w:ascii="方正仿宋_GBK" w:hAnsi="方正仿宋_GBK" w:eastAsia="方正仿宋_GBK" w:cs="方正仿宋_GBK"/>
                <w:bCs w:val="0"/>
                <w:color w:val="auto"/>
                <w:kern w:val="2"/>
                <w:sz w:val="24"/>
                <w:szCs w:val="24"/>
                <w:highlight w:val="none"/>
                <w:lang w:val="en-US" w:eastAsia="zh-CN" w:bidi="ar-SA"/>
              </w:rPr>
              <w:t>4.5</w:t>
            </w:r>
          </w:p>
        </w:tc>
        <w:tc>
          <w:tcPr>
            <w:tcW w:w="1416" w:type="dxa"/>
            <w:noWrap w:val="0"/>
            <w:vAlign w:val="center"/>
          </w:tcPr>
          <w:p w14:paraId="6E7B7453">
            <w:pPr>
              <w:pStyle w:val="15"/>
              <w:rPr>
                <w:rFonts w:hint="default" w:ascii="方正仿宋_GBK" w:hAnsi="方正仿宋_GBK" w:eastAsia="方正仿宋_GBK" w:cs="方正仿宋_GBK"/>
                <w:bCs w:val="0"/>
                <w:color w:val="auto"/>
                <w:kern w:val="2"/>
                <w:sz w:val="24"/>
                <w:szCs w:val="24"/>
                <w:highlight w:val="none"/>
                <w:lang w:val="en-US" w:eastAsia="zh-CN" w:bidi="ar-SA"/>
              </w:rPr>
            </w:pPr>
          </w:p>
        </w:tc>
      </w:tr>
    </w:tbl>
    <w:p w14:paraId="582BD6B9">
      <w:pPr>
        <w:pStyle w:val="2"/>
        <w:rPr>
          <w:rFonts w:hint="eastAsia"/>
          <w:lang w:val="en-US" w:eastAsia="zh-CN"/>
        </w:rPr>
      </w:pPr>
    </w:p>
    <w:p w14:paraId="48833696">
      <w:pPr>
        <w:pStyle w:val="2"/>
        <w:rPr>
          <w:rFonts w:hint="eastAsia"/>
          <w:lang w:val="en-US" w:eastAsia="zh-CN"/>
        </w:rPr>
      </w:pPr>
      <w:r>
        <w:rPr>
          <w:rFonts w:hint="eastAsia"/>
          <w:lang w:val="en-US" w:eastAsia="zh-CN"/>
        </w:rPr>
        <w:t>时间：</w:t>
      </w:r>
    </w:p>
    <w:p w14:paraId="12ED1C07">
      <w:pPr>
        <w:pStyle w:val="2"/>
        <w:rPr>
          <w:rFonts w:hint="default"/>
          <w:lang w:val="en-US" w:eastAsia="zh-CN"/>
        </w:rPr>
      </w:pPr>
      <w:r>
        <w:rPr>
          <w:rFonts w:hint="eastAsia"/>
          <w:lang w:val="en-US" w:eastAsia="zh-CN"/>
        </w:rPr>
        <w:t>供应商单位名称：</w:t>
      </w:r>
    </w:p>
    <w:p w14:paraId="01448938">
      <w:pPr>
        <w:pStyle w:val="2"/>
        <w:rPr>
          <w:rFonts w:hint="eastAsia"/>
          <w:b/>
          <w:bCs/>
          <w:lang w:val="en-US" w:eastAsia="zh-CN"/>
        </w:rPr>
      </w:pPr>
    </w:p>
    <w:p w14:paraId="1DA62052">
      <w:pPr>
        <w:pStyle w:val="2"/>
        <w:rPr>
          <w:rFonts w:hint="default"/>
          <w:b/>
          <w:bCs/>
          <w:lang w:val="en-US" w:eastAsia="zh-CN"/>
        </w:rPr>
      </w:pPr>
      <w:r>
        <w:rPr>
          <w:rFonts w:hint="eastAsia"/>
          <w:b/>
          <w:bCs/>
          <w:lang w:val="en-US" w:eastAsia="zh-CN"/>
        </w:rPr>
        <w:t>注：本次供应商报价作为采购人招标采购预算参考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8F263F"/>
    <w:multiLevelType w:val="singleLevel"/>
    <w:tmpl w:val="938F263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DB5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line="480" w:lineRule="exact"/>
      <w:jc w:val="center"/>
      <w:outlineLvl w:val="0"/>
    </w:pPr>
    <w:rPr>
      <w:rFonts w:ascii="方正小标宋_GBK" w:hAnsi="方正小标宋_GBK" w:eastAsia="方正小标宋_GBK" w:cs="方正小标宋_GBK"/>
      <w:color w:val="auto"/>
      <w:sz w:val="36"/>
      <w:szCs w:val="36"/>
      <w:highlight w:val="none"/>
    </w:rPr>
  </w:style>
  <w:style w:type="paragraph" w:styleId="5">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afterLines="0" w:afterAutospacing="0" w:line="240" w:lineRule="auto"/>
      <w:ind w:left="420" w:leftChars="200" w:firstLine="420" w:firstLineChars="200"/>
    </w:pPr>
    <w:rPr>
      <w:sz w:val="21"/>
    </w:rPr>
  </w:style>
  <w:style w:type="paragraph" w:styleId="3">
    <w:name w:val="Body Text Indent"/>
    <w:basedOn w:val="1"/>
    <w:qFormat/>
    <w:uiPriority w:val="0"/>
    <w:pPr>
      <w:spacing w:line="700" w:lineRule="exact"/>
      <w:ind w:left="960"/>
    </w:pPr>
    <w:rPr>
      <w:sz w:val="44"/>
    </w:rPr>
  </w:style>
  <w:style w:type="paragraph" w:styleId="6">
    <w:name w:val="Body Text"/>
    <w:basedOn w:val="1"/>
    <w:qFormat/>
    <w:uiPriority w:val="0"/>
    <w:pPr>
      <w:spacing w:after="12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0">
    <w:name w:val="toc 1"/>
    <w:basedOn w:val="1"/>
    <w:next w:val="1"/>
    <w:uiPriority w:val="0"/>
  </w:style>
  <w:style w:type="character" w:styleId="13">
    <w:name w:val="page number"/>
    <w:basedOn w:val="12"/>
    <w:qFormat/>
    <w:uiPriority w:val="0"/>
  </w:style>
  <w:style w:type="paragraph" w:customStyle="1" w:styleId="14">
    <w:name w:val="正文首行缩进 21"/>
    <w:basedOn w:val="1"/>
    <w:qFormat/>
    <w:uiPriority w:val="0"/>
    <w:pPr>
      <w:spacing w:after="120"/>
      <w:ind w:left="420" w:leftChars="200" w:firstLine="420" w:firstLineChars="200"/>
    </w:pPr>
    <w:rPr>
      <w:sz w:val="44"/>
    </w:rPr>
  </w:style>
  <w:style w:type="paragraph" w:customStyle="1" w:styleId="15">
    <w:name w:val="表格"/>
    <w:basedOn w:val="1"/>
    <w:qFormat/>
    <w:uiPriority w:val="0"/>
    <w:pPr>
      <w:adjustRightInd w:val="0"/>
      <w:snapToGrid w:val="0"/>
      <w:spacing w:line="240" w:lineRule="auto"/>
      <w:ind w:firstLine="0" w:firstLineChars="0"/>
      <w:jc w:val="center"/>
    </w:pPr>
    <w:rPr>
      <w:rFonts w:hint="eastAsia" w:cs="Times New Roman"/>
      <w:bCs/>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3</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黄盛</cp:lastModifiedBy>
  <dcterms:modified xsi:type="dcterms:W3CDTF">2025-10-29T08:02:16Z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eyJoZGlkIjoiNjdlM2RjZThmODRjZjAyOGQ3ODhhOGM2ZTdhZTE5ZmUiLCJ1c2VySWQiOiIxNzUyNjE5NTU1In0=</vt:lpwstr>
  </property>
  <property fmtid="{D5CDD505-2E9C-101B-9397-08002B2CF9AE}" pid="4" name="ICV">
    <vt:lpwstr>F376A236C016432BA520427C5B62BDCB_12</vt:lpwstr>
  </property>
</Properties>
</file>