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80" w:lineRule="exact"/>
        <w:ind w:left="0" w:leftChars="0" w:firstLine="0" w:firstLineChars="0"/>
        <w:jc w:val="center"/>
        <w:rPr>
          <w:rFonts w:hint="eastAsia" w:ascii="方正小标宋_GBK" w:eastAsia="方正小标宋_GBK"/>
          <w:bCs/>
          <w:color w:val="000000" w:themeColor="text1"/>
          <w:sz w:val="72"/>
          <w:szCs w:val="72"/>
        </w:rPr>
      </w:pPr>
      <w:bookmarkStart w:id="0" w:name="_Toc495592640"/>
    </w:p>
    <w:p>
      <w:pPr>
        <w:spacing w:line="980" w:lineRule="exact"/>
        <w:ind w:left="0" w:leftChars="0" w:firstLine="0" w:firstLineChars="0"/>
        <w:jc w:val="center"/>
        <w:rPr>
          <w:rFonts w:hint="eastAsia" w:ascii="方正小标宋_GBK" w:eastAsia="方正小标宋_GBK"/>
          <w:bCs/>
          <w:color w:val="000000" w:themeColor="text1"/>
          <w:sz w:val="72"/>
          <w:szCs w:val="72"/>
          <w:lang w:eastAsia="zh-CN"/>
        </w:rPr>
      </w:pPr>
      <w:r>
        <w:rPr>
          <w:rFonts w:hint="eastAsia" w:ascii="方正小标宋_GBK" w:eastAsia="方正小标宋_GBK"/>
          <w:bCs/>
          <w:color w:val="000000" w:themeColor="text1"/>
          <w:sz w:val="72"/>
          <w:szCs w:val="72"/>
        </w:rPr>
        <w:t>重庆市</w:t>
      </w:r>
      <w:r>
        <w:rPr>
          <w:rFonts w:hint="eastAsia" w:ascii="方正小标宋_GBK" w:eastAsia="方正小标宋_GBK"/>
          <w:bCs/>
          <w:color w:val="000000" w:themeColor="text1"/>
          <w:sz w:val="72"/>
          <w:szCs w:val="72"/>
          <w:lang w:eastAsia="zh-CN"/>
        </w:rPr>
        <w:t>巴南区龙洲湾小学校</w:t>
      </w:r>
    </w:p>
    <w:p>
      <w:pPr>
        <w:adjustRightInd w:val="0"/>
        <w:snapToGrid w:val="0"/>
        <w:spacing w:line="360" w:lineRule="auto"/>
        <w:ind w:left="0" w:leftChars="0" w:firstLine="0" w:firstLineChars="0"/>
        <w:jc w:val="center"/>
        <w:outlineLvl w:val="0"/>
        <w:rPr>
          <w:rFonts w:hint="eastAsia" w:ascii="方正小标宋_GBK" w:eastAsia="方正小标宋_GBK"/>
          <w:bCs/>
          <w:color w:val="000000" w:themeColor="text1"/>
          <w:sz w:val="72"/>
          <w:szCs w:val="72"/>
        </w:rPr>
      </w:pPr>
      <w:bookmarkStart w:id="1" w:name="_Toc23214"/>
      <w:r>
        <w:rPr>
          <w:rFonts w:hint="eastAsia" w:ascii="方正小标宋_GBK" w:eastAsia="方正小标宋_GBK"/>
          <w:bCs/>
          <w:color w:val="000000" w:themeColor="text1"/>
          <w:sz w:val="72"/>
          <w:szCs w:val="72"/>
        </w:rPr>
        <w:t>零星广告设计与制作服务</w:t>
      </w:r>
      <w:bookmarkEnd w:id="1"/>
    </w:p>
    <w:p>
      <w:pPr>
        <w:adjustRightInd w:val="0"/>
        <w:snapToGrid w:val="0"/>
        <w:spacing w:line="360" w:lineRule="auto"/>
        <w:ind w:left="0" w:leftChars="0" w:firstLine="0" w:firstLineChars="0"/>
        <w:jc w:val="center"/>
        <w:outlineLvl w:val="0"/>
        <w:rPr>
          <w:rFonts w:ascii="方正小标宋_GBK" w:eastAsia="方正小标宋_GBK"/>
          <w:bCs/>
          <w:color w:val="000000" w:themeColor="text1"/>
          <w:sz w:val="84"/>
          <w:szCs w:val="84"/>
        </w:rPr>
      </w:pPr>
      <w:r>
        <w:rPr>
          <w:rFonts w:hint="eastAsia" w:ascii="方正小标宋_GBK" w:eastAsia="方正小标宋_GBK"/>
          <w:bCs/>
          <w:color w:val="000000" w:themeColor="text1"/>
          <w:sz w:val="84"/>
          <w:szCs w:val="84"/>
          <w:lang w:val="en-US" w:eastAsia="zh-CN"/>
        </w:rPr>
        <w:t>技术方案</w:t>
      </w:r>
    </w:p>
    <w:p>
      <w:pPr>
        <w:adjustRightInd w:val="0"/>
        <w:snapToGrid w:val="0"/>
        <w:spacing w:line="640" w:lineRule="exact"/>
        <w:ind w:firstLine="602"/>
        <w:jc w:val="center"/>
        <w:rPr>
          <w:rFonts w:ascii="方正小标宋_GBK" w:hAnsi="宋体" w:eastAsia="方正小标宋_GBK"/>
          <w:b/>
          <w:color w:val="000000" w:themeColor="text1"/>
          <w:sz w:val="30"/>
          <w:szCs w:val="30"/>
        </w:rPr>
      </w:pPr>
    </w:p>
    <w:p>
      <w:pPr>
        <w:spacing w:line="360" w:lineRule="auto"/>
        <w:ind w:firstLine="482"/>
        <w:rPr>
          <w:rFonts w:ascii="宋体" w:hAnsi="宋体"/>
          <w:b/>
          <w:color w:val="000000" w:themeColor="text1"/>
          <w:szCs w:val="28"/>
        </w:rPr>
      </w:pPr>
    </w:p>
    <w:p>
      <w:pPr>
        <w:spacing w:line="360" w:lineRule="auto"/>
        <w:ind w:firstLine="482"/>
        <w:rPr>
          <w:rFonts w:hint="eastAsia" w:ascii="宋体" w:hAnsi="宋体"/>
          <w:color w:val="000000" w:themeColor="text1"/>
          <w:szCs w:val="28"/>
        </w:rPr>
      </w:pPr>
    </w:p>
    <w:p>
      <w:pPr>
        <w:pStyle w:val="2"/>
        <w:rPr>
          <w:rFonts w:hint="eastAsia"/>
        </w:rPr>
      </w:pPr>
    </w:p>
    <w:p>
      <w:pPr>
        <w:spacing w:line="360" w:lineRule="auto"/>
        <w:ind w:firstLine="482"/>
        <w:rPr>
          <w:rFonts w:hint="eastAsia" w:ascii="宋体" w:hAnsi="宋体"/>
          <w:color w:val="000000" w:themeColor="text1"/>
          <w:szCs w:val="28"/>
        </w:rPr>
      </w:pPr>
    </w:p>
    <w:p>
      <w:pPr>
        <w:spacing w:line="360" w:lineRule="auto"/>
        <w:ind w:firstLine="482"/>
        <w:rPr>
          <w:rFonts w:hint="eastAsia" w:ascii="宋体" w:hAnsi="宋体"/>
          <w:color w:val="000000" w:themeColor="text1"/>
          <w:szCs w:val="28"/>
        </w:rPr>
      </w:pPr>
    </w:p>
    <w:p>
      <w:pPr>
        <w:spacing w:line="360" w:lineRule="auto"/>
        <w:ind w:firstLine="482"/>
        <w:rPr>
          <w:rFonts w:hint="eastAsia" w:ascii="宋体" w:hAnsi="宋体"/>
          <w:color w:val="000000" w:themeColor="text1"/>
          <w:szCs w:val="28"/>
        </w:rPr>
      </w:pPr>
    </w:p>
    <w:p>
      <w:pPr>
        <w:spacing w:line="360" w:lineRule="auto"/>
        <w:ind w:firstLine="482"/>
        <w:rPr>
          <w:rFonts w:hint="eastAsia" w:ascii="宋体" w:hAnsi="宋体"/>
          <w:color w:val="000000" w:themeColor="text1"/>
          <w:szCs w:val="28"/>
        </w:rPr>
      </w:pPr>
    </w:p>
    <w:p>
      <w:pPr>
        <w:spacing w:line="360" w:lineRule="auto"/>
        <w:ind w:firstLine="482"/>
        <w:rPr>
          <w:rFonts w:ascii="宋体" w:hAnsi="宋体"/>
          <w:color w:val="000000" w:themeColor="text1"/>
          <w:szCs w:val="28"/>
        </w:rPr>
      </w:pPr>
      <w:r>
        <w:rPr>
          <w:rFonts w:hint="eastAsia" w:ascii="宋体" w:hAnsi="宋体"/>
          <w:color w:val="000000" w:themeColor="text1"/>
          <w:szCs w:val="28"/>
        </w:rPr>
        <w:t xml:space="preserve"> </w:t>
      </w:r>
    </w:p>
    <w:p>
      <w:pPr>
        <w:spacing w:line="360" w:lineRule="auto"/>
        <w:ind w:firstLine="480"/>
        <w:rPr>
          <w:rFonts w:ascii="宋体" w:hAnsi="宋体"/>
          <w:color w:val="000000" w:themeColor="text1"/>
          <w:szCs w:val="28"/>
        </w:rPr>
      </w:pPr>
    </w:p>
    <w:p>
      <w:pPr>
        <w:spacing w:line="360" w:lineRule="auto"/>
        <w:ind w:firstLine="3360" w:firstLineChars="1400"/>
        <w:rPr>
          <w:rFonts w:ascii="宋体" w:hAnsi="宋体"/>
          <w:color w:val="000000" w:themeColor="text1"/>
          <w:szCs w:val="28"/>
        </w:rPr>
      </w:pPr>
    </w:p>
    <w:p>
      <w:pPr>
        <w:spacing w:line="360" w:lineRule="auto"/>
        <w:ind w:firstLine="964"/>
        <w:jc w:val="center"/>
        <w:rPr>
          <w:rFonts w:hint="eastAsia" w:ascii="仿宋" w:hAnsi="仿宋" w:eastAsia="仿宋"/>
          <w:b/>
          <w:color w:val="000000" w:themeColor="text1"/>
          <w:sz w:val="48"/>
          <w:szCs w:val="48"/>
          <w:lang w:eastAsia="zh-CN"/>
        </w:rPr>
      </w:pPr>
      <w:r>
        <w:rPr>
          <w:rFonts w:hint="eastAsia" w:ascii="仿宋" w:hAnsi="仿宋" w:eastAsia="仿宋"/>
          <w:b/>
          <w:color w:val="000000" w:themeColor="text1"/>
          <w:sz w:val="48"/>
          <w:szCs w:val="48"/>
        </w:rPr>
        <w:t>重庆市</w:t>
      </w:r>
      <w:r>
        <w:rPr>
          <w:rFonts w:hint="eastAsia" w:ascii="仿宋" w:hAnsi="仿宋" w:eastAsia="仿宋"/>
          <w:b/>
          <w:color w:val="000000" w:themeColor="text1"/>
          <w:sz w:val="48"/>
          <w:szCs w:val="48"/>
          <w:lang w:eastAsia="zh-CN"/>
        </w:rPr>
        <w:t>巴南区龙洲湾小学校</w:t>
      </w:r>
    </w:p>
    <w:p>
      <w:pPr>
        <w:spacing w:line="360" w:lineRule="auto"/>
        <w:ind w:firstLine="964"/>
        <w:jc w:val="center"/>
        <w:rPr>
          <w:color w:val="000000" w:themeColor="text1"/>
        </w:rPr>
      </w:pPr>
      <w:r>
        <w:rPr>
          <w:rFonts w:hint="eastAsia" w:ascii="仿宋" w:hAnsi="仿宋" w:eastAsia="仿宋"/>
          <w:b/>
          <w:color w:val="000000" w:themeColor="text1"/>
          <w:sz w:val="48"/>
          <w:szCs w:val="48"/>
        </w:rPr>
        <w:t>202</w:t>
      </w:r>
      <w:r>
        <w:rPr>
          <w:rFonts w:hint="eastAsia" w:ascii="仿宋" w:hAnsi="仿宋" w:eastAsia="仿宋"/>
          <w:b/>
          <w:color w:val="000000" w:themeColor="text1"/>
          <w:sz w:val="48"/>
          <w:szCs w:val="48"/>
          <w:lang w:val="en-US" w:eastAsia="zh-CN"/>
        </w:rPr>
        <w:t>5</w:t>
      </w:r>
      <w:r>
        <w:rPr>
          <w:rFonts w:hint="eastAsia" w:ascii="仿宋" w:hAnsi="仿宋" w:eastAsia="仿宋"/>
          <w:b/>
          <w:color w:val="000000" w:themeColor="text1"/>
          <w:sz w:val="48"/>
          <w:szCs w:val="48"/>
        </w:rPr>
        <w:t>年</w:t>
      </w:r>
      <w:r>
        <w:rPr>
          <w:rFonts w:hint="eastAsia" w:ascii="仿宋" w:hAnsi="仿宋" w:eastAsia="仿宋"/>
          <w:b/>
          <w:color w:val="000000" w:themeColor="text1"/>
          <w:sz w:val="48"/>
          <w:szCs w:val="48"/>
          <w:lang w:val="en-US" w:eastAsia="zh-CN"/>
        </w:rPr>
        <w:t>9</w:t>
      </w:r>
      <w:r>
        <w:rPr>
          <w:rFonts w:hint="eastAsia" w:ascii="仿宋" w:hAnsi="仿宋" w:eastAsia="仿宋"/>
          <w:b/>
          <w:color w:val="000000" w:themeColor="text1"/>
          <w:sz w:val="48"/>
          <w:szCs w:val="48"/>
        </w:rPr>
        <w:t>月</w:t>
      </w:r>
      <w:bookmarkEnd w:id="0"/>
    </w:p>
    <w:p>
      <w:pPr>
        <w:ind w:firstLine="480"/>
        <w:rPr>
          <w:color w:val="000000" w:themeColor="text1"/>
        </w:rPr>
      </w:pPr>
    </w:p>
    <w:p>
      <w:pPr>
        <w:pStyle w:val="2"/>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134" w:header="851" w:footer="851" w:gutter="0"/>
          <w:pgNumType w:fmt="numberInDash" w:start="1"/>
          <w:cols w:space="720" w:num="1"/>
          <w:docGrid w:type="lines" w:linePitch="326" w:charSpace="0"/>
        </w:sectPr>
      </w:pPr>
    </w:p>
    <w:p>
      <w:pPr>
        <w:pStyle w:val="3"/>
        <w:tabs>
          <w:tab w:val="left" w:pos="3360"/>
        </w:tabs>
        <w:adjustRightInd w:val="0"/>
        <w:snapToGrid w:val="0"/>
        <w:spacing w:before="0" w:after="0" w:line="240" w:lineRule="auto"/>
        <w:ind w:left="0" w:leftChars="0" w:firstLine="0" w:firstLineChars="0"/>
        <w:jc w:val="center"/>
        <w:rPr>
          <w:rFonts w:ascii="方正小标宋_GBK"/>
          <w:color w:val="000000" w:themeColor="text1"/>
        </w:rPr>
      </w:pPr>
      <w:bookmarkStart w:id="2" w:name="_Toc85029838"/>
      <w:bookmarkStart w:id="3" w:name="_Toc6522"/>
      <w:bookmarkStart w:id="4" w:name="_Toc31249"/>
      <w:bookmarkStart w:id="5" w:name="_Toc24244"/>
      <w:bookmarkStart w:id="6" w:name="_Toc27060"/>
      <w:bookmarkStart w:id="7" w:name="_Toc21936"/>
      <w:r>
        <w:rPr>
          <w:rFonts w:hint="eastAsia" w:ascii="方正小标宋_GBK"/>
          <w:color w:val="000000" w:themeColor="text1"/>
        </w:rPr>
        <w:t>第</w:t>
      </w:r>
      <w:r>
        <w:rPr>
          <w:rFonts w:hint="eastAsia" w:ascii="方正小标宋_GBK"/>
          <w:color w:val="000000" w:themeColor="text1"/>
          <w:lang w:val="en-US" w:eastAsia="zh-CN"/>
        </w:rPr>
        <w:t>一</w:t>
      </w:r>
      <w:r>
        <w:rPr>
          <w:rFonts w:hint="eastAsia" w:ascii="方正小标宋_GBK"/>
          <w:color w:val="000000" w:themeColor="text1"/>
        </w:rPr>
        <w:t>篇  项目技术需求</w:t>
      </w:r>
      <w:bookmarkEnd w:id="2"/>
      <w:bookmarkEnd w:id="3"/>
      <w:bookmarkEnd w:id="4"/>
    </w:p>
    <w:bookmarkEnd w:id="5"/>
    <w:bookmarkEnd w:id="6"/>
    <w:p>
      <w:pPr>
        <w:wordWrap w:val="0"/>
        <w:spacing w:afterLines="50" w:line="400" w:lineRule="exact"/>
        <w:ind w:firstLine="482"/>
        <w:rPr>
          <w:rFonts w:ascii="仿宋" w:hAnsi="仿宋" w:eastAsia="仿宋" w:cs="仿宋"/>
          <w:b/>
          <w:bCs/>
          <w:color w:val="000000" w:themeColor="text1"/>
        </w:rPr>
      </w:pPr>
    </w:p>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8" w:name="_Toc6080"/>
      <w:r>
        <w:rPr>
          <w:rFonts w:hint="eastAsia" w:ascii="仿宋" w:hAnsi="仿宋" w:eastAsia="仿宋" w:cs="仿宋"/>
          <w:b/>
          <w:color w:val="000000" w:themeColor="text1"/>
          <w:sz w:val="28"/>
          <w:szCs w:val="22"/>
        </w:rPr>
        <w:t>一、项目清单及技术需求表</w:t>
      </w:r>
      <w:bookmarkEnd w:id="8"/>
    </w:p>
    <w:p>
      <w:pPr>
        <w:adjustRightInd w:val="0"/>
        <w:snapToGrid w:val="0"/>
        <w:spacing w:line="336" w:lineRule="auto"/>
        <w:ind w:firstLine="480"/>
        <w:rPr>
          <w:rFonts w:hint="eastAsia" w:ascii="仿宋" w:hAnsi="仿宋" w:eastAsia="仿宋" w:cs="仿宋"/>
          <w:color w:val="000000" w:themeColor="text1"/>
        </w:rPr>
      </w:pPr>
      <w:r>
        <w:rPr>
          <w:rFonts w:hint="eastAsia" w:ascii="仿宋" w:hAnsi="仿宋" w:eastAsia="仿宋" w:cs="仿宋"/>
          <w:color w:val="000000" w:themeColor="text1"/>
        </w:rPr>
        <w:t>供应商必须严格按照技术方案要求投报与之要求相符的货物，若其中任意一项不能满足，则视为无效报价。技术要求项目清单部分见响应文件“明细报价表”部分。相关广告材质、尺寸、制作工艺等必须按要求。</w:t>
      </w:r>
      <w:r>
        <w:rPr>
          <w:rFonts w:hint="eastAsia" w:ascii="仿宋" w:hAnsi="仿宋" w:eastAsia="仿宋" w:cs="仿宋"/>
          <w:color w:val="000000" w:themeColor="text1"/>
          <w:u w:val="single"/>
        </w:rPr>
        <w:t>明细报价表中广告数量为服务期内预计制作</w:t>
      </w:r>
      <w:r>
        <w:rPr>
          <w:rFonts w:hint="eastAsia" w:ascii="仿宋" w:hAnsi="仿宋" w:eastAsia="仿宋" w:cs="仿宋"/>
          <w:color w:val="000000" w:themeColor="text1"/>
          <w:u w:val="single"/>
          <w:lang w:eastAsia="zh-CN"/>
        </w:rPr>
        <w:t>项目</w:t>
      </w:r>
      <w:r>
        <w:rPr>
          <w:rFonts w:hint="eastAsia" w:ascii="仿宋" w:hAnsi="仿宋" w:eastAsia="仿宋" w:cs="仿宋"/>
          <w:color w:val="000000" w:themeColor="text1"/>
          <w:u w:val="single"/>
        </w:rPr>
        <w:t>，非单次制作数量</w:t>
      </w:r>
      <w:r>
        <w:rPr>
          <w:rFonts w:hint="eastAsia" w:ascii="仿宋" w:hAnsi="仿宋" w:eastAsia="仿宋" w:cs="仿宋"/>
          <w:color w:val="000000" w:themeColor="text1"/>
          <w:u w:val="single"/>
          <w:lang w:eastAsia="zh-CN"/>
        </w:rPr>
        <w:t>，非合同期间制作数量</w:t>
      </w:r>
      <w:r>
        <w:rPr>
          <w:rFonts w:hint="eastAsia" w:ascii="仿宋" w:hAnsi="仿宋" w:eastAsia="仿宋" w:cs="仿宋"/>
          <w:color w:val="000000" w:themeColor="text1"/>
          <w:u w:val="single"/>
        </w:rPr>
        <w:t>，</w:t>
      </w:r>
      <w:r>
        <w:rPr>
          <w:rFonts w:hint="eastAsia" w:ascii="仿宋" w:hAnsi="仿宋" w:eastAsia="仿宋" w:cs="仿宋"/>
          <w:color w:val="000000" w:themeColor="text1"/>
          <w:u w:val="single"/>
          <w:lang w:eastAsia="zh-CN"/>
        </w:rPr>
        <w:t>具体根据学校需求</w:t>
      </w:r>
      <w:r>
        <w:rPr>
          <w:rFonts w:hint="eastAsia" w:ascii="仿宋" w:hAnsi="仿宋" w:eastAsia="仿宋" w:cs="仿宋"/>
          <w:color w:val="000000" w:themeColor="text1"/>
          <w:u w:val="single"/>
        </w:rPr>
        <w:t>据实结算。每次各类数量普遍较少，请报价时注意。</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如学校所需物品不在上述清单之列，则甲、乙双方协商议价，因此类物品种类繁多，清单无法全部涵盖，为确保学校教育教学的正常开展，未列在清单中的物品，供应商也须为学校提供，价格由甲乙双方协商，且不得高于平台同类价格。</w:t>
      </w:r>
    </w:p>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9" w:name="_Toc28869"/>
      <w:r>
        <w:rPr>
          <w:rFonts w:hint="eastAsia" w:ascii="仿宋" w:hAnsi="仿宋" w:eastAsia="仿宋" w:cs="仿宋"/>
          <w:b/>
          <w:color w:val="000000" w:themeColor="text1"/>
          <w:sz w:val="28"/>
          <w:szCs w:val="22"/>
        </w:rPr>
        <w:t>二、广告设计与制作服务要求</w:t>
      </w:r>
      <w:bookmarkEnd w:id="9"/>
    </w:p>
    <w:p>
      <w:pPr>
        <w:adjustRightInd w:val="0"/>
        <w:snapToGrid w:val="0"/>
        <w:spacing w:line="336" w:lineRule="auto"/>
        <w:ind w:firstLine="480"/>
        <w:rPr>
          <w:rFonts w:ascii="仿宋" w:hAnsi="仿宋" w:eastAsia="仿宋" w:cs="仿宋"/>
          <w:color w:val="000000" w:themeColor="text1"/>
        </w:rPr>
      </w:pPr>
      <w:bookmarkStart w:id="10" w:name="_Toc27515"/>
      <w:bookmarkStart w:id="11" w:name="_Toc29120"/>
      <w:r>
        <w:rPr>
          <w:rFonts w:hint="eastAsia" w:ascii="仿宋" w:hAnsi="仿宋" w:eastAsia="仿宋" w:cs="仿宋"/>
          <w:color w:val="000000" w:themeColor="text1"/>
        </w:rPr>
        <w:t>1</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服务区域包括重庆市</w:t>
      </w:r>
      <w:r>
        <w:rPr>
          <w:rFonts w:hint="eastAsia" w:ascii="仿宋" w:hAnsi="仿宋" w:eastAsia="仿宋" w:cs="仿宋"/>
          <w:color w:val="000000" w:themeColor="text1"/>
          <w:lang w:eastAsia="zh-CN"/>
        </w:rPr>
        <w:t>巴南龙洲湾小学校所有零星广告</w:t>
      </w:r>
      <w:r>
        <w:rPr>
          <w:rFonts w:hint="eastAsia" w:ascii="仿宋" w:hAnsi="仿宋" w:eastAsia="仿宋" w:cs="仿宋"/>
          <w:color w:val="000000" w:themeColor="text1"/>
        </w:rPr>
        <w:t>。</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2</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零星广告适用范围：适用于金额较小、时间较紧的零星广告项目。金额较大或专项的广告设计与制作，学校可通过询价或其它方式确定供应商。印刷品类制作，学校在不高于中标供应商报价的情况下，可以向第三方公司进行采购。非印刷品的零星广告制作，原则上由中标供应商提供服务。</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3</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重庆市</w:t>
      </w:r>
      <w:r>
        <w:rPr>
          <w:rFonts w:hint="eastAsia" w:ascii="仿宋" w:hAnsi="仿宋" w:eastAsia="仿宋" w:cs="仿宋"/>
          <w:color w:val="000000" w:themeColor="text1"/>
          <w:lang w:eastAsia="zh-CN"/>
        </w:rPr>
        <w:t>巴南龙洲湾小学校</w:t>
      </w:r>
      <w:r>
        <w:rPr>
          <w:rFonts w:hint="eastAsia" w:ascii="仿宋" w:hAnsi="仿宋" w:eastAsia="仿宋" w:cs="仿宋"/>
          <w:color w:val="000000" w:themeColor="text1"/>
        </w:rPr>
        <w:t>零星广告主要是户外写真、户外写真+超卡板，亚克力展板、</w:t>
      </w:r>
      <w:r>
        <w:rPr>
          <w:rFonts w:hint="eastAsia" w:ascii="仿宋" w:hAnsi="仿宋" w:eastAsia="仿宋" w:cs="仿宋"/>
          <w:color w:val="000000" w:themeColor="text1"/>
          <w:lang w:eastAsia="zh-CN"/>
        </w:rPr>
        <w:t>不锈钢展架、</w:t>
      </w:r>
      <w:r>
        <w:rPr>
          <w:rFonts w:hint="eastAsia" w:ascii="仿宋" w:hAnsi="仿宋" w:eastAsia="仿宋" w:cs="仿宋"/>
          <w:color w:val="000000" w:themeColor="text1"/>
        </w:rPr>
        <w:t>横幅等常见广告类型。</w:t>
      </w:r>
    </w:p>
    <w:p>
      <w:pPr>
        <w:numPr>
          <w:ilvl w:val="0"/>
          <w:numId w:val="0"/>
        </w:numPr>
        <w:adjustRightInd w:val="0"/>
        <w:snapToGrid w:val="0"/>
        <w:spacing w:line="336" w:lineRule="auto"/>
        <w:ind w:firstLine="480" w:firstLineChars="200"/>
        <w:rPr>
          <w:rFonts w:ascii="仿宋" w:hAnsi="仿宋" w:eastAsia="仿宋" w:cs="仿宋"/>
          <w:color w:val="000000" w:themeColor="text1"/>
        </w:rPr>
      </w:pPr>
      <w:r>
        <w:rPr>
          <w:rFonts w:hint="eastAsia" w:ascii="仿宋" w:hAnsi="仿宋" w:eastAsia="仿宋" w:cs="仿宋"/>
          <w:color w:val="000000" w:themeColor="text1"/>
          <w:lang w:val="en-US" w:eastAsia="zh-CN"/>
        </w:rPr>
        <w:t>4.</w:t>
      </w:r>
      <w:r>
        <w:rPr>
          <w:rFonts w:hint="eastAsia" w:ascii="仿宋" w:hAnsi="仿宋" w:eastAsia="仿宋" w:cs="仿宋"/>
          <w:color w:val="000000" w:themeColor="text1"/>
        </w:rPr>
        <w:t>对项目金额</w:t>
      </w:r>
      <w:r>
        <w:rPr>
          <w:rFonts w:hint="eastAsia" w:ascii="仿宋" w:hAnsi="仿宋" w:eastAsia="仿宋" w:cs="仿宋"/>
          <w:color w:val="000000" w:themeColor="text1"/>
          <w:lang w:val="en-US" w:eastAsia="zh-CN"/>
        </w:rPr>
        <w:t>1</w:t>
      </w:r>
      <w:r>
        <w:rPr>
          <w:rFonts w:hint="eastAsia" w:ascii="仿宋" w:hAnsi="仿宋" w:eastAsia="仿宋" w:cs="仿宋"/>
          <w:color w:val="000000" w:themeColor="text1"/>
        </w:rPr>
        <w:t>000</w:t>
      </w:r>
      <w:r>
        <w:rPr>
          <w:rFonts w:hint="eastAsia" w:ascii="仿宋" w:hAnsi="仿宋" w:eastAsia="仿宋" w:cs="仿宋"/>
          <w:color w:val="000000" w:themeColor="text1"/>
          <w:lang w:val="en-US" w:eastAsia="zh-CN"/>
        </w:rPr>
        <w:t>0</w:t>
      </w:r>
      <w:r>
        <w:rPr>
          <w:rFonts w:hint="eastAsia" w:ascii="仿宋" w:hAnsi="仿宋" w:eastAsia="仿宋" w:cs="仿宋"/>
          <w:color w:val="000000" w:themeColor="text1"/>
        </w:rPr>
        <w:t>元以上，时间不急的项目，原则上应挂网公告竞价采购。竞价采购相关方案由中标供应商编制（主要是材质+尺寸+数量），相关广告采购方案编制不收取费用。</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5</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合同履行期间，成交供应商需做好工作人员的管理和安全教育，高空安装拟派的技术人员应具备特种作业操作证（高处作业），在施工期间出现任何安全事故由成交供应商自行负责。</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6</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设计方案需得到采购人确认后方可制作</w:t>
      </w:r>
      <w:r>
        <w:rPr>
          <w:rFonts w:hint="eastAsia" w:ascii="仿宋" w:hAnsi="仿宋" w:eastAsia="仿宋" w:cs="仿宋"/>
          <w:color w:val="000000" w:themeColor="text1"/>
          <w:lang w:eastAsia="zh-CN"/>
        </w:rPr>
        <w:t>，</w:t>
      </w:r>
      <w:r>
        <w:rPr>
          <w:rFonts w:hint="eastAsia" w:ascii="仿宋" w:hAnsi="仿宋" w:eastAsia="仿宋" w:cs="仿宋"/>
          <w:color w:val="000000" w:themeColor="text1"/>
        </w:rPr>
        <w:t>成交供应商不单独收取设计费。供应商应</w:t>
      </w:r>
      <w:r>
        <w:rPr>
          <w:rFonts w:hint="eastAsia" w:ascii="仿宋" w:hAnsi="仿宋" w:eastAsia="仿宋" w:cs="仿宋"/>
          <w:color w:val="000000" w:themeColor="text1"/>
          <w:lang w:eastAsia="zh-CN"/>
        </w:rPr>
        <w:t>设计</w:t>
      </w:r>
      <w:r>
        <w:rPr>
          <w:rFonts w:hint="eastAsia" w:ascii="仿宋" w:hAnsi="仿宋" w:eastAsia="仿宋" w:cs="仿宋"/>
          <w:color w:val="000000" w:themeColor="text1"/>
          <w:lang w:val="en-US" w:eastAsia="zh-CN"/>
        </w:rPr>
        <w:t>2套及</w:t>
      </w:r>
      <w:r>
        <w:rPr>
          <w:rFonts w:hint="eastAsia" w:ascii="仿宋" w:hAnsi="仿宋" w:eastAsia="仿宋" w:cs="仿宋"/>
          <w:color w:val="000000" w:themeColor="text1"/>
        </w:rPr>
        <w:t>以上</w:t>
      </w:r>
      <w:r>
        <w:rPr>
          <w:rFonts w:hint="eastAsia" w:ascii="仿宋" w:hAnsi="仿宋" w:eastAsia="仿宋" w:cs="仿宋"/>
          <w:color w:val="000000" w:themeColor="text1"/>
          <w:lang w:eastAsia="zh-CN"/>
        </w:rPr>
        <w:t>设计方案</w:t>
      </w:r>
      <w:r>
        <w:rPr>
          <w:rFonts w:hint="eastAsia" w:ascii="仿宋" w:hAnsi="仿宋" w:eastAsia="仿宋" w:cs="仿宋"/>
          <w:color w:val="000000" w:themeColor="text1"/>
        </w:rPr>
        <w:t>，以方便学校选择设计方案。</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7</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各潜在供应商自行勘测现场，所提供的材料质量不得低于我校现有材料的质量。各潜在供应商所提供的产品、速度若达不到采购人需求，则采购人有权单方面解除合同。</w:t>
      </w:r>
    </w:p>
    <w:p>
      <w:pPr>
        <w:adjustRightInd w:val="0"/>
        <w:snapToGrid w:val="0"/>
        <w:spacing w:line="336" w:lineRule="auto"/>
        <w:ind w:firstLine="480"/>
        <w:rPr>
          <w:rFonts w:hint="eastAsia" w:ascii="仿宋" w:hAnsi="仿宋" w:eastAsia="仿宋" w:cs="仿宋"/>
          <w:color w:val="000000" w:themeColor="text1"/>
          <w:highlight w:val="none"/>
          <w:lang w:eastAsia="zh-CN"/>
        </w:rPr>
      </w:pPr>
      <w:r>
        <w:rPr>
          <w:rFonts w:hint="eastAsia" w:ascii="仿宋" w:hAnsi="仿宋" w:eastAsia="仿宋" w:cs="仿宋"/>
          <w:color w:val="000000" w:themeColor="text1"/>
          <w:highlight w:val="none"/>
        </w:rPr>
        <w:t>8</w:t>
      </w:r>
      <w:r>
        <w:rPr>
          <w:rFonts w:hint="eastAsia" w:ascii="仿宋" w:hAnsi="仿宋" w:eastAsia="仿宋" w:cs="仿宋"/>
          <w:color w:val="000000" w:themeColor="text1"/>
          <w:highlight w:val="none"/>
          <w:lang w:val="en-US" w:eastAsia="zh-CN"/>
        </w:rPr>
        <w:t>.</w:t>
      </w:r>
      <w:r>
        <w:rPr>
          <w:rFonts w:hint="eastAsia" w:ascii="仿宋" w:hAnsi="仿宋" w:eastAsia="仿宋" w:cs="仿宋"/>
          <w:color w:val="000000" w:themeColor="text1"/>
          <w:highlight w:val="none"/>
          <w:u w:val="single"/>
        </w:rPr>
        <w:t>本次报价要求填写单项报价，</w:t>
      </w:r>
      <w:r>
        <w:rPr>
          <w:rFonts w:hint="eastAsia" w:ascii="仿宋" w:hAnsi="仿宋" w:eastAsia="仿宋" w:cs="仿宋"/>
          <w:color w:val="000000" w:themeColor="text1"/>
          <w:highlight w:val="none"/>
          <w:u w:val="single"/>
          <w:lang w:eastAsia="zh-CN"/>
        </w:rPr>
        <w:t>所有项目都必须填写报价，遗漏判为无效报价</w:t>
      </w:r>
      <w:r>
        <w:rPr>
          <w:rFonts w:hint="eastAsia" w:ascii="仿宋" w:hAnsi="仿宋" w:eastAsia="仿宋" w:cs="仿宋"/>
          <w:color w:val="000000" w:themeColor="text1"/>
          <w:highlight w:val="none"/>
          <w:lang w:eastAsia="zh-CN"/>
        </w:rPr>
        <w:t>。</w:t>
      </w:r>
    </w:p>
    <w:p>
      <w:pPr>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9</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供应商提供的货物必须完全符合国家有关质量，技术标准。配置必须满足采购方要求型号规格及主要技术要求。</w:t>
      </w:r>
    </w:p>
    <w:p>
      <w:pPr>
        <w:adjustRightInd w:val="0"/>
        <w:snapToGrid w:val="0"/>
        <w:spacing w:line="336" w:lineRule="auto"/>
        <w:ind w:firstLine="480"/>
        <w:rPr>
          <w:rFonts w:ascii="仿宋" w:hAnsi="仿宋" w:eastAsia="仿宋" w:cs="仿宋"/>
          <w:color w:val="000000" w:themeColor="text1"/>
        </w:rPr>
        <w:sectPr>
          <w:footerReference r:id="rId9" w:type="default"/>
          <w:pgSz w:w="11907" w:h="16840"/>
          <w:pgMar w:top="1134" w:right="1191" w:bottom="1134" w:left="1304" w:header="851" w:footer="992" w:gutter="0"/>
          <w:pgNumType w:fmt="numberInDash"/>
          <w:cols w:space="720" w:num="1"/>
          <w:docGrid w:linePitch="380" w:charSpace="-5735"/>
        </w:sectPr>
      </w:pPr>
    </w:p>
    <w:p>
      <w:pPr>
        <w:pStyle w:val="3"/>
        <w:tabs>
          <w:tab w:val="left" w:pos="3360"/>
        </w:tabs>
        <w:adjustRightInd w:val="0"/>
        <w:snapToGrid w:val="0"/>
        <w:spacing w:before="0" w:after="0" w:line="240" w:lineRule="auto"/>
        <w:ind w:left="0" w:leftChars="0" w:firstLine="0" w:firstLineChars="0"/>
        <w:jc w:val="center"/>
        <w:rPr>
          <w:rFonts w:ascii="方正小标宋_GBK"/>
          <w:color w:val="000000" w:themeColor="text1"/>
        </w:rPr>
      </w:pPr>
      <w:bookmarkStart w:id="12" w:name="_Toc20075"/>
      <w:r>
        <w:rPr>
          <w:rFonts w:hint="eastAsia" w:ascii="方正小标宋_GBK"/>
          <w:color w:val="000000" w:themeColor="text1"/>
        </w:rPr>
        <w:t>第</w:t>
      </w:r>
      <w:r>
        <w:rPr>
          <w:rFonts w:hint="eastAsia" w:ascii="方正小标宋_GBK"/>
          <w:color w:val="000000" w:themeColor="text1"/>
          <w:lang w:val="en-US" w:eastAsia="zh-CN"/>
        </w:rPr>
        <w:t>二</w:t>
      </w:r>
      <w:r>
        <w:rPr>
          <w:rFonts w:hint="eastAsia" w:ascii="方正小标宋_GBK"/>
          <w:color w:val="000000" w:themeColor="text1"/>
        </w:rPr>
        <w:t>篇  项目商务需求</w:t>
      </w:r>
      <w:bookmarkEnd w:id="12"/>
    </w:p>
    <w:bookmarkEnd w:id="10"/>
    <w:bookmarkEnd w:id="11"/>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13" w:name="_Toc466546913"/>
      <w:bookmarkStart w:id="14" w:name="_Toc344475120"/>
      <w:bookmarkStart w:id="15" w:name="_Toc16005"/>
      <w:bookmarkStart w:id="16" w:name="_Toc516231412"/>
      <w:bookmarkStart w:id="17" w:name="_Toc525658704"/>
      <w:r>
        <w:rPr>
          <w:rFonts w:hint="eastAsia" w:ascii="仿宋" w:hAnsi="仿宋" w:eastAsia="仿宋" w:cs="仿宋"/>
          <w:b/>
          <w:color w:val="000000" w:themeColor="text1"/>
          <w:sz w:val="28"/>
          <w:szCs w:val="22"/>
        </w:rPr>
        <w:t>一、</w:t>
      </w:r>
      <w:bookmarkEnd w:id="13"/>
      <w:bookmarkEnd w:id="14"/>
      <w:r>
        <w:rPr>
          <w:rFonts w:hint="eastAsia" w:ascii="仿宋" w:hAnsi="仿宋" w:eastAsia="仿宋" w:cs="仿宋"/>
          <w:b/>
          <w:color w:val="000000" w:themeColor="text1"/>
          <w:sz w:val="28"/>
          <w:szCs w:val="22"/>
        </w:rPr>
        <w:t>服务期限、地点及验收方式</w:t>
      </w:r>
      <w:bookmarkEnd w:id="15"/>
    </w:p>
    <w:p>
      <w:pPr>
        <w:wordWrap w:val="0"/>
        <w:adjustRightInd w:val="0"/>
        <w:snapToGrid w:val="0"/>
        <w:spacing w:line="336" w:lineRule="auto"/>
        <w:ind w:firstLine="480"/>
        <w:rPr>
          <w:rFonts w:ascii="仿宋" w:eastAsia="仿宋" w:cs="仿宋"/>
          <w:color w:val="000000" w:themeColor="text1"/>
        </w:rPr>
      </w:pPr>
      <w:r>
        <w:rPr>
          <w:rFonts w:hint="eastAsia" w:ascii="仿宋" w:hAnsi="仿宋" w:eastAsia="仿宋" w:cs="仿宋"/>
          <w:color w:val="000000" w:themeColor="text1"/>
        </w:rPr>
        <w:t>1</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服务期：</w:t>
      </w:r>
      <w:r>
        <w:rPr>
          <w:rFonts w:hint="eastAsia" w:ascii="仿宋" w:eastAsia="仿宋" w:cs="仿宋"/>
          <w:color w:val="000000" w:themeColor="text1"/>
        </w:rPr>
        <w:t>合同签订之日起2年</w:t>
      </w:r>
      <w:r>
        <w:rPr>
          <w:rFonts w:hint="eastAsia" w:ascii="仿宋" w:eastAsia="仿宋" w:cs="仿宋"/>
          <w:color w:val="000000" w:themeColor="text1"/>
          <w:lang w:eastAsia="zh-CN"/>
        </w:rPr>
        <w:t>，到期后</w:t>
      </w:r>
      <w:r>
        <w:rPr>
          <w:rFonts w:hint="eastAsia" w:ascii="仿宋" w:eastAsia="仿宋" w:cs="仿宋"/>
          <w:color w:val="000000" w:themeColor="text1"/>
        </w:rPr>
        <w:t>合同自动终止，重新</w:t>
      </w:r>
      <w:r>
        <w:rPr>
          <w:rFonts w:hint="eastAsia" w:ascii="仿宋" w:eastAsia="仿宋" w:cs="仿宋"/>
          <w:color w:val="000000" w:themeColor="text1"/>
          <w:lang w:eastAsia="zh-CN"/>
        </w:rPr>
        <w:t>招标</w:t>
      </w:r>
      <w:r>
        <w:rPr>
          <w:rFonts w:hint="eastAsia" w:ascii="仿宋" w:eastAsia="仿宋" w:cs="仿宋"/>
          <w:color w:val="000000" w:themeColor="text1"/>
        </w:rPr>
        <w:t>供应商。</w:t>
      </w:r>
    </w:p>
    <w:p>
      <w:pPr>
        <w:wordWrap w:val="0"/>
        <w:adjustRightInd w:val="0"/>
        <w:snapToGrid w:val="0"/>
        <w:spacing w:line="336" w:lineRule="auto"/>
        <w:ind w:firstLine="480"/>
        <w:outlineLvl w:val="1"/>
        <w:rPr>
          <w:rFonts w:ascii="仿宋" w:hAnsi="仿宋" w:eastAsia="仿宋" w:cs="仿宋"/>
          <w:color w:val="000000" w:themeColor="text1"/>
        </w:rPr>
      </w:pPr>
      <w:bookmarkStart w:id="18" w:name="_Toc18823"/>
      <w:r>
        <w:rPr>
          <w:rFonts w:hint="eastAsia" w:ascii="仿宋" w:hAnsi="仿宋" w:eastAsia="仿宋" w:cs="仿宋"/>
          <w:color w:val="000000" w:themeColor="text1"/>
        </w:rPr>
        <w:t>2</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交货地点：采购人指定地点。</w:t>
      </w:r>
      <w:bookmarkEnd w:id="18"/>
    </w:p>
    <w:p>
      <w:pPr>
        <w:wordWrap w:val="0"/>
        <w:adjustRightInd w:val="0"/>
        <w:snapToGrid w:val="0"/>
        <w:spacing w:line="336" w:lineRule="auto"/>
        <w:ind w:firstLine="480"/>
        <w:rPr>
          <w:rFonts w:ascii="仿宋" w:eastAsia="仿宋" w:cs="仿宋"/>
          <w:color w:val="000000" w:themeColor="text1"/>
        </w:rPr>
      </w:pPr>
      <w:r>
        <w:rPr>
          <w:rFonts w:hint="eastAsia" w:ascii="仿宋" w:hAnsi="仿宋" w:eastAsia="仿宋" w:cs="仿宋"/>
          <w:color w:val="000000" w:themeColor="text1"/>
        </w:rPr>
        <w:t>3</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交货验收：</w:t>
      </w:r>
      <w:r>
        <w:rPr>
          <w:rFonts w:hint="eastAsia" w:ascii="仿宋" w:eastAsia="仿宋" w:cs="仿宋"/>
          <w:color w:val="000000" w:themeColor="text1"/>
        </w:rPr>
        <w:t>由采购人对成交供应商提供的编辑、设计、制作、安装、拆除等服务进行验收。若验收不合格，成交供应商必须在采购人规定的限期内整改完毕，否则采购人有权解除合同。户外广告、宣传栏每次制作安装并验收合格完成起3个月内如有破损、掉落等，由成交供应商负责修复更换。</w:t>
      </w:r>
    </w:p>
    <w:p>
      <w:pPr>
        <w:wordWrap w:val="0"/>
        <w:adjustRightInd w:val="0"/>
        <w:snapToGrid w:val="0"/>
        <w:spacing w:line="336" w:lineRule="auto"/>
        <w:ind w:firstLine="480"/>
        <w:rPr>
          <w:rFonts w:ascii="仿宋" w:hAnsi="仿宋" w:eastAsia="仿宋" w:cs="仿宋"/>
          <w:color w:val="000000" w:themeColor="text1"/>
        </w:rPr>
      </w:pPr>
      <w:r>
        <w:rPr>
          <w:rFonts w:hint="eastAsia" w:ascii="仿宋" w:eastAsia="仿宋" w:cs="仿宋"/>
          <w:color w:val="000000" w:themeColor="text1"/>
        </w:rPr>
        <w:t>4</w:t>
      </w:r>
      <w:r>
        <w:rPr>
          <w:rFonts w:hint="eastAsia" w:ascii="仿宋" w:eastAsia="仿宋" w:cs="仿宋"/>
          <w:color w:val="000000" w:themeColor="text1"/>
          <w:lang w:val="en-US" w:eastAsia="zh-CN"/>
        </w:rPr>
        <w:t>.</w:t>
      </w:r>
      <w:r>
        <w:rPr>
          <w:rFonts w:hint="eastAsia" w:ascii="仿宋" w:eastAsia="仿宋" w:cs="仿宋"/>
          <w:color w:val="000000" w:themeColor="text1"/>
        </w:rPr>
        <w:t>交货时间：</w:t>
      </w:r>
      <w:r>
        <w:rPr>
          <w:rFonts w:hint="eastAsia" w:ascii="仿宋" w:hAnsi="仿宋" w:eastAsia="仿宋" w:cs="仿宋"/>
          <w:color w:val="000000" w:themeColor="text1"/>
        </w:rPr>
        <w:t>因学校各处室、各年级组广告制作种类多，零星上门测量、广告配送非常频繁，供货商须按照采购人需求，将相关广告成品按照采购人要求的具体时间节点配送到各年级组及各处室等指定地点，请各潜在供应商充分考虑并进行成本核算。各潜在供应商原则上保证，在学校发出广告制作需求后4小时内响应（需要测量的上门测量），简单设计一般在</w:t>
      </w:r>
      <w:r>
        <w:rPr>
          <w:rFonts w:hint="eastAsia" w:ascii="仿宋" w:hAnsi="仿宋" w:eastAsia="仿宋" w:cs="仿宋"/>
          <w:color w:val="000000" w:themeColor="text1"/>
          <w:lang w:val="en-US" w:eastAsia="zh-CN"/>
        </w:rPr>
        <w:t>1</w:t>
      </w:r>
      <w:r>
        <w:rPr>
          <w:rFonts w:hint="eastAsia" w:ascii="仿宋" w:hAnsi="仿宋" w:eastAsia="仿宋" w:cs="仿宋"/>
          <w:color w:val="000000" w:themeColor="text1"/>
        </w:rPr>
        <w:t>天内完成，设计图确认后2天内及时送货到采购人指定地点并按要求完成安装（特殊原因双方协商解决）。</w:t>
      </w:r>
    </w:p>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19" w:name="_Toc29507"/>
      <w:r>
        <w:rPr>
          <w:rFonts w:hint="eastAsia" w:ascii="仿宋" w:hAnsi="仿宋" w:eastAsia="仿宋" w:cs="仿宋"/>
          <w:b/>
          <w:color w:val="000000" w:themeColor="text1"/>
          <w:sz w:val="28"/>
          <w:szCs w:val="22"/>
        </w:rPr>
        <w:t>二、报价要求与结算方式</w:t>
      </w:r>
      <w:bookmarkEnd w:id="19"/>
    </w:p>
    <w:p>
      <w:pPr>
        <w:pStyle w:val="14"/>
        <w:adjustRightInd w:val="0"/>
        <w:snapToGrid w:val="0"/>
        <w:spacing w:line="336" w:lineRule="auto"/>
        <w:ind w:firstLine="480"/>
        <w:rPr>
          <w:rFonts w:hint="eastAsia" w:ascii="仿宋" w:hAnsi="仿宋" w:eastAsia="仿宋" w:cs="仿宋"/>
          <w:color w:val="000000" w:themeColor="text1"/>
        </w:rPr>
      </w:pPr>
      <w:r>
        <w:rPr>
          <w:rFonts w:hint="eastAsia" w:ascii="仿宋" w:hAnsi="仿宋" w:eastAsia="仿宋" w:cs="仿宋"/>
          <w:color w:val="000000" w:themeColor="text1"/>
        </w:rPr>
        <w:t>1</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此报价为人民币报价，费用包含测量、广告设计、制作、物料成本、运输、安装、安装辅材、拆除（如横幅、过期广告等需要拆除的项目）及税费等所有费用。因成交供应商自身原因造成漏报、少报皆由其自行承担责任，采购人不再补偿。在合同有效期内，均按不高于此价格执行。如有报价表未包含的项目，价格由双方协商。</w:t>
      </w:r>
    </w:p>
    <w:p>
      <w:pPr>
        <w:pStyle w:val="14"/>
        <w:adjustRightInd w:val="0"/>
        <w:snapToGrid w:val="0"/>
        <w:spacing w:line="336" w:lineRule="auto"/>
        <w:ind w:firstLine="480"/>
        <w:rPr>
          <w:rFonts w:hint="eastAsia" w:ascii="仿宋" w:hAnsi="仿宋" w:eastAsia="仿宋" w:cs="仿宋"/>
          <w:color w:val="000000" w:themeColor="text1"/>
        </w:rPr>
      </w:pPr>
      <w:r>
        <w:rPr>
          <w:rFonts w:hint="eastAsia" w:ascii="仿宋" w:hAnsi="仿宋" w:eastAsia="仿宋" w:cs="仿宋"/>
          <w:color w:val="000000" w:themeColor="text1"/>
          <w:lang w:val="en-US" w:eastAsia="zh-CN"/>
        </w:rPr>
        <w:t>2.</w:t>
      </w:r>
      <w:r>
        <w:rPr>
          <w:rFonts w:hint="eastAsia" w:ascii="仿宋" w:hAnsi="仿宋" w:eastAsia="仿宋" w:cs="仿宋"/>
          <w:color w:val="000000" w:themeColor="text1"/>
        </w:rPr>
        <w:t>服务单价不能高于中标单价价格,最终结算费用以实际发生工程量为准,供应商须按要求提供广告设计与制作结算清单，并由采购方各处室经办人签字。制作清单核实后，在云平台服务超市下单采购。</w:t>
      </w:r>
    </w:p>
    <w:bookmarkEnd w:id="16"/>
    <w:bookmarkEnd w:id="17"/>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20" w:name="_Toc2565"/>
      <w:r>
        <w:rPr>
          <w:rFonts w:hint="eastAsia" w:ascii="仿宋" w:hAnsi="仿宋" w:eastAsia="仿宋" w:cs="仿宋"/>
          <w:b/>
          <w:color w:val="000000" w:themeColor="text1"/>
          <w:sz w:val="28"/>
          <w:szCs w:val="22"/>
        </w:rPr>
        <w:t>三、付款方式</w:t>
      </w:r>
      <w:bookmarkEnd w:id="20"/>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原则上货款支付为每月结算（</w:t>
      </w:r>
      <w:r>
        <w:rPr>
          <w:rFonts w:hint="eastAsia" w:ascii="仿宋" w:hAnsi="仿宋" w:eastAsia="仿宋" w:cs="仿宋"/>
          <w:color w:val="000000" w:themeColor="text1"/>
          <w:lang w:eastAsia="zh-CN"/>
        </w:rPr>
        <w:t>特殊情况</w:t>
      </w:r>
      <w:r>
        <w:rPr>
          <w:rFonts w:hint="eastAsia" w:ascii="仿宋" w:hAnsi="仿宋" w:eastAsia="仿宋" w:cs="仿宋"/>
          <w:color w:val="000000" w:themeColor="text1"/>
        </w:rPr>
        <w:t>除外），货款结算时，中标供应商提供广告设计与制作结算清单。如发现供应商结算价格高于中标价格，一经发现，在下次结算中按多收金额2倍计算违约金并扣除相应费用。供应商3次以上金额结算错误的，采购人可立即终止合同，相关损失供应商自行承担。</w:t>
      </w:r>
    </w:p>
    <w:p>
      <w:pPr>
        <w:wordWrap w:val="0"/>
        <w:adjustRightInd w:val="0"/>
        <w:snapToGrid w:val="0"/>
        <w:spacing w:line="336" w:lineRule="auto"/>
        <w:ind w:firstLine="562"/>
        <w:outlineLvl w:val="0"/>
        <w:rPr>
          <w:rFonts w:ascii="仿宋" w:hAnsi="仿宋" w:eastAsia="仿宋" w:cs="仿宋"/>
          <w:b/>
          <w:color w:val="000000" w:themeColor="text1"/>
          <w:sz w:val="28"/>
          <w:szCs w:val="22"/>
        </w:rPr>
      </w:pPr>
      <w:bookmarkStart w:id="21" w:name="_Toc16315"/>
      <w:r>
        <w:rPr>
          <w:rFonts w:hint="eastAsia" w:ascii="仿宋" w:hAnsi="仿宋" w:eastAsia="仿宋" w:cs="仿宋"/>
          <w:b/>
          <w:color w:val="000000" w:themeColor="text1"/>
          <w:sz w:val="28"/>
          <w:szCs w:val="22"/>
        </w:rPr>
        <w:t>四、供应商的权利与义务</w:t>
      </w:r>
      <w:bookmarkEnd w:id="21"/>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1</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严格按照采购方确认的小样稿、设计方案等要求进行制作，确保按照合同约定的时间和方式保质保量地履行制作物品的交付义务；对于供应商包安装的物品，确保按照合同约定的时间履行全部物品的安装义务。</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2</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对于需要供应商送货上门的物品，供应商应负责承担运费、装卸费及人工费，在合同约定的时间内将物品送至合同约定的地点，供采购方收货验收。</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3</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按照合同约定，采购方对物品的包装有特殊要求时，供应商应从其约定。因供应商包装不善造成物品毁损灭失的，由供应商赔偿所有损失。</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4</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如因供应商设计、制作的物品涉及知识产权侵权问题，导致采购方被诉，供应商应赔偿该侵权行为给采购方造成的一切直接和间接损失，并向采购方承担违约责任。</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5</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对于供应商包安装的广告物品，供应商应严格按照采购方要求的规格、工艺、标准、合同附件及其他要求制作广告，规范施工，合理地安装广告版面，在广告制作项目过程中接受采购方或采购方委托有关单位的监督和检查。</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6</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供应商制作、施工、安装广告物品时不得损坏采购方的有关物品和设施，否则应全额赔偿采购方的损失。</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7</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供应商在广告物品的制作、安装过程中，应保证安全、文明施工。若因施工行为导致采购方或第三人人身、财产损害，供应商应承担全部赔偿责任及相关法律责任。</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8</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本合同中供应商所负责制作、安装的全部广告物品交由采购方验收合格之前，在制作、安装、成品保管过程中若发生毁损灭失的，一切责任及风险均由供应商承担。</w:t>
      </w:r>
    </w:p>
    <w:p>
      <w:pPr>
        <w:wordWrap w:val="0"/>
        <w:adjustRightInd w:val="0"/>
        <w:snapToGrid w:val="0"/>
        <w:spacing w:line="336" w:lineRule="auto"/>
        <w:ind w:firstLine="480"/>
        <w:rPr>
          <w:rFonts w:ascii="仿宋" w:hAnsi="仿宋" w:eastAsia="仿宋" w:cs="仿宋"/>
          <w:color w:val="000000" w:themeColor="text1"/>
        </w:rPr>
      </w:pPr>
      <w:r>
        <w:rPr>
          <w:rFonts w:hint="eastAsia" w:ascii="仿宋" w:hAnsi="仿宋" w:eastAsia="仿宋" w:cs="仿宋"/>
          <w:color w:val="000000" w:themeColor="text1"/>
        </w:rPr>
        <w:t>9</w:t>
      </w:r>
      <w:r>
        <w:rPr>
          <w:rFonts w:hint="eastAsia" w:ascii="仿宋" w:hAnsi="仿宋" w:eastAsia="仿宋" w:cs="仿宋"/>
          <w:color w:val="000000" w:themeColor="text1"/>
          <w:lang w:val="en-US" w:eastAsia="zh-CN"/>
        </w:rPr>
        <w:t>.</w:t>
      </w:r>
      <w:r>
        <w:rPr>
          <w:rFonts w:hint="eastAsia" w:ascii="仿宋" w:hAnsi="仿宋" w:eastAsia="仿宋" w:cs="仿宋"/>
          <w:color w:val="000000" w:themeColor="text1"/>
        </w:rPr>
        <w:t>合同约定的合作期限内，若采购方委托供应商对相关广告物料或广告进行备案或审批，供应商未及时办理相关备案或审批手续，致使相关广告或广告物料遭受政府工商部门行政管理部门查处，供应商应承担全部责任，并赔偿采购方由此造成的一切损失。</w:t>
      </w:r>
    </w:p>
    <w:bookmarkEnd w:id="7"/>
    <w:p>
      <w:pPr>
        <w:pStyle w:val="4"/>
        <w:pageBreakBefore w:val="0"/>
        <w:kinsoku/>
        <w:overflowPunct/>
        <w:topLinePunct w:val="0"/>
        <w:autoSpaceDE/>
        <w:autoSpaceDN/>
        <w:bidi w:val="0"/>
        <w:adjustRightInd w:val="0"/>
        <w:snapToGrid w:val="0"/>
        <w:spacing w:beforeLines="0" w:afterLines="0" w:line="360" w:lineRule="auto"/>
        <w:ind w:firstLine="394"/>
        <w:textAlignment w:val="auto"/>
        <w:rPr>
          <w:rFonts w:hint="eastAsia" w:ascii="仿宋" w:hAnsi="仿宋" w:eastAsia="仿宋" w:cs="仿宋"/>
          <w:b/>
          <w:color w:val="000000" w:themeColor="text1"/>
          <w:kern w:val="2"/>
          <w:sz w:val="28"/>
          <w:szCs w:val="22"/>
          <w:lang w:val="en-US" w:eastAsia="zh-CN" w:bidi="ar-SA"/>
        </w:rPr>
      </w:pPr>
      <w:bookmarkStart w:id="22" w:name="_Toc2900"/>
      <w:bookmarkStart w:id="23" w:name="_Toc12789054"/>
      <w:bookmarkStart w:id="24" w:name="_Toc24837"/>
      <w:bookmarkStart w:id="25" w:name="_Toc11641053"/>
      <w:bookmarkStart w:id="26" w:name="_Toc18091"/>
      <w:r>
        <w:rPr>
          <w:rFonts w:hint="eastAsia" w:ascii="仿宋" w:hAnsi="仿宋" w:eastAsia="仿宋" w:cs="仿宋"/>
          <w:b/>
          <w:color w:val="000000" w:themeColor="text1"/>
          <w:kern w:val="2"/>
          <w:sz w:val="28"/>
          <w:szCs w:val="22"/>
          <w:lang w:val="en-US" w:eastAsia="zh-CN" w:bidi="ar-SA"/>
        </w:rPr>
        <w:t>七、违约责任</w:t>
      </w:r>
    </w:p>
    <w:p>
      <w:pPr>
        <w:pageBreakBefore w:val="0"/>
        <w:kinsoku/>
        <w:wordWrap w:val="0"/>
        <w:overflowPunct/>
        <w:topLinePunct w:val="0"/>
        <w:autoSpaceDE/>
        <w:autoSpaceDN/>
        <w:bidi w:val="0"/>
        <w:adjustRightInd w:val="0"/>
        <w:snapToGrid w:val="0"/>
        <w:spacing w:line="360" w:lineRule="auto"/>
        <w:ind w:firstLine="480"/>
        <w:textAlignment w:val="auto"/>
        <w:rPr>
          <w:rFonts w:hint="eastAsia"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1.若发现中标供应商一次未及时送货，采购人可以扣200元，若发现两次未及时送货，采购人扣400元，如发现三次未及时送货，采购人将解除合同，所有损失由中标供应商支付。相关时间考核方式由学校确定。</w:t>
      </w:r>
    </w:p>
    <w:p>
      <w:pPr>
        <w:pageBreakBefore w:val="0"/>
        <w:kinsoku/>
        <w:wordWrap w:val="0"/>
        <w:overflowPunct/>
        <w:topLinePunct w:val="0"/>
        <w:autoSpaceDE/>
        <w:autoSpaceDN/>
        <w:bidi w:val="0"/>
        <w:adjustRightInd w:val="0"/>
        <w:snapToGrid w:val="0"/>
        <w:spacing w:line="360" w:lineRule="auto"/>
        <w:ind w:firstLine="480"/>
        <w:textAlignment w:val="auto"/>
        <w:rPr>
          <w:rFonts w:hint="default"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2.对采购人挂网公告竞价采购的项目，中标供应商应配合完成方案编制，在相关资料收集齐全后，原则上一周内完成方案编制，主要是材质+尺寸+数量，以及报价，不涉及具体内容设计），如多次催促仍不完成，每次按200元扣除。</w:t>
      </w:r>
    </w:p>
    <w:p>
      <w:pPr>
        <w:pageBreakBefore w:val="0"/>
        <w:kinsoku/>
        <w:wordWrap w:val="0"/>
        <w:overflowPunct/>
        <w:topLinePunct w:val="0"/>
        <w:autoSpaceDE/>
        <w:autoSpaceDN/>
        <w:bidi w:val="0"/>
        <w:adjustRightInd w:val="0"/>
        <w:snapToGrid w:val="0"/>
        <w:spacing w:line="360" w:lineRule="auto"/>
        <w:ind w:firstLine="480"/>
        <w:textAlignment w:val="auto"/>
        <w:rPr>
          <w:rFonts w:hint="eastAsia"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3.中标供应商应按约定价格为采购人提供广告制作成品，对于普通广告产品，不能以产能不足、货物供应不足等方式不提供货物，或要求采购人更新升级采购其它品种。</w:t>
      </w:r>
    </w:p>
    <w:p>
      <w:pPr>
        <w:pageBreakBefore w:val="0"/>
        <w:kinsoku/>
        <w:wordWrap w:val="0"/>
        <w:overflowPunct/>
        <w:topLinePunct w:val="0"/>
        <w:autoSpaceDE/>
        <w:autoSpaceDN/>
        <w:bidi w:val="0"/>
        <w:adjustRightInd w:val="0"/>
        <w:snapToGrid w:val="0"/>
        <w:spacing w:line="360" w:lineRule="auto"/>
        <w:ind w:firstLine="480"/>
        <w:textAlignment w:val="auto"/>
        <w:rPr>
          <w:rFonts w:hint="default"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4.学校与中标供应商的微信聊天记录、钉钉聊天记录等材料，可以作为违约责任认定的依据。</w:t>
      </w:r>
    </w:p>
    <w:p>
      <w:pPr>
        <w:pageBreakBefore w:val="0"/>
        <w:kinsoku/>
        <w:wordWrap w:val="0"/>
        <w:overflowPunct/>
        <w:topLinePunct w:val="0"/>
        <w:autoSpaceDE/>
        <w:autoSpaceDN/>
        <w:bidi w:val="0"/>
        <w:adjustRightInd w:val="0"/>
        <w:snapToGrid w:val="0"/>
        <w:spacing w:line="360" w:lineRule="auto"/>
        <w:ind w:firstLine="562"/>
        <w:textAlignment w:val="auto"/>
        <w:outlineLvl w:val="0"/>
        <w:rPr>
          <w:rFonts w:hint="eastAsia" w:ascii="仿宋" w:hAnsi="仿宋" w:eastAsia="仿宋" w:cs="仿宋"/>
          <w:b/>
          <w:color w:val="000000" w:themeColor="text1"/>
          <w:sz w:val="28"/>
          <w:szCs w:val="22"/>
          <w:lang w:val="en-US" w:eastAsia="zh-CN"/>
        </w:rPr>
      </w:pPr>
      <w:r>
        <w:rPr>
          <w:rFonts w:hint="eastAsia" w:ascii="仿宋" w:hAnsi="仿宋" w:eastAsia="仿宋" w:cs="仿宋"/>
          <w:b/>
          <w:color w:val="000000" w:themeColor="text1"/>
          <w:sz w:val="28"/>
          <w:szCs w:val="22"/>
          <w:lang w:val="en-US" w:eastAsia="zh-CN"/>
        </w:rPr>
        <w:t>八、更换供应商</w:t>
      </w:r>
    </w:p>
    <w:p>
      <w:pPr>
        <w:pStyle w:val="2"/>
        <w:pageBreakBefore w:val="0"/>
        <w:kinsoku/>
        <w:overflowPunct/>
        <w:topLinePunct w:val="0"/>
        <w:autoSpaceDE/>
        <w:autoSpaceDN/>
        <w:bidi w:val="0"/>
        <w:adjustRightInd w:val="0"/>
        <w:snapToGrid w:val="0"/>
        <w:spacing w:before="0" w:after="0" w:line="360" w:lineRule="auto"/>
        <w:textAlignment w:val="auto"/>
        <w:rPr>
          <w:rFonts w:hint="default"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 xml:space="preserve">   1.若中标供应商出现多次服务不到位，未按学校要求提供服务，服务质量达不到学校要求，学校可根据违约情况进行扣款,每次扣款200元。3次违约后，可以与其解除合同，相关责任由违约公司全部承担。</w:t>
      </w:r>
    </w:p>
    <w:p>
      <w:pPr>
        <w:pageBreakBefore w:val="0"/>
        <w:kinsoku/>
        <w:wordWrap w:val="0"/>
        <w:overflowPunct/>
        <w:topLinePunct w:val="0"/>
        <w:autoSpaceDE/>
        <w:autoSpaceDN/>
        <w:bidi w:val="0"/>
        <w:adjustRightInd w:val="0"/>
        <w:snapToGrid w:val="0"/>
        <w:spacing w:line="360" w:lineRule="auto"/>
        <w:ind w:firstLine="480"/>
        <w:textAlignment w:val="auto"/>
        <w:rPr>
          <w:rFonts w:hint="eastAsia" w:ascii="仿宋" w:hAnsi="仿宋" w:eastAsia="仿宋" w:cs="仿宋"/>
          <w:b w:val="0"/>
          <w:color w:val="000000" w:themeColor="text1"/>
          <w:kern w:val="2"/>
          <w:sz w:val="24"/>
          <w:szCs w:val="24"/>
          <w:lang w:val="en-US" w:eastAsia="zh-CN" w:bidi="ar-SA"/>
        </w:rPr>
      </w:pPr>
      <w:r>
        <w:rPr>
          <w:rFonts w:hint="eastAsia" w:ascii="仿宋" w:hAnsi="仿宋" w:eastAsia="仿宋" w:cs="仿宋"/>
          <w:b w:val="0"/>
          <w:color w:val="000000" w:themeColor="text1"/>
          <w:kern w:val="2"/>
          <w:sz w:val="24"/>
          <w:szCs w:val="24"/>
          <w:lang w:val="en-US" w:eastAsia="zh-CN" w:bidi="ar-SA"/>
        </w:rPr>
        <w:t>2.为保证学校广告宣传工作顺利开展，在原中标供应商被解除合同后，学校可以通过学校三重一大决定是否选择参与本项目投标的第二中标人，按原中标单项价格提供广告制作服务，据实结算，也可以重新开展广告设计与制作项目采购。</w:t>
      </w:r>
    </w:p>
    <w:p>
      <w:pPr>
        <w:ind w:firstLine="480"/>
        <w:rPr>
          <w:color w:val="000000" w:themeColor="text1"/>
        </w:rPr>
      </w:pPr>
    </w:p>
    <w:p>
      <w:pPr>
        <w:pStyle w:val="3"/>
        <w:widowControl w:val="0"/>
        <w:adjustRightInd w:val="0"/>
        <w:snapToGrid w:val="0"/>
        <w:spacing w:before="0" w:after="0" w:line="360" w:lineRule="auto"/>
        <w:ind w:firstLine="883"/>
        <w:jc w:val="center"/>
        <w:rPr>
          <w:rFonts w:ascii="方正小标宋_GBK"/>
          <w:color w:val="000000" w:themeColor="text1"/>
        </w:rPr>
        <w:sectPr>
          <w:pgSz w:w="11907" w:h="16840"/>
          <w:pgMar w:top="1134" w:right="1191" w:bottom="1134" w:left="1304" w:header="851" w:footer="992" w:gutter="0"/>
          <w:pgNumType w:fmt="numberInDash"/>
          <w:cols w:space="720" w:num="1"/>
          <w:docGrid w:linePitch="380" w:charSpace="-5735"/>
        </w:sectPr>
      </w:pPr>
      <w:bookmarkStart w:id="27" w:name="_Toc11016"/>
    </w:p>
    <w:bookmarkEnd w:id="22"/>
    <w:bookmarkEnd w:id="23"/>
    <w:bookmarkEnd w:id="24"/>
    <w:bookmarkEnd w:id="25"/>
    <w:bookmarkEnd w:id="26"/>
    <w:bookmarkEnd w:id="27"/>
    <w:p>
      <w:pPr>
        <w:ind w:left="0" w:leftChars="0" w:firstLine="0" w:firstLineChars="0"/>
        <w:outlineLvl w:val="1"/>
        <w:rPr>
          <w:rFonts w:ascii="华文仿宋" w:hAnsi="华文仿宋" w:eastAsia="华文仿宋" w:cs="宋体"/>
          <w:b/>
          <w:bCs/>
          <w:color w:val="000000" w:themeColor="text1"/>
          <w:sz w:val="32"/>
          <w:szCs w:val="32"/>
          <w:highlight w:val="none"/>
        </w:rPr>
      </w:pPr>
      <w:bookmarkStart w:id="28" w:name="_Toc8213"/>
      <w:r>
        <w:rPr>
          <w:rFonts w:hint="eastAsia" w:ascii="华文仿宋" w:hAnsi="华文仿宋" w:eastAsia="华文仿宋" w:cs="宋体"/>
          <w:b/>
          <w:bCs/>
          <w:color w:val="000000" w:themeColor="text1"/>
          <w:sz w:val="32"/>
          <w:szCs w:val="32"/>
          <w:highlight w:val="none"/>
          <w:lang w:val="en-US" w:eastAsia="zh-CN"/>
        </w:rPr>
        <w:t>附件：</w:t>
      </w:r>
      <w:r>
        <w:rPr>
          <w:rFonts w:hint="eastAsia" w:ascii="华文仿宋" w:hAnsi="华文仿宋" w:eastAsia="华文仿宋" w:cs="宋体"/>
          <w:b/>
          <w:bCs/>
          <w:color w:val="000000" w:themeColor="text1"/>
          <w:sz w:val="32"/>
          <w:szCs w:val="32"/>
          <w:highlight w:val="none"/>
        </w:rPr>
        <w:t>明细报价表</w:t>
      </w:r>
      <w:bookmarkEnd w:id="28"/>
    </w:p>
    <w:p>
      <w:pPr>
        <w:pStyle w:val="2"/>
        <w:rPr>
          <w:rFonts w:ascii="华文仿宋" w:hAnsi="华文仿宋" w:eastAsia="华文仿宋" w:cs="宋体"/>
          <w:color w:val="000000" w:themeColor="text1"/>
        </w:rPr>
      </w:pPr>
    </w:p>
    <w:tbl>
      <w:tblPr>
        <w:tblStyle w:val="15"/>
        <w:tblW w:w="885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08"/>
        <w:gridCol w:w="1944"/>
        <w:gridCol w:w="3323"/>
        <w:gridCol w:w="1166"/>
        <w:gridCol w:w="809"/>
        <w:gridCol w:w="8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9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广告类型</w:t>
            </w:r>
          </w:p>
        </w:tc>
        <w:tc>
          <w:tcPr>
            <w:tcW w:w="33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规格/材质/工艺</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海报</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高清户外写真覆膜（光膜/哑膜)</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梯步标语，户外写真+哑膜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户外高清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户外写真+亚膜+超卡</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写真裱板</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户外写真+哑膜+超卡+异形剪裁</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户外写真+亚膜+超卡+3cm边框</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户外写真+亚膜+5mmPVC板</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户外写真+亚膜+10mmPVC板</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车地贴</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操场地面喷小数字（学生站队打点）</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地贴（10cm）数字或文字</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PVC板UV</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10mmPVC+UV彩印,异形</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彩印展板</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15mmPVC+UV彩印</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20mmPVC+UV彩印</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2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门型展架（包安装）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门型展架+户外海报画面 80cm*180cm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防撞护角</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软质墙角防撞护角</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横幅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丝印、红底白字（黄字）,宽小于70cm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丝印、红底白字（黄字）,宽70cm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丝印、红底白字（黄字）,宽100cm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袖笼</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专用斜纹布+丝印400mm*200mm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旗帜</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彩旗，专用旗帜布+竹竿 1350*850</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红白旗帜，专用旗帜布+木杆 （运动会裁判旗）</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9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奖牌</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木基层+金箔 60cm*40cm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19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不锈钢/钛金腐蚀字  60cm*40cm</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班牌</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彩印+整体塑料加手把</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工作牌</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双面彩印+吊绳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19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亚克力盒子</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A4亚克力盒子+3MM乳白色背板</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19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A4亚克力盒子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造型字</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1.5cmPVC字+UV彩印/喷漆</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30CM</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2cmPVC字+UV彩印/喷漆</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30CM</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舞台搭建及氛围营造</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桁架搭建及拆装（1-2天）</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1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（包安装）</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1个12米龙拱+丝印标语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2个5米气柱+丝印标语  </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19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印刷品</w:t>
            </w: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证书打印，A3奖状纸大小含奖状</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19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作业打印：封面统一用250克白卡纸,彩打。内页80克A4护眼纸，黑白。</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本/约80页</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4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19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80克A4纸彩色打印（双面）</w:t>
            </w:r>
          </w:p>
        </w:tc>
        <w:tc>
          <w:tcPr>
            <w:tcW w:w="1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ind w:firstLine="480"/>
        <w:rPr>
          <w:rFonts w:ascii="华文仿宋" w:hAnsi="华文仿宋" w:eastAsia="华文仿宋" w:cs="宋体"/>
          <w:color w:val="000000" w:themeColor="text1"/>
        </w:rPr>
      </w:pPr>
    </w:p>
    <w:p>
      <w:pPr>
        <w:pStyle w:val="2"/>
        <w:rPr>
          <w:rFonts w:hint="eastAsia" w:ascii="华文仿宋" w:hAnsi="华文仿宋" w:eastAsia="华文仿宋" w:cs="宋体"/>
          <w:color w:val="000000" w:themeColor="text1"/>
          <w:lang w:val="en-US" w:eastAsia="zh-CN"/>
        </w:rPr>
      </w:pPr>
      <w:r>
        <w:rPr>
          <w:rFonts w:hint="eastAsia" w:ascii="华文仿宋" w:hAnsi="华文仿宋" w:eastAsia="华文仿宋" w:cs="宋体"/>
          <w:color w:val="000000" w:themeColor="text1"/>
        </w:rPr>
        <w:t>注：分项报价为单价报价</w:t>
      </w:r>
      <w:r>
        <w:rPr>
          <w:rFonts w:hint="eastAsia" w:ascii="华文仿宋" w:hAnsi="华文仿宋" w:eastAsia="华文仿宋" w:cs="宋体"/>
          <w:color w:val="000000" w:themeColor="text1"/>
          <w:lang w:eastAsia="zh-CN"/>
        </w:rPr>
        <w:t>。明细报价表中广告数量为服务期内预计制作项目，非单次制作数量，非合同期间制作数量，具体根据学校需求据实结算。每次各类数量普遍较少，请报价时注意。</w:t>
      </w:r>
    </w:p>
    <w:p>
      <w:pPr>
        <w:pStyle w:val="2"/>
        <w:ind w:firstLine="0" w:firstLineChars="0"/>
        <w:rPr>
          <w:rFonts w:hint="default" w:eastAsia="方正黑体_GBK"/>
          <w:color w:val="000000" w:themeColor="text1"/>
          <w:lang w:val="en-US" w:eastAsia="zh-CN"/>
        </w:rPr>
      </w:pPr>
      <w:bookmarkStart w:id="29" w:name="_GoBack"/>
      <w:bookmarkEnd w:id="29"/>
    </w:p>
    <w:sectPr>
      <w:footerReference r:id="rId10" w:type="default"/>
      <w:pgSz w:w="11906" w:h="16838"/>
      <w:pgMar w:top="1134" w:right="1134" w:bottom="1134" w:left="1134" w:header="851" w:footer="851" w:gutter="0"/>
      <w:pgNumType w:start="1"/>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tabs>
        <w:tab w:val="center" w:pos="4153"/>
        <w:tab w:val="right" w:pos="8306"/>
        <w:tab w:val="clear" w:pos="4140"/>
        <w:tab w:val="clear" w:pos="8300"/>
      </w:tabs>
      <w:ind w:firstLine="422"/>
      <w:rPr>
        <w:rStyle w:val="17"/>
      </w:rPr>
    </w:pPr>
    <w:r>
      <w:fldChar w:fldCharType="begin"/>
    </w:r>
    <w:r>
      <w:rPr>
        <w:rStyle w:val="17"/>
      </w:rPr>
      <w:instrText xml:space="preserve">PAGE  </w:instrText>
    </w:r>
    <w:r>
      <w:fldChar w:fldCharType="separate"/>
    </w:r>
    <w:r>
      <w:rPr>
        <w:rStyle w:val="17"/>
      </w:rPr>
      <w:t>16</w:t>
    </w:r>
    <w:r>
      <w:fldChar w:fldCharType="end"/>
    </w:r>
  </w:p>
  <w:p>
    <w:pPr>
      <w:pStyle w:val="12"/>
      <w:tabs>
        <w:tab w:val="center" w:pos="4153"/>
        <w:tab w:val="right" w:pos="8306"/>
        <w:tab w:val="clear" w:pos="4140"/>
        <w:tab w:val="clear" w:pos="8300"/>
      </w:tabs>
      <w:ind w:right="360" w:firstLine="422"/>
    </w:pPr>
  </w:p>
  <w:p>
    <w:pPr>
      <w:ind w:firstLine="480"/>
    </w:pPr>
  </w:p>
  <w:p>
    <w:pPr>
      <w:ind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153"/>
        <w:tab w:val="right" w:pos="8306"/>
        <w:tab w:val="clear" w:pos="4140"/>
        <w:tab w:val="clear" w:pos="8300"/>
      </w:tabs>
      <w:ind w:firstLine="4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path/>
          <v:fill on="f" focussize="0,0"/>
          <v:stroke on="f" weight="0.5pt" joinstyle="miter"/>
          <v:imagedata o:title=""/>
          <o:lock v:ext="edit"/>
          <v:textbox inset="0mm,0mm,0mm,0mm" style="mso-fit-shape-to-text:t;">
            <w:txbxContent>
              <w:p>
                <w:pPr>
                  <w:pStyle w:val="12"/>
                  <w:ind w:firstLine="422"/>
                  <w:rPr>
                    <w:rFonts w:eastAsia="仿宋_GB2312"/>
                  </w:rPr>
                </w:pPr>
                <w:r>
                  <w:fldChar w:fldCharType="begin"/>
                </w:r>
                <w:r>
                  <w:instrText xml:space="preserve"> PAGE  \* MERGEFORMAT </w:instrText>
                </w:r>
                <w:r>
                  <w:fldChar w:fldCharType="separate"/>
                </w:r>
                <w:r>
                  <w:t>- 5 -</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joinstyle="miter"/>
          <v:imagedata o:title=""/>
          <o:lock v:ext="edit"/>
          <v:textbox inset="0mm,0mm,0mm,0mm" style="mso-fit-shape-to-text:t;">
            <w:txbxContent>
              <w:p>
                <w:pPr>
                  <w:pStyle w:val="12"/>
                  <w:ind w:firstLine="422"/>
                </w:pPr>
                <w:r>
                  <w:fldChar w:fldCharType="begin"/>
                </w:r>
                <w:r>
                  <w:instrText xml:space="preserve"> PAGE  \* MERGEFORMAT </w:instrText>
                </w:r>
                <w:r>
                  <w:fldChar w:fldCharType="separate"/>
                </w:r>
                <w:r>
                  <w:t>9</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tabs>
        <w:tab w:val="center" w:pos="4153"/>
        <w:tab w:val="right" w:pos="8306"/>
        <w:tab w:val="clear" w:pos="4140"/>
        <w:tab w:val="clear" w:pos="8300"/>
      </w:tabs>
      <w:ind w:firstLineChars="0"/>
      <w:rPr>
        <w:rFonts w:ascii="楷体_GB2312" w:eastAsia="楷体_GB2312"/>
        <w:b/>
        <w:sz w:val="24"/>
        <w:szCs w:val="24"/>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rPr>
        <w:rFonts w:ascii="Verdana" w:hAnsi="Verdana"/>
        <w:lang w:eastAsia="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U5ZTI5OGVlYmU5MmUxMmNmODA4NTBjZWQxOTYwNGYifQ=="/>
  </w:docVars>
  <w:rsids>
    <w:rsidRoot w:val="5F980563"/>
    <w:rsid w:val="00013232"/>
    <w:rsid w:val="001635FC"/>
    <w:rsid w:val="001D7995"/>
    <w:rsid w:val="00673A1F"/>
    <w:rsid w:val="0076205C"/>
    <w:rsid w:val="00883779"/>
    <w:rsid w:val="00A87F74"/>
    <w:rsid w:val="00D01E5D"/>
    <w:rsid w:val="00D548B6"/>
    <w:rsid w:val="00FA5A23"/>
    <w:rsid w:val="01B4022C"/>
    <w:rsid w:val="01B543DB"/>
    <w:rsid w:val="01CC7EBE"/>
    <w:rsid w:val="02094A42"/>
    <w:rsid w:val="02337D11"/>
    <w:rsid w:val="044E6098"/>
    <w:rsid w:val="046441B2"/>
    <w:rsid w:val="057260ED"/>
    <w:rsid w:val="05C17DA8"/>
    <w:rsid w:val="064A668D"/>
    <w:rsid w:val="07D0477D"/>
    <w:rsid w:val="07DE1CA3"/>
    <w:rsid w:val="0862007C"/>
    <w:rsid w:val="093700E7"/>
    <w:rsid w:val="09D34D18"/>
    <w:rsid w:val="09DA115E"/>
    <w:rsid w:val="0A731A96"/>
    <w:rsid w:val="0A7A7D07"/>
    <w:rsid w:val="0A924501"/>
    <w:rsid w:val="0AD77E43"/>
    <w:rsid w:val="0C05677D"/>
    <w:rsid w:val="0CFD51A3"/>
    <w:rsid w:val="0D8E6743"/>
    <w:rsid w:val="0DB34DF3"/>
    <w:rsid w:val="0E227669"/>
    <w:rsid w:val="0E8449AE"/>
    <w:rsid w:val="117C3A37"/>
    <w:rsid w:val="119D3EF4"/>
    <w:rsid w:val="128B3075"/>
    <w:rsid w:val="12AB58C0"/>
    <w:rsid w:val="142D59B7"/>
    <w:rsid w:val="14D625AC"/>
    <w:rsid w:val="14FE328E"/>
    <w:rsid w:val="158E657D"/>
    <w:rsid w:val="15962708"/>
    <w:rsid w:val="170F61FF"/>
    <w:rsid w:val="17BA3022"/>
    <w:rsid w:val="186249BD"/>
    <w:rsid w:val="199F57E9"/>
    <w:rsid w:val="1ADC6D40"/>
    <w:rsid w:val="1B4D1B14"/>
    <w:rsid w:val="1B794617"/>
    <w:rsid w:val="1B852CDE"/>
    <w:rsid w:val="1D2139DE"/>
    <w:rsid w:val="1DA400F9"/>
    <w:rsid w:val="1DF4339D"/>
    <w:rsid w:val="1F4D1605"/>
    <w:rsid w:val="207B5E1F"/>
    <w:rsid w:val="214D5EA7"/>
    <w:rsid w:val="2206306A"/>
    <w:rsid w:val="22B95D2E"/>
    <w:rsid w:val="22D16A5E"/>
    <w:rsid w:val="235D25BA"/>
    <w:rsid w:val="23D55987"/>
    <w:rsid w:val="2564005E"/>
    <w:rsid w:val="264941DF"/>
    <w:rsid w:val="26D95596"/>
    <w:rsid w:val="283A50A6"/>
    <w:rsid w:val="2B262E78"/>
    <w:rsid w:val="2D937AA8"/>
    <w:rsid w:val="2DA52FC1"/>
    <w:rsid w:val="2E425361"/>
    <w:rsid w:val="2FF36320"/>
    <w:rsid w:val="301263C3"/>
    <w:rsid w:val="315D6CDD"/>
    <w:rsid w:val="32747963"/>
    <w:rsid w:val="353D69B7"/>
    <w:rsid w:val="36096E6C"/>
    <w:rsid w:val="36E032BC"/>
    <w:rsid w:val="38F562D0"/>
    <w:rsid w:val="397A06E1"/>
    <w:rsid w:val="39D52E80"/>
    <w:rsid w:val="3A2F28D1"/>
    <w:rsid w:val="3A4F7973"/>
    <w:rsid w:val="3AB962FE"/>
    <w:rsid w:val="3BAA2FFE"/>
    <w:rsid w:val="3DA37BDB"/>
    <w:rsid w:val="3EA37C05"/>
    <w:rsid w:val="3ED74FA5"/>
    <w:rsid w:val="42DE2831"/>
    <w:rsid w:val="43080F85"/>
    <w:rsid w:val="44044A8E"/>
    <w:rsid w:val="44915D4C"/>
    <w:rsid w:val="46362A48"/>
    <w:rsid w:val="469C35E8"/>
    <w:rsid w:val="472E5C5F"/>
    <w:rsid w:val="485E6EA8"/>
    <w:rsid w:val="490907B6"/>
    <w:rsid w:val="4B322B3C"/>
    <w:rsid w:val="4C324162"/>
    <w:rsid w:val="4D4F615C"/>
    <w:rsid w:val="4D744DB9"/>
    <w:rsid w:val="4EA24916"/>
    <w:rsid w:val="4EE07EA5"/>
    <w:rsid w:val="50387CB6"/>
    <w:rsid w:val="521F0CE5"/>
    <w:rsid w:val="5257047F"/>
    <w:rsid w:val="52B92EE7"/>
    <w:rsid w:val="52D3730D"/>
    <w:rsid w:val="535055C2"/>
    <w:rsid w:val="53EC5A2E"/>
    <w:rsid w:val="545E4A73"/>
    <w:rsid w:val="54657B01"/>
    <w:rsid w:val="54D82658"/>
    <w:rsid w:val="56590FBF"/>
    <w:rsid w:val="569246D5"/>
    <w:rsid w:val="586E1518"/>
    <w:rsid w:val="596C49FE"/>
    <w:rsid w:val="598853C1"/>
    <w:rsid w:val="5AD67A1A"/>
    <w:rsid w:val="5AD75915"/>
    <w:rsid w:val="5CA236E8"/>
    <w:rsid w:val="5DD46E27"/>
    <w:rsid w:val="5DDA5B93"/>
    <w:rsid w:val="5DDB686A"/>
    <w:rsid w:val="5EE104DA"/>
    <w:rsid w:val="5F6023DE"/>
    <w:rsid w:val="5F8168FF"/>
    <w:rsid w:val="5F980563"/>
    <w:rsid w:val="5FBA7B4F"/>
    <w:rsid w:val="60D45D9B"/>
    <w:rsid w:val="615F10FE"/>
    <w:rsid w:val="62F85B0D"/>
    <w:rsid w:val="62FC11B1"/>
    <w:rsid w:val="63085C0D"/>
    <w:rsid w:val="64CE2630"/>
    <w:rsid w:val="65532D27"/>
    <w:rsid w:val="68A30FBC"/>
    <w:rsid w:val="69467941"/>
    <w:rsid w:val="6976147B"/>
    <w:rsid w:val="697C2BF8"/>
    <w:rsid w:val="698E123D"/>
    <w:rsid w:val="6A575068"/>
    <w:rsid w:val="6A962833"/>
    <w:rsid w:val="6AB63143"/>
    <w:rsid w:val="6BD6356F"/>
    <w:rsid w:val="6C261E35"/>
    <w:rsid w:val="6C2A6A4D"/>
    <w:rsid w:val="6C336341"/>
    <w:rsid w:val="6C422F7B"/>
    <w:rsid w:val="6C6972D4"/>
    <w:rsid w:val="73DA4614"/>
    <w:rsid w:val="73FB551B"/>
    <w:rsid w:val="73FC7F43"/>
    <w:rsid w:val="74537B33"/>
    <w:rsid w:val="746C0DE0"/>
    <w:rsid w:val="76424E1E"/>
    <w:rsid w:val="7766203D"/>
    <w:rsid w:val="78B2622E"/>
    <w:rsid w:val="792A36D4"/>
    <w:rsid w:val="79786E29"/>
    <w:rsid w:val="79912EC1"/>
    <w:rsid w:val="79D34622"/>
    <w:rsid w:val="7A8A0B42"/>
    <w:rsid w:val="7AA77DD0"/>
    <w:rsid w:val="7C617D87"/>
    <w:rsid w:val="7CA659DB"/>
    <w:rsid w:val="7CF5053A"/>
    <w:rsid w:val="7E3E1198"/>
    <w:rsid w:val="7EB63FAA"/>
    <w:rsid w:val="7EF908C6"/>
    <w:rsid w:val="7F0E3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20" w:lineRule="exact"/>
      <w:ind w:firstLine="200" w:firstLineChars="200"/>
    </w:pPr>
    <w:rPr>
      <w:rFonts w:ascii="Times New Roman" w:hAnsi="Times New Roman" w:eastAsia="仿宋_GB2312" w:cs="Times New Roman"/>
      <w:kern w:val="2"/>
      <w:sz w:val="24"/>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adjustRightInd w:val="0"/>
      <w:snapToGrid w:val="0"/>
      <w:spacing w:beforeLines="20" w:afterLines="20" w:line="380" w:lineRule="atLeast"/>
      <w:ind w:firstLine="140" w:firstLineChars="140"/>
      <w:outlineLvl w:val="1"/>
    </w:pPr>
    <w:rPr>
      <w:rFonts w:ascii="宋体" w:hAnsi="宋体" w:eastAsia="黑体"/>
      <w:b/>
      <w:sz w:val="30"/>
    </w:rPr>
  </w:style>
  <w:style w:type="paragraph" w:styleId="5">
    <w:name w:val="heading 3"/>
    <w:basedOn w:val="1"/>
    <w:next w:val="1"/>
    <w:qFormat/>
    <w:uiPriority w:val="0"/>
    <w:pPr>
      <w:keepNext/>
      <w:keepLines/>
      <w:widowControl w:val="0"/>
      <w:spacing w:beforeLines="20" w:afterLines="20" w:line="380" w:lineRule="atLeast"/>
      <w:ind w:firstLine="60" w:firstLineChars="67"/>
      <w:outlineLvl w:val="2"/>
    </w:pPr>
    <w:rPr>
      <w:rFonts w:ascii="Verdana" w:hAnsi="Verdana" w:eastAsia="黑体"/>
      <w:b/>
      <w:bCs/>
      <w:sz w:val="27"/>
      <w:szCs w:val="32"/>
    </w:rPr>
  </w:style>
  <w:style w:type="paragraph" w:styleId="6">
    <w:name w:val="heading 4"/>
    <w:basedOn w:val="1"/>
    <w:next w:val="1"/>
    <w:qFormat/>
    <w:uiPriority w:val="0"/>
    <w:pPr>
      <w:keepNext/>
      <w:keepLines/>
      <w:widowControl w:val="0"/>
      <w:tabs>
        <w:tab w:val="left" w:pos="720"/>
      </w:tabs>
      <w:spacing w:beforeLines="10" w:afterLines="10" w:line="380" w:lineRule="atLeast"/>
      <w:ind w:firstLine="210" w:firstLineChars="210"/>
      <w:outlineLvl w:val="3"/>
    </w:pPr>
    <w:rPr>
      <w:rFonts w:ascii="Arial" w:hAnsi="Arial" w:eastAsia="黑体"/>
      <w:b/>
      <w:sz w:val="25"/>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toc 1"/>
    <w:basedOn w:val="1"/>
    <w:next w:val="1"/>
    <w:qFormat/>
    <w:uiPriority w:val="0"/>
    <w:pPr>
      <w:tabs>
        <w:tab w:val="right" w:leader="dot" w:pos="9120"/>
      </w:tabs>
      <w:spacing w:before="24" w:after="24"/>
      <w:ind w:firstLine="120" w:firstLineChars="50"/>
    </w:pPr>
    <w:rPr>
      <w:rFonts w:eastAsia="方正黑体_GBK"/>
      <w:b/>
    </w:rPr>
  </w:style>
  <w:style w:type="paragraph" w:styleId="7">
    <w:name w:val="annotation text"/>
    <w:basedOn w:val="1"/>
    <w:qFormat/>
    <w:uiPriority w:val="0"/>
    <w:pPr>
      <w:tabs>
        <w:tab w:val="left" w:pos="1134"/>
      </w:tabs>
      <w:adjustRightInd w:val="0"/>
      <w:snapToGrid w:val="0"/>
      <w:spacing w:line="280" w:lineRule="atLeast"/>
    </w:pPr>
    <w:rPr>
      <w:rFonts w:eastAsia="PMingLiU"/>
      <w:kern w:val="0"/>
      <w:lang w:eastAsia="zh-TW"/>
    </w:rPr>
  </w:style>
  <w:style w:type="paragraph" w:styleId="8">
    <w:name w:val="Body Text"/>
    <w:basedOn w:val="1"/>
    <w:next w:val="1"/>
    <w:qFormat/>
    <w:uiPriority w:val="0"/>
    <w:pPr>
      <w:widowControl w:val="0"/>
      <w:spacing w:after="120"/>
    </w:pPr>
    <w:rPr>
      <w:rFonts w:ascii="宋体" w:hAnsi="宋体"/>
      <w:sz w:val="28"/>
      <w:szCs w:val="20"/>
      <w:lang w:eastAsia="en-US"/>
    </w:rPr>
  </w:style>
  <w:style w:type="paragraph" w:styleId="9">
    <w:name w:val="Plain Text"/>
    <w:basedOn w:val="1"/>
    <w:next w:val="1"/>
    <w:qFormat/>
    <w:uiPriority w:val="0"/>
    <w:pPr>
      <w:adjustRightInd w:val="0"/>
      <w:snapToGrid w:val="0"/>
      <w:spacing w:line="360" w:lineRule="auto"/>
    </w:pPr>
    <w:rPr>
      <w:rFonts w:ascii="宋体" w:eastAsia="宋体"/>
      <w:sz w:val="28"/>
      <w:szCs w:val="20"/>
    </w:rPr>
  </w:style>
  <w:style w:type="paragraph" w:styleId="10">
    <w:name w:val="Date"/>
    <w:basedOn w:val="1"/>
    <w:next w:val="1"/>
    <w:qFormat/>
    <w:uiPriority w:val="0"/>
  </w:style>
  <w:style w:type="paragraph" w:styleId="11">
    <w:name w:val="Balloon Text"/>
    <w:basedOn w:val="1"/>
    <w:unhideWhenUsed/>
    <w:qFormat/>
    <w:uiPriority w:val="99"/>
    <w:rPr>
      <w:sz w:val="18"/>
      <w:szCs w:val="18"/>
    </w:rPr>
  </w:style>
  <w:style w:type="paragraph" w:styleId="12">
    <w:name w:val="footer"/>
    <w:basedOn w:val="1"/>
    <w:qFormat/>
    <w:uiPriority w:val="0"/>
    <w:pPr>
      <w:tabs>
        <w:tab w:val="center" w:pos="4140"/>
        <w:tab w:val="right" w:pos="8300"/>
      </w:tabs>
      <w:snapToGrid w:val="0"/>
      <w:spacing w:line="320" w:lineRule="atLeast"/>
    </w:pPr>
    <w:rPr>
      <w:rFonts w:eastAsia="宋体"/>
      <w:b/>
      <w:sz w:val="21"/>
      <w:szCs w:val="20"/>
    </w:rPr>
  </w:style>
  <w:style w:type="paragraph" w:styleId="13">
    <w:name w:val="header"/>
    <w:basedOn w:val="1"/>
    <w:qFormat/>
    <w:uiPriority w:val="0"/>
    <w:pPr>
      <w:pBdr>
        <w:bottom w:val="single" w:color="auto" w:sz="6" w:space="1"/>
      </w:pBdr>
      <w:tabs>
        <w:tab w:val="center" w:pos="4140"/>
        <w:tab w:val="right" w:pos="8300"/>
      </w:tabs>
      <w:snapToGrid w:val="0"/>
      <w:spacing w:line="320" w:lineRule="atLeast"/>
      <w:jc w:val="center"/>
    </w:pPr>
    <w:rPr>
      <w:rFonts w:ascii="仿宋_GB2312"/>
      <w:sz w:val="32"/>
      <w:szCs w:val="20"/>
    </w:rPr>
  </w:style>
  <w:style w:type="paragraph" w:styleId="14">
    <w:name w:val="Body Text First Indent"/>
    <w:basedOn w:val="8"/>
    <w:next w:val="1"/>
    <w:qFormat/>
    <w:uiPriority w:val="0"/>
    <w:pPr>
      <w:spacing w:after="0" w:line="360" w:lineRule="auto"/>
      <w:ind w:firstLine="420"/>
    </w:pPr>
    <w:rPr>
      <w:sz w:val="24"/>
      <w:szCs w:val="24"/>
      <w:lang w:eastAsia="zh-CN"/>
    </w:rPr>
  </w:style>
  <w:style w:type="character" w:styleId="17">
    <w:name w:val="page number"/>
    <w:qFormat/>
    <w:uiPriority w:val="0"/>
    <w:rPr>
      <w:rFonts w:ascii="Times New Roman" w:hAnsi="Times New Roman" w:eastAsia="宋体" w:cs="Times New Roman"/>
      <w:lang w:val="en-US" w:eastAsia="en-US" w:bidi="ar-SA"/>
    </w:rPr>
  </w:style>
  <w:style w:type="character" w:styleId="18">
    <w:name w:val="annotation reference"/>
    <w:qFormat/>
    <w:uiPriority w:val="0"/>
    <w:rPr>
      <w:sz w:val="21"/>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0">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1">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2">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 w:type="paragraph" w:customStyle="1" w:styleId="23">
    <w:name w:val="*正文"/>
    <w:basedOn w:val="1"/>
    <w:qFormat/>
    <w:uiPriority w:val="0"/>
    <w:pPr>
      <w:spacing w:line="300" w:lineRule="auto"/>
      <w:ind w:firstLine="480"/>
    </w:pPr>
    <w:rPr>
      <w:rFonts w:ascii="宋体" w:hAnsi="宋体"/>
    </w:rPr>
  </w:style>
  <w:style w:type="character" w:customStyle="1" w:styleId="24">
    <w:name w:val="font31"/>
    <w:basedOn w:val="16"/>
    <w:qFormat/>
    <w:uiPriority w:val="0"/>
    <w:rPr>
      <w:rFonts w:hint="eastAsia" w:ascii="宋体" w:hAnsi="宋体" w:eastAsia="宋体" w:cs="宋体"/>
      <w:color w:val="000000"/>
      <w:sz w:val="18"/>
      <w:szCs w:val="18"/>
      <w:u w:val="none"/>
    </w:rPr>
  </w:style>
  <w:style w:type="character" w:customStyle="1" w:styleId="25">
    <w:name w:val="font41"/>
    <w:basedOn w:val="16"/>
    <w:qFormat/>
    <w:uiPriority w:val="0"/>
    <w:rPr>
      <w:rFonts w:hint="eastAsia" w:ascii="宋体" w:hAnsi="宋体" w:eastAsia="宋体" w:cs="宋体"/>
      <w:color w:val="000000"/>
      <w:sz w:val="18"/>
      <w:szCs w:val="18"/>
      <w:u w:val="none"/>
      <w:vertAlign w:val="superscript"/>
    </w:rPr>
  </w:style>
  <w:style w:type="character" w:customStyle="1" w:styleId="26">
    <w:name w:val="font11"/>
    <w:basedOn w:val="16"/>
    <w:qFormat/>
    <w:uiPriority w:val="0"/>
    <w:rPr>
      <w:rFonts w:hint="default" w:ascii="Calibri" w:hAnsi="Calibri" w:cs="Calibri"/>
      <w:color w:val="000000"/>
      <w:sz w:val="18"/>
      <w:szCs w:val="18"/>
      <w:u w:val="none"/>
    </w:r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1702</Words>
  <Characters>9706</Characters>
  <Lines>80</Lines>
  <Paragraphs>22</Paragraphs>
  <TotalTime>117</TotalTime>
  <ScaleCrop>false</ScaleCrop>
  <LinksUpToDate>false</LinksUpToDate>
  <CharactersWithSpaces>11386</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2022-06-21T10:16:00Z</dcterms:created>
  <dc:creator>鸿兴招标-小徐19122546799</dc:creator>
  <cp:lastModifiedBy>Administrator</cp:lastModifiedBy>
  <cp:lastPrinted>2022-10-18T07:46:00Z</cp:lastPrinted>
  <dcterms:modified xsi:type="dcterms:W3CDTF">2025-09-23T06:43:57Z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C55C0E39867E435EB02826D881836BB7</vt:lpwstr>
  </property>
</Properties>
</file>